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720" w:line="264" w:lineRule="auto"/>
        <w:jc w:val="left"/>
      </w:pPr>
      <w:r>
        <w:rPr>
          <w:rFonts w:ascii="Calibri" w:hAnsi="Calibri"/>
          <w:b/>
          <w:i w:val="0"/>
          <w:color w:val="5D635E"/>
          <w:sz w:val="18"/>
        </w:rPr>
        <w:t>PORTFOLIO / 2026</w:t>
      </w:r>
    </w:p>
    <w:p>
      <w:pPr>
        <w:keepNext w:val="0"/>
        <w:spacing w:before="0" w:after="0" w:line="228" w:lineRule="auto"/>
        <w:jc w:val="left"/>
      </w:pPr>
      <w:r>
        <w:rPr>
          <w:rFonts w:ascii="Calibri" w:hAnsi="Calibri"/>
          <w:b/>
          <w:i w:val="0"/>
          <w:color w:val="111512"/>
          <w:sz w:val="84"/>
        </w:rPr>
        <w:t>Jayson P.</w:t>
      </w:r>
    </w:p>
    <w:p>
      <w:pPr>
        <w:keepNext w:val="0"/>
        <w:spacing w:before="0" w:after="440" w:line="228" w:lineRule="auto"/>
        <w:jc w:val="left"/>
      </w:pPr>
      <w:r>
        <w:rPr>
          <w:rFonts w:ascii="Calibri" w:hAnsi="Calibri"/>
          <w:b/>
          <w:i w:val="0"/>
          <w:color w:val="18323C"/>
          <w:sz w:val="84"/>
        </w:rPr>
        <w:t>Sugpatan</w:t>
      </w:r>
    </w:p>
    <w:p>
      <w:pPr>
        <w:keepNext w:val="0"/>
        <w:spacing w:before="0" w:after="80" w:line="264" w:lineRule="auto"/>
        <w:jc w:val="left"/>
      </w:pPr>
      <w:r>
        <w:rPr>
          <w:rFonts w:ascii="Calibri" w:hAnsi="Calibri"/>
          <w:b/>
          <w:i w:val="0"/>
          <w:color w:val="111512"/>
          <w:sz w:val="38"/>
        </w:rPr>
        <w:t>Industrial Engineer</w:t>
      </w:r>
    </w:p>
    <w:p>
      <w:pPr>
        <w:keepNext w:val="0"/>
        <w:spacing w:before="0" w:after="560" w:line="264" w:lineRule="auto"/>
        <w:jc w:val="left"/>
      </w:pPr>
      <w:r>
        <w:rPr>
          <w:rFonts w:ascii="Calibri" w:hAnsi="Calibri"/>
          <w:b w:val="0"/>
          <w:i w:val="0"/>
          <w:color w:val="5D635E"/>
          <w:sz w:val="25"/>
        </w:rPr>
        <w:t>Operations improvement · Data analysis · Workflow design · Fabrication</w:t>
      </w:r>
    </w:p>
    <w:tbl>
      <w:tblPr>
        <w:tblW w:type="dxa" w:w="9360"/>
        <w:jc w:val="left"/>
        <w:tblLayout w:type="fixed"/>
        <w:tblLook w:firstColumn="1" w:firstRow="1" w:lastColumn="0" w:lastRow="0" w:noHBand="0" w:noVBand="1" w:val="04A0"/>
        <w:tblInd w:w="120" w:type="dxa"/>
        <w:tblBorders>
          <w:top w:val="single" w:sz="8" w:color="111512"/>
          <w:left w:val="single" w:sz="8" w:color="111512"/>
          <w:bottom w:val="single" w:sz="8" w:color="111512"/>
          <w:right w:val="single" w:sz="8" w:color="111512"/>
          <w:insideH w:val="single" w:sz="8" w:color="111512"/>
          <w:insideV w:val="single" w:sz="8" w:color="111512"/>
        </w:tblBorders>
      </w:tblPr>
      <w:tblGrid>
        <w:gridCol w:w="3120"/>
        <w:gridCol w:w="3120"/>
        <w:gridCol w:w="3120"/>
      </w:tblGrid>
      <w:tr>
        <w:tc>
          <w:tcPr>
            <w:tcW w:type="dxa" w:w="3120"/>
            <w:tcMar>
              <w:top w:w="100" w:type="dxa"/>
              <w:start w:w="140" w:type="dxa"/>
              <w:bottom w:w="100" w:type="dxa"/>
              <w:end w:w="140" w:type="dxa"/>
            </w:tcMar>
            <w:vAlign w:val="center"/>
            <w:shd w:fill="FFB000"/>
          </w:tcPr>
          <w:p>
            <w:pPr>
              <w:spacing w:after="100"/>
            </w:pPr>
            <w:r>
              <w:rPr>
                <w:rFonts w:ascii="Calibri" w:hAnsi="Calibri"/>
                <w:b/>
                <w:i w:val="0"/>
                <w:color w:val="111512"/>
                <w:sz w:val="18"/>
              </w:rPr>
              <w:t>01</w:t>
            </w:r>
          </w:p>
          <w:p>
            <w:pPr>
              <w:spacing w:after="160"/>
            </w:pPr>
            <w:r>
              <w:rPr>
                <w:rFonts w:ascii="Calibri" w:hAnsi="Calibri"/>
                <w:b/>
                <w:i w:val="0"/>
                <w:color w:val="111512"/>
                <w:sz w:val="26"/>
              </w:rPr>
              <w:t>OBSERVE</w:t>
            </w:r>
          </w:p>
          <w:p>
            <w:pPr>
              <w:spacing w:after="0"/>
            </w:pPr>
            <w:r>
              <w:rPr>
                <w:rFonts w:ascii="Calibri" w:hAnsi="Calibri"/>
                <w:b w:val="0"/>
                <w:i w:val="0"/>
                <w:color w:val="111512"/>
                <w:sz w:val="18"/>
              </w:rPr>
              <w:t>See how work is really performed.</w:t>
            </w:r>
          </w:p>
        </w:tc>
        <w:tc>
          <w:tcPr>
            <w:tcW w:type="dxa" w:w="3120"/>
            <w:tcMar>
              <w:top w:w="100" w:type="dxa"/>
              <w:start w:w="140" w:type="dxa"/>
              <w:bottom w:w="100" w:type="dxa"/>
              <w:end w:w="140" w:type="dxa"/>
            </w:tcMar>
            <w:vAlign w:val="center"/>
            <w:shd w:fill="FFFDF7"/>
          </w:tcPr>
          <w:p>
            <w:pPr>
              <w:spacing w:after="100"/>
            </w:pPr>
            <w:r>
              <w:rPr>
                <w:rFonts w:ascii="Calibri" w:hAnsi="Calibri"/>
                <w:b/>
                <w:i w:val="0"/>
                <w:color w:val="111512"/>
                <w:sz w:val="18"/>
              </w:rPr>
              <w:t>02</w:t>
            </w:r>
          </w:p>
          <w:p>
            <w:pPr>
              <w:spacing w:after="160"/>
            </w:pPr>
            <w:r>
              <w:rPr>
                <w:rFonts w:ascii="Calibri" w:hAnsi="Calibri"/>
                <w:b/>
                <w:i w:val="0"/>
                <w:color w:val="111512"/>
                <w:sz w:val="26"/>
              </w:rPr>
              <w:t>STRUCTURE</w:t>
            </w:r>
          </w:p>
          <w:p>
            <w:pPr>
              <w:spacing w:after="0"/>
            </w:pPr>
            <w:r>
              <w:rPr>
                <w:rFonts w:ascii="Calibri" w:hAnsi="Calibri"/>
                <w:b w:val="0"/>
                <w:i w:val="0"/>
                <w:color w:val="111512"/>
                <w:sz w:val="18"/>
              </w:rPr>
              <w:t>Turn evidence into usable information.</w:t>
            </w:r>
          </w:p>
        </w:tc>
        <w:tc>
          <w:tcPr>
            <w:tcW w:type="dxa" w:w="3120"/>
            <w:tcMar>
              <w:top w:w="100" w:type="dxa"/>
              <w:start w:w="140" w:type="dxa"/>
              <w:bottom w:w="100" w:type="dxa"/>
              <w:end w:w="140" w:type="dxa"/>
            </w:tcMar>
            <w:vAlign w:val="center"/>
            <w:shd w:fill="FFFDF7"/>
          </w:tcPr>
          <w:p>
            <w:pPr>
              <w:spacing w:after="100"/>
            </w:pPr>
            <w:r>
              <w:rPr>
                <w:rFonts w:ascii="Calibri" w:hAnsi="Calibri"/>
                <w:b/>
                <w:i w:val="0"/>
                <w:color w:val="111512"/>
                <w:sz w:val="18"/>
              </w:rPr>
              <w:t>03</w:t>
            </w:r>
          </w:p>
          <w:p>
            <w:pPr>
              <w:spacing w:after="160"/>
            </w:pPr>
            <w:r>
              <w:rPr>
                <w:rFonts w:ascii="Calibri" w:hAnsi="Calibri"/>
                <w:b/>
                <w:i w:val="0"/>
                <w:color w:val="111512"/>
                <w:sz w:val="26"/>
              </w:rPr>
              <w:t>IMPROVE</w:t>
            </w:r>
          </w:p>
          <w:p>
            <w:pPr>
              <w:spacing w:after="0"/>
            </w:pPr>
            <w:r>
              <w:rPr>
                <w:rFonts w:ascii="Calibri" w:hAnsi="Calibri"/>
                <w:b w:val="0"/>
                <w:i w:val="0"/>
                <w:color w:val="111512"/>
                <w:sz w:val="18"/>
              </w:rPr>
              <w:t>Build systems people can run.</w:t>
            </w:r>
          </w:p>
        </w:tc>
      </w:tr>
    </w:tbl>
    <w:p>
      <w:pPr>
        <w:keepNext w:val="0"/>
        <w:spacing w:before="0" w:after="520" w:line="264" w:lineRule="auto"/>
        <w:jc w:val="left"/>
      </w:pPr>
    </w:p>
    <w:p>
      <w:pPr>
        <w:keepNext w:val="0"/>
        <w:spacing w:before="0" w:after="240" w:line="300" w:lineRule="auto"/>
        <w:jc w:val="left"/>
      </w:pPr>
      <w:r>
        <w:rPr>
          <w:rFonts w:ascii="Calibri" w:hAnsi="Calibri"/>
          <w:b/>
          <w:i w:val="0"/>
          <w:color w:val="111512"/>
          <w:sz w:val="26"/>
        </w:rPr>
        <w:t>A portfolio for employers and clients who need someone able to connect shop-floor reality, management systems, and data-driven execution.</w:t>
      </w:r>
    </w:p>
    <w:p>
      <w:pPr>
        <w:spacing w:before="80" w:after="200"/>
        <w:pBdr>
          <w:bottom w:val="single" w:sz="24" w:space="1" w:color="FFB000"/>
        </w:pBdr>
      </w:pPr>
    </w:p>
    <w:p>
      <w:pPr>
        <w:keepNext w:val="0"/>
        <w:spacing w:before="0" w:after="0" w:line="264" w:lineRule="auto"/>
        <w:jc w:val="left"/>
      </w:pPr>
      <w:r>
        <w:rPr>
          <w:rFonts w:ascii="Calibri" w:hAnsi="Calibri"/>
          <w:b/>
          <w:i w:val="0"/>
          <w:color w:val="5D635E"/>
          <w:sz w:val="18"/>
        </w:rPr>
        <w:t>Philippines-based  |  Australian industry experience</w:t>
      </w:r>
    </w:p>
    <w:p>
      <w:r>
        <w:br w:type="page"/>
      </w:r>
    </w:p>
    <w:p>
      <w:pPr>
        <w:keepNext/>
        <w:spacing w:before="0" w:after="100" w:line="240" w:lineRule="auto"/>
        <w:jc w:val="left"/>
      </w:pPr>
      <w:r>
        <w:rPr>
          <w:rFonts w:ascii="Calibri" w:hAnsi="Calibri"/>
          <w:b/>
          <w:i w:val="0"/>
          <w:color w:val="5D635E"/>
          <w:sz w:val="16"/>
        </w:rPr>
        <w:t>PROFESSIONAL PROFILE</w:t>
      </w:r>
    </w:p>
    <w:p>
      <w:pPr>
        <w:pStyle w:val="Heading1"/>
        <w:keepNext/>
      </w:pPr>
      <w:r>
        <w:t>A practical engineer with a cross-functional view</w:t>
      </w:r>
    </w:p>
    <w:p>
      <w:pPr>
        <w:keepNext w:val="0"/>
        <w:spacing w:before="0" w:after="320" w:line="300" w:lineRule="auto"/>
        <w:jc w:val="left"/>
      </w:pPr>
      <w:r>
        <w:rPr>
          <w:rFonts w:ascii="Calibri" w:hAnsi="Calibri"/>
          <w:b/>
          <w:i w:val="0"/>
          <w:color w:val="111512"/>
          <w:sz w:val="26"/>
        </w:rPr>
        <w:t>I combine industrial engineering methods with frontline experience in production, facilities, and fabrication. That combination helps me ask better questions, create documentation that reflects real work, and design systems that operators and managers can actually use.</w:t>
      </w:r>
    </w:p>
    <w:p>
      <w:pPr>
        <w:pStyle w:val="Heading2"/>
        <w:keepNext/>
      </w:pPr>
      <w:r>
        <w:t>Positioning</w:t>
      </w:r>
    </w:p>
    <w:p>
      <w:pPr>
        <w:keepNext w:val="0"/>
        <w:spacing w:before="0" w:after="120" w:line="264" w:lineRule="auto"/>
        <w:jc w:val="left"/>
      </w:pPr>
      <w:r>
        <w:rPr>
          <w:rFonts w:ascii="Calibri" w:hAnsi="Calibri"/>
          <w:b w:val="0"/>
          <w:i w:val="0"/>
          <w:color w:val="111512"/>
          <w:sz w:val="22"/>
        </w:rPr>
        <w:t>Industrial engineer who translates physical work, process data, and operational requirements into clearer systems, stronger documentation, and measurable workflows.</w:t>
      </w:r>
    </w:p>
    <w:tbl>
      <w:tblPr>
        <w:tblW w:type="dxa" w:w="9360"/>
        <w:jc w:val="left"/>
        <w:tblLayout w:type="fixed"/>
        <w:tblLook w:firstColumn="1" w:firstRow="1" w:lastColumn="0" w:lastRow="0" w:noHBand="0" w:noVBand="1" w:val="04A0"/>
        <w:tblInd w:w="120" w:type="dxa"/>
        <w:tblBorders>
          <w:top w:val="single" w:sz="6" w:color="C8CAC2"/>
          <w:left w:val="single" w:sz="6" w:color="C8CAC2"/>
          <w:bottom w:val="single" w:sz="6" w:color="C8CAC2"/>
          <w:right w:val="single" w:sz="6" w:color="C8CAC2"/>
          <w:insideH w:val="single" w:sz="6" w:color="C8CAC2"/>
          <w:insideV w:val="single" w:sz="6" w:color="C8CAC2"/>
        </w:tblBorders>
      </w:tblPr>
      <w:tblGrid>
        <w:gridCol w:w="2700"/>
        <w:gridCol w:w="6660"/>
      </w:tblGrid>
      <w:tr>
        <w:tc>
          <w:tcPr>
            <w:tcW w:type="dxa" w:w="2700"/>
            <w:tcMar>
              <w:top w:w="100" w:type="dxa"/>
              <w:start w:w="140" w:type="dxa"/>
              <w:bottom w:w="100" w:type="dxa"/>
              <w:end w:w="140" w:type="dxa"/>
            </w:tcMar>
            <w:vAlign w:val="center"/>
            <w:shd w:fill="F2F4F0"/>
          </w:tcPr>
          <w:p>
            <w:r>
              <w:rPr>
                <w:rFonts w:ascii="Calibri" w:hAnsi="Calibri"/>
                <w:b/>
                <w:i w:val="0"/>
                <w:color w:val="18323C"/>
                <w:sz w:val="17"/>
              </w:rPr>
              <w:t>CORE FOUNDATION</w:t>
            </w:r>
          </w:p>
        </w:tc>
        <w:tc>
          <w:tcPr>
            <w:tcW w:type="dxa" w:w="6660"/>
            <w:tcMar>
              <w:top w:w="100" w:type="dxa"/>
              <w:start w:w="140" w:type="dxa"/>
              <w:bottom w:w="100" w:type="dxa"/>
              <w:end w:w="140" w:type="dxa"/>
            </w:tcMar>
            <w:vAlign w:val="center"/>
          </w:tcPr>
          <w:p>
            <w:r>
              <w:rPr>
                <w:rFonts w:ascii="Calibri" w:hAnsi="Calibri"/>
                <w:b w:val="0"/>
                <w:i w:val="0"/>
                <w:color w:val="111512"/>
                <w:sz w:val="20"/>
              </w:rPr>
              <w:t>BS Industrial Engineering; MS Industrial Engineering thesis in progress</w:t>
            </w:r>
          </w:p>
        </w:tc>
      </w:tr>
      <w:tr>
        <w:tc>
          <w:tcPr>
            <w:tcW w:type="dxa" w:w="2700"/>
            <w:tcMar>
              <w:top w:w="100" w:type="dxa"/>
              <w:start w:w="140" w:type="dxa"/>
              <w:bottom w:w="100" w:type="dxa"/>
              <w:end w:w="140" w:type="dxa"/>
            </w:tcMar>
            <w:vAlign w:val="center"/>
            <w:shd w:fill="F2F4F0"/>
          </w:tcPr>
          <w:p>
            <w:r>
              <w:rPr>
                <w:rFonts w:ascii="Calibri" w:hAnsi="Calibri"/>
                <w:b/>
                <w:i w:val="0"/>
                <w:color w:val="18323C"/>
                <w:sz w:val="17"/>
              </w:rPr>
              <w:t>OPERATIONAL RANGE</w:t>
            </w:r>
          </w:p>
        </w:tc>
        <w:tc>
          <w:tcPr>
            <w:tcW w:type="dxa" w:w="6660"/>
            <w:tcMar>
              <w:top w:w="100" w:type="dxa"/>
              <w:start w:w="140" w:type="dxa"/>
              <w:bottom w:w="100" w:type="dxa"/>
              <w:end w:w="140" w:type="dxa"/>
            </w:tcMar>
            <w:vAlign w:val="center"/>
          </w:tcPr>
          <w:p>
            <w:r>
              <w:rPr>
                <w:rFonts w:ascii="Calibri" w:hAnsi="Calibri"/>
                <w:b w:val="0"/>
                <w:i w:val="0"/>
                <w:color w:val="111512"/>
                <w:sz w:val="20"/>
              </w:rPr>
              <w:t>Production analysis, facilities leadership, fabrication, materials handling, and documentation</w:t>
            </w:r>
          </w:p>
        </w:tc>
      </w:tr>
      <w:tr>
        <w:tc>
          <w:tcPr>
            <w:tcW w:type="dxa" w:w="2700"/>
            <w:tcMar>
              <w:top w:w="100" w:type="dxa"/>
              <w:start w:w="140" w:type="dxa"/>
              <w:bottom w:w="100" w:type="dxa"/>
              <w:end w:w="140" w:type="dxa"/>
            </w:tcMar>
            <w:vAlign w:val="center"/>
            <w:shd w:fill="F2F4F0"/>
          </w:tcPr>
          <w:p>
            <w:r>
              <w:rPr>
                <w:rFonts w:ascii="Calibri" w:hAnsi="Calibri"/>
                <w:b/>
                <w:i w:val="0"/>
                <w:color w:val="18323C"/>
                <w:sz w:val="17"/>
              </w:rPr>
              <w:t>METHODS</w:t>
            </w:r>
          </w:p>
        </w:tc>
        <w:tc>
          <w:tcPr>
            <w:tcW w:type="dxa" w:w="6660"/>
            <w:tcMar>
              <w:top w:w="100" w:type="dxa"/>
              <w:start w:w="140" w:type="dxa"/>
              <w:bottom w:w="100" w:type="dxa"/>
              <w:end w:w="140" w:type="dxa"/>
            </w:tcMar>
            <w:vAlign w:val="center"/>
          </w:tcPr>
          <w:p>
            <w:r>
              <w:rPr>
                <w:rFonts w:ascii="Calibri" w:hAnsi="Calibri"/>
                <w:b w:val="0"/>
                <w:i w:val="0"/>
                <w:color w:val="111512"/>
                <w:sz w:val="20"/>
              </w:rPr>
              <w:t>Time study, process mapping, ISO 9001, descriptive analysis, KPI design, and workflow automation</w:t>
            </w:r>
          </w:p>
        </w:tc>
      </w:tr>
      <w:tr>
        <w:tc>
          <w:tcPr>
            <w:tcW w:type="dxa" w:w="2700"/>
            <w:tcMar>
              <w:top w:w="100" w:type="dxa"/>
              <w:start w:w="140" w:type="dxa"/>
              <w:bottom w:w="100" w:type="dxa"/>
              <w:end w:w="140" w:type="dxa"/>
            </w:tcMar>
            <w:vAlign w:val="center"/>
            <w:shd w:fill="F2F4F0"/>
          </w:tcPr>
          <w:p>
            <w:r>
              <w:rPr>
                <w:rFonts w:ascii="Calibri" w:hAnsi="Calibri"/>
                <w:b/>
                <w:i w:val="0"/>
                <w:color w:val="18323C"/>
                <w:sz w:val="17"/>
              </w:rPr>
              <w:t>WORKING CONTEXT</w:t>
            </w:r>
          </w:p>
        </w:tc>
        <w:tc>
          <w:tcPr>
            <w:tcW w:type="dxa" w:w="6660"/>
            <w:tcMar>
              <w:top w:w="100" w:type="dxa"/>
              <w:start w:w="140" w:type="dxa"/>
              <w:bottom w:w="100" w:type="dxa"/>
              <w:end w:w="140" w:type="dxa"/>
            </w:tcMar>
            <w:vAlign w:val="center"/>
          </w:tcPr>
          <w:p>
            <w:r>
              <w:rPr>
                <w:rFonts w:ascii="Calibri" w:hAnsi="Calibri"/>
                <w:b w:val="0"/>
                <w:i w:val="0"/>
                <w:color w:val="111512"/>
                <w:sz w:val="20"/>
              </w:rPr>
              <w:t>Philippine institutional and manufacturing environments plus Australian fabrication experience</w:t>
            </w:r>
          </w:p>
        </w:tc>
      </w:tr>
    </w:tbl>
    <w:p>
      <w:pPr>
        <w:pStyle w:val="Heading2"/>
        <w:keepNext/>
      </w:pPr>
      <w:r>
        <w:t>Three working languages</w:t>
      </w:r>
    </w:p>
    <w:p>
      <w:pPr>
        <w:keepNext w:val="0"/>
        <w:spacing w:before="40" w:after="120" w:line="264" w:lineRule="auto"/>
        <w:jc w:val="left"/>
      </w:pPr>
      <w:r>
        <w:rPr>
          <w:rFonts w:ascii="Calibri" w:hAnsi="Calibri"/>
          <w:b/>
          <w:i w:val="0"/>
          <w:color w:val="18323C"/>
          <w:sz w:val="22"/>
        </w:rPr>
        <w:t xml:space="preserve">Operations. </w:t>
      </w:r>
      <w:r>
        <w:rPr>
          <w:rFonts w:ascii="Calibri" w:hAnsi="Calibri"/>
          <w:b w:val="0"/>
          <w:i w:val="0"/>
          <w:color w:val="111512"/>
          <w:sz w:val="22"/>
        </w:rPr>
        <w:t>Standard work, flow, quality, capacity, maintenance, and facility readiness.</w:t>
      </w:r>
    </w:p>
    <w:p>
      <w:pPr>
        <w:keepNext w:val="0"/>
        <w:spacing w:before="40" w:after="120" w:line="264" w:lineRule="auto"/>
        <w:jc w:val="left"/>
      </w:pPr>
      <w:r>
        <w:rPr>
          <w:rFonts w:ascii="Calibri" w:hAnsi="Calibri"/>
          <w:b/>
          <w:i w:val="0"/>
          <w:color w:val="18323C"/>
          <w:sz w:val="22"/>
        </w:rPr>
        <w:t xml:space="preserve">Data. </w:t>
      </w:r>
      <w:r>
        <w:rPr>
          <w:rFonts w:ascii="Calibri" w:hAnsi="Calibri"/>
          <w:b w:val="0"/>
          <w:i w:val="0"/>
          <w:color w:val="111512"/>
          <w:sz w:val="22"/>
        </w:rPr>
        <w:t>Descriptive analysis, reporting, evidence-based interpretation, and KPI logic.</w:t>
      </w:r>
    </w:p>
    <w:p>
      <w:pPr>
        <w:keepNext w:val="0"/>
        <w:spacing w:before="40" w:after="120" w:line="264" w:lineRule="auto"/>
        <w:jc w:val="left"/>
      </w:pPr>
      <w:r>
        <w:rPr>
          <w:rFonts w:ascii="Calibri" w:hAnsi="Calibri"/>
          <w:b/>
          <w:i w:val="0"/>
          <w:color w:val="18323C"/>
          <w:sz w:val="22"/>
        </w:rPr>
        <w:t xml:space="preserve">Fabrication. </w:t>
      </w:r>
      <w:r>
        <w:rPr>
          <w:rFonts w:ascii="Calibri" w:hAnsi="Calibri"/>
          <w:b w:val="0"/>
          <w:i w:val="0"/>
          <w:color w:val="111512"/>
          <w:sz w:val="22"/>
        </w:rPr>
        <w:t>MIG work, rebar cage production, drawings, equipment, material handling, and field constraints.</w:t>
      </w:r>
    </w:p>
    <w:p>
      <w:r>
        <w:br w:type="page"/>
      </w:r>
    </w:p>
    <w:p>
      <w:pPr>
        <w:keepNext w:val="0"/>
        <w:spacing w:before="0" w:after="140" w:line="264" w:lineRule="auto"/>
        <w:jc w:val="left"/>
      </w:pPr>
      <w:r>
        <w:rPr>
          <w:rFonts w:ascii="Calibri" w:hAnsi="Calibri"/>
          <w:b/>
          <w:i w:val="0"/>
          <w:color w:val="5D635E"/>
          <w:sz w:val="17"/>
        </w:rPr>
        <w:t>CASE STUDY 01  /  2018</w:t>
      </w:r>
    </w:p>
    <w:p>
      <w:pPr>
        <w:keepNext w:val="0"/>
        <w:spacing w:before="0" w:after="80" w:line="240" w:lineRule="auto"/>
        <w:jc w:val="left"/>
      </w:pPr>
      <w:r>
        <w:rPr>
          <w:rFonts w:ascii="Calibri" w:hAnsi="Calibri"/>
          <w:b/>
          <w:i w:val="0"/>
          <w:color w:val="18323C"/>
          <w:sz w:val="50"/>
        </w:rPr>
        <w:t>Production flow and time study</w:t>
      </w:r>
    </w:p>
    <w:p>
      <w:pPr>
        <w:keepNext w:val="0"/>
        <w:spacing w:before="0" w:after="360" w:line="264" w:lineRule="auto"/>
        <w:jc w:val="left"/>
      </w:pPr>
      <w:r>
        <w:rPr>
          <w:rFonts w:ascii="Calibri" w:hAnsi="Calibri"/>
          <w:b/>
          <w:i w:val="0"/>
          <w:color w:val="5D635E"/>
          <w:sz w:val="23"/>
        </w:rPr>
        <w:t>Cargill Joy Poultry Meats</w:t>
      </w:r>
    </w:p>
    <w:tbl>
      <w:tblPr>
        <w:tblW w:type="dxa" w:w="9360"/>
        <w:jc w:val="left"/>
        <w:tblLayout w:type="fixed"/>
        <w:tblLook w:firstColumn="1" w:firstRow="1" w:lastColumn="0" w:lastRow="0" w:noHBand="0" w:noVBand="1" w:val="04A0"/>
        <w:tblInd w:w="120" w:type="dxa"/>
        <w:tblBorders>
          <w:top w:val="single" w:sz="8" w:color="111512"/>
          <w:left w:val="single" w:sz="8" w:color="111512"/>
          <w:bottom w:val="single" w:sz="8" w:color="111512"/>
          <w:right w:val="single" w:sz="8" w:color="111512"/>
          <w:insideH w:val="single" w:sz="8" w:color="111512"/>
          <w:insideV w:val="single" w:sz="8" w:color="111512"/>
        </w:tblBorders>
      </w:tblPr>
      <w:tblGrid>
        <w:gridCol w:w="2200"/>
        <w:gridCol w:w="3580"/>
        <w:gridCol w:w="3580"/>
      </w:tblGrid>
      <w:tr>
        <w:tc>
          <w:tcPr>
            <w:tcW w:type="dxa" w:w="2200"/>
            <w:tcMar>
              <w:top w:w="100" w:type="dxa"/>
              <w:start w:w="140" w:type="dxa"/>
              <w:bottom w:w="100" w:type="dxa"/>
              <w:end w:w="140" w:type="dxa"/>
            </w:tcMar>
            <w:vAlign w:val="center"/>
            <w:shd w:fill="FFB000"/>
          </w:tcPr>
          <w:p>
            <w:r>
              <w:rPr>
                <w:rFonts w:ascii="Calibri" w:hAnsi="Calibri"/>
                <w:b/>
                <w:i w:val="0"/>
                <w:color w:val="111512"/>
                <w:sz w:val="16"/>
              </w:rPr>
              <w:t>STATUS</w:t>
            </w:r>
          </w:p>
          <w:p>
            <w:pPr>
              <w:spacing w:after="0"/>
            </w:pPr>
            <w:r>
              <w:rPr>
                <w:rFonts w:ascii="Calibri" w:hAnsi="Calibri"/>
                <w:b/>
                <w:i w:val="0"/>
                <w:color w:val="111512"/>
                <w:sz w:val="19"/>
              </w:rPr>
              <w:t>Completed</w:t>
            </w:r>
          </w:p>
        </w:tc>
        <w:tc>
          <w:tcPr>
            <w:tcW w:type="dxa" w:w="3580"/>
            <w:tcMar>
              <w:top w:w="100" w:type="dxa"/>
              <w:start w:w="140" w:type="dxa"/>
              <w:bottom w:w="100" w:type="dxa"/>
              <w:end w:w="140" w:type="dxa"/>
            </w:tcMar>
            <w:vAlign w:val="center"/>
            <w:shd w:fill="F2F4F0"/>
          </w:tcPr>
          <w:p>
            <w:r>
              <w:rPr>
                <w:rFonts w:ascii="Calibri" w:hAnsi="Calibri"/>
                <w:b/>
                <w:i w:val="0"/>
                <w:color w:val="111512"/>
                <w:sz w:val="16"/>
              </w:rPr>
              <w:t>METHODS</w:t>
            </w:r>
          </w:p>
          <w:p>
            <w:pPr>
              <w:spacing w:after="0"/>
            </w:pPr>
            <w:r>
              <w:rPr>
                <w:rFonts w:ascii="Calibri" w:hAnsi="Calibri"/>
                <w:b w:val="0"/>
                <w:i w:val="0"/>
                <w:color w:val="111512"/>
                <w:sz w:val="19"/>
              </w:rPr>
              <w:t>Therbligs · process charts · time study · layout review</w:t>
            </w:r>
          </w:p>
        </w:tc>
        <w:tc>
          <w:tcPr>
            <w:tcW w:type="dxa" w:w="3580"/>
            <w:tcMar>
              <w:top w:w="100" w:type="dxa"/>
              <w:start w:w="140" w:type="dxa"/>
              <w:bottom w:w="100" w:type="dxa"/>
              <w:end w:w="140" w:type="dxa"/>
            </w:tcMar>
            <w:vAlign w:val="center"/>
            <w:shd w:fill="F2F4F0"/>
          </w:tcPr>
          <w:p>
            <w:r>
              <w:rPr>
                <w:rFonts w:ascii="Calibri" w:hAnsi="Calibri"/>
                <w:b/>
                <w:i w:val="0"/>
                <w:color w:val="111512"/>
                <w:sz w:val="16"/>
              </w:rPr>
              <w:t>PORTFOLIO VALUE</w:t>
            </w:r>
          </w:p>
          <w:p>
            <w:pPr>
              <w:spacing w:after="0"/>
            </w:pPr>
            <w:r>
              <w:rPr>
                <w:rFonts w:ascii="Calibri" w:hAnsi="Calibri"/>
                <w:b w:val="0"/>
                <w:i w:val="0"/>
                <w:color w:val="111512"/>
                <w:sz w:val="19"/>
              </w:rPr>
              <w:t>Shows structured analysis grounded in operational evidence</w:t>
            </w:r>
          </w:p>
        </w:tc>
      </w:tr>
    </w:tbl>
    <w:p>
      <w:pPr>
        <w:pStyle w:val="Heading2"/>
        <w:keepNext/>
      </w:pPr>
      <w:r>
        <w:t>Challenge</w:t>
      </w:r>
    </w:p>
    <w:p>
      <w:pPr>
        <w:keepNext w:val="0"/>
        <w:spacing w:before="0" w:after="120" w:line="264" w:lineRule="auto"/>
        <w:jc w:val="left"/>
      </w:pPr>
      <w:r>
        <w:rPr>
          <w:rFonts w:ascii="Calibri" w:hAnsi="Calibri"/>
          <w:b w:val="0"/>
          <w:i w:val="0"/>
          <w:color w:val="111512"/>
          <w:sz w:val="22"/>
        </w:rPr>
        <w:t>Production work needed a clearer task-level view so bottlenecks, work content, and improvement priorities could be discussed using evidence rather than impression.</w:t>
      </w:r>
    </w:p>
    <w:p>
      <w:pPr>
        <w:pStyle w:val="Heading2"/>
        <w:keepNext/>
      </w:pPr>
      <w:r>
        <w:t>Approach</w:t>
      </w:r>
    </w:p>
    <w:p>
      <w:pPr>
        <w:keepNext w:val="0"/>
        <w:spacing w:before="0" w:after="120" w:line="264" w:lineRule="auto"/>
        <w:jc w:val="left"/>
      </w:pPr>
      <w:r>
        <w:rPr>
          <w:rFonts w:ascii="Calibri" w:hAnsi="Calibri"/>
          <w:b w:val="0"/>
          <w:i w:val="0"/>
          <w:color w:val="111512"/>
          <w:sz w:val="22"/>
        </w:rPr>
        <w:t>Observed work, broke activity into Therbligs, prepared process charts, reviewed flow and layout, and organised the findings into a standard-work perspective.</w:t>
      </w:r>
    </w:p>
    <w:p>
      <w:pPr>
        <w:pStyle w:val="Heading2"/>
        <w:keepNext/>
      </w:pPr>
      <w:r>
        <w:t>My contribution</w:t>
      </w:r>
    </w:p>
    <w:p>
      <w:pPr>
        <w:keepNext w:val="0"/>
        <w:spacing w:before="0" w:after="120" w:line="264" w:lineRule="auto"/>
        <w:jc w:val="left"/>
      </w:pPr>
      <w:r>
        <w:rPr>
          <w:rFonts w:ascii="Calibri" w:hAnsi="Calibri"/>
          <w:b w:val="0"/>
          <w:i w:val="0"/>
          <w:color w:val="111512"/>
          <w:sz w:val="22"/>
        </w:rPr>
        <w:t>Applied industrial engineering methods to document the current state and isolate constraints affecting the production process.</w:t>
      </w:r>
    </w:p>
    <w:p>
      <w:pPr>
        <w:pStyle w:val="Heading2"/>
        <w:keepNext/>
      </w:pPr>
      <w:r>
        <w:t>Evidence and output</w:t>
      </w:r>
    </w:p>
    <w:p>
      <w:pPr>
        <w:keepNext w:val="0"/>
        <w:spacing w:before="0" w:after="160" w:line="288" w:lineRule="auto"/>
        <w:jc w:val="left"/>
      </w:pPr>
      <w:r>
        <w:rPr>
          <w:rFonts w:ascii="Calibri" w:hAnsi="Calibri"/>
          <w:b/>
          <w:i w:val="0"/>
          <w:color w:val="111512"/>
          <w:sz w:val="23"/>
        </w:rPr>
        <w:t>Created a structured view of task content, process flow, and bottleneck findings that management could use to guide standardisation and improvement decisions.</w:t>
      </w:r>
    </w:p>
    <w:p>
      <w:r>
        <w:br w:type="page"/>
      </w:r>
    </w:p>
    <w:p>
      <w:pPr>
        <w:keepNext w:val="0"/>
        <w:spacing w:before="0" w:after="140" w:line="264" w:lineRule="auto"/>
        <w:jc w:val="left"/>
      </w:pPr>
      <w:r>
        <w:rPr>
          <w:rFonts w:ascii="Calibri" w:hAnsi="Calibri"/>
          <w:b/>
          <w:i w:val="0"/>
          <w:color w:val="5D635E"/>
          <w:sz w:val="17"/>
        </w:rPr>
        <w:t>CASE STUDY 02  /  2020</w:t>
      </w:r>
    </w:p>
    <w:p>
      <w:pPr>
        <w:keepNext w:val="0"/>
        <w:spacing w:before="0" w:after="80" w:line="240" w:lineRule="auto"/>
        <w:jc w:val="left"/>
      </w:pPr>
      <w:r>
        <w:rPr>
          <w:rFonts w:ascii="Calibri" w:hAnsi="Calibri"/>
          <w:b/>
          <w:i w:val="0"/>
          <w:color w:val="18323C"/>
          <w:sz w:val="50"/>
        </w:rPr>
        <w:t>ISO 9001:2015 readiness review</w:t>
      </w:r>
    </w:p>
    <w:p>
      <w:pPr>
        <w:keepNext w:val="0"/>
        <w:spacing w:before="0" w:after="360" w:line="264" w:lineRule="auto"/>
        <w:jc w:val="left"/>
      </w:pPr>
      <w:r>
        <w:rPr>
          <w:rFonts w:ascii="Calibri" w:hAnsi="Calibri"/>
          <w:b/>
          <w:i w:val="0"/>
          <w:color w:val="5D635E"/>
          <w:sz w:val="23"/>
        </w:rPr>
        <w:t>Pamantasan ng Cabuyao — Property Management &amp; General Services</w:t>
      </w:r>
    </w:p>
    <w:tbl>
      <w:tblPr>
        <w:tblW w:type="dxa" w:w="9360"/>
        <w:jc w:val="left"/>
        <w:tblLayout w:type="fixed"/>
        <w:tblLook w:firstColumn="1" w:firstRow="1" w:lastColumn="0" w:lastRow="0" w:noHBand="0" w:noVBand="1" w:val="04A0"/>
        <w:tblInd w:w="120" w:type="dxa"/>
        <w:tblBorders>
          <w:top w:val="single" w:sz="8" w:color="111512"/>
          <w:left w:val="single" w:sz="8" w:color="111512"/>
          <w:bottom w:val="single" w:sz="8" w:color="111512"/>
          <w:right w:val="single" w:sz="8" w:color="111512"/>
          <w:insideH w:val="single" w:sz="8" w:color="111512"/>
          <w:insideV w:val="single" w:sz="8" w:color="111512"/>
        </w:tblBorders>
      </w:tblPr>
      <w:tblGrid>
        <w:gridCol w:w="2200"/>
        <w:gridCol w:w="3580"/>
        <w:gridCol w:w="3580"/>
      </w:tblGrid>
      <w:tr>
        <w:tc>
          <w:tcPr>
            <w:tcW w:type="dxa" w:w="2200"/>
            <w:tcMar>
              <w:top w:w="100" w:type="dxa"/>
              <w:start w:w="140" w:type="dxa"/>
              <w:bottom w:w="100" w:type="dxa"/>
              <w:end w:w="140" w:type="dxa"/>
            </w:tcMar>
            <w:vAlign w:val="center"/>
            <w:shd w:fill="FFB000"/>
          </w:tcPr>
          <w:p>
            <w:r>
              <w:rPr>
                <w:rFonts w:ascii="Calibri" w:hAnsi="Calibri"/>
                <w:b/>
                <w:i w:val="0"/>
                <w:color w:val="111512"/>
                <w:sz w:val="16"/>
              </w:rPr>
              <w:t>STATUS</w:t>
            </w:r>
          </w:p>
          <w:p>
            <w:pPr>
              <w:spacing w:after="0"/>
            </w:pPr>
            <w:r>
              <w:rPr>
                <w:rFonts w:ascii="Calibri" w:hAnsi="Calibri"/>
                <w:b/>
                <w:i w:val="0"/>
                <w:color w:val="111512"/>
                <w:sz w:val="19"/>
              </w:rPr>
              <w:t>Completed</w:t>
            </w:r>
          </w:p>
        </w:tc>
        <w:tc>
          <w:tcPr>
            <w:tcW w:type="dxa" w:w="3580"/>
            <w:tcMar>
              <w:top w:w="100" w:type="dxa"/>
              <w:start w:w="140" w:type="dxa"/>
              <w:bottom w:w="100" w:type="dxa"/>
              <w:end w:w="140" w:type="dxa"/>
            </w:tcMar>
            <w:vAlign w:val="center"/>
            <w:shd w:fill="F2F4F0"/>
          </w:tcPr>
          <w:p>
            <w:r>
              <w:rPr>
                <w:rFonts w:ascii="Calibri" w:hAnsi="Calibri"/>
                <w:b/>
                <w:i w:val="0"/>
                <w:color w:val="111512"/>
                <w:sz w:val="16"/>
              </w:rPr>
              <w:t>METHODS</w:t>
            </w:r>
          </w:p>
          <w:p>
            <w:pPr>
              <w:spacing w:after="0"/>
            </w:pPr>
            <w:r>
              <w:rPr>
                <w:rFonts w:ascii="Calibri" w:hAnsi="Calibri"/>
                <w:b w:val="0"/>
                <w:i w:val="0"/>
                <w:color w:val="111512"/>
                <w:sz w:val="19"/>
              </w:rPr>
              <w:t>Clause review · evidence audit · nonconformance analysis</w:t>
            </w:r>
          </w:p>
        </w:tc>
        <w:tc>
          <w:tcPr>
            <w:tcW w:type="dxa" w:w="3580"/>
            <w:tcMar>
              <w:top w:w="100" w:type="dxa"/>
              <w:start w:w="140" w:type="dxa"/>
              <w:bottom w:w="100" w:type="dxa"/>
              <w:end w:w="140" w:type="dxa"/>
            </w:tcMar>
            <w:vAlign w:val="center"/>
            <w:shd w:fill="F2F4F0"/>
          </w:tcPr>
          <w:p>
            <w:r>
              <w:rPr>
                <w:rFonts w:ascii="Calibri" w:hAnsi="Calibri"/>
                <w:b/>
                <w:i w:val="0"/>
                <w:color w:val="111512"/>
                <w:sz w:val="16"/>
              </w:rPr>
              <w:t>PORTFOLIO VALUE</w:t>
            </w:r>
          </w:p>
          <w:p>
            <w:pPr>
              <w:spacing w:after="0"/>
            </w:pPr>
            <w:r>
              <w:rPr>
                <w:rFonts w:ascii="Calibri" w:hAnsi="Calibri"/>
                <w:b w:val="0"/>
                <w:i w:val="0"/>
                <w:color w:val="111512"/>
                <w:sz w:val="19"/>
              </w:rPr>
              <w:t>Shows structured analysis grounded in operational evidence</w:t>
            </w:r>
          </w:p>
        </w:tc>
      </w:tr>
    </w:tbl>
    <w:p>
      <w:pPr>
        <w:pStyle w:val="Heading2"/>
        <w:keepNext/>
      </w:pPr>
      <w:r>
        <w:t>Challenge</w:t>
      </w:r>
    </w:p>
    <w:p>
      <w:pPr>
        <w:keepNext w:val="0"/>
        <w:spacing w:before="0" w:after="120" w:line="264" w:lineRule="auto"/>
        <w:jc w:val="left"/>
      </w:pPr>
      <w:r>
        <w:rPr>
          <w:rFonts w:ascii="Calibri" w:hAnsi="Calibri"/>
          <w:b w:val="0"/>
          <w:i w:val="0"/>
          <w:color w:val="111512"/>
          <w:sz w:val="22"/>
        </w:rPr>
        <w:t>The unit needed an evidence-based understanding of its quality-management gaps and a practical path toward stronger ISO 9001:2015 conformance.</w:t>
      </w:r>
    </w:p>
    <w:p>
      <w:pPr>
        <w:pStyle w:val="Heading2"/>
        <w:keepNext/>
      </w:pPr>
      <w:r>
        <w:t>Approach</w:t>
      </w:r>
    </w:p>
    <w:p>
      <w:pPr>
        <w:keepNext w:val="0"/>
        <w:spacing w:before="0" w:after="120" w:line="264" w:lineRule="auto"/>
        <w:jc w:val="left"/>
      </w:pPr>
      <w:r>
        <w:rPr>
          <w:rFonts w:ascii="Calibri" w:hAnsi="Calibri"/>
          <w:b w:val="0"/>
          <w:i w:val="0"/>
          <w:color w:val="111512"/>
          <w:sz w:val="22"/>
        </w:rPr>
        <w:t>Reviewed clauses and available evidence, assessed documented information, identified nonconformities, and organised actions around audit planning and management review.</w:t>
      </w:r>
    </w:p>
    <w:p>
      <w:pPr>
        <w:pStyle w:val="Heading2"/>
        <w:keepNext/>
      </w:pPr>
      <w:r>
        <w:t>My contribution</w:t>
      </w:r>
    </w:p>
    <w:p>
      <w:pPr>
        <w:keepNext w:val="0"/>
        <w:spacing w:before="0" w:after="120" w:line="264" w:lineRule="auto"/>
        <w:jc w:val="left"/>
      </w:pPr>
      <w:r>
        <w:rPr>
          <w:rFonts w:ascii="Calibri" w:hAnsi="Calibri"/>
          <w:b w:val="0"/>
          <w:i w:val="0"/>
          <w:color w:val="111512"/>
          <w:sz w:val="22"/>
        </w:rPr>
        <w:t>Led the assessment from an operational perspective, connecting clause requirements to real property, maintenance, procurement, and service-delivery processes.</w:t>
      </w:r>
    </w:p>
    <w:p>
      <w:pPr>
        <w:pStyle w:val="Heading2"/>
        <w:keepNext/>
      </w:pPr>
      <w:r>
        <w:t>Evidence and output</w:t>
      </w:r>
    </w:p>
    <w:p>
      <w:pPr>
        <w:keepNext w:val="0"/>
        <w:spacing w:before="0" w:after="160" w:line="288" w:lineRule="auto"/>
        <w:jc w:val="left"/>
      </w:pPr>
      <w:r>
        <w:rPr>
          <w:rFonts w:ascii="Calibri" w:hAnsi="Calibri"/>
          <w:b/>
          <w:i w:val="0"/>
          <w:color w:val="111512"/>
          <w:sz w:val="23"/>
        </w:rPr>
        <w:t>Established a 58.43% overall conformance baseline and identified Clause 9 at 33%, giving the unit a prioritised roadmap for documented information, internal audit, and management review.</w:t>
      </w:r>
    </w:p>
    <w:p>
      <w:r>
        <w:br w:type="page"/>
      </w:r>
    </w:p>
    <w:p>
      <w:pPr>
        <w:keepNext w:val="0"/>
        <w:spacing w:before="0" w:after="140" w:line="264" w:lineRule="auto"/>
        <w:jc w:val="left"/>
      </w:pPr>
      <w:r>
        <w:rPr>
          <w:rFonts w:ascii="Calibri" w:hAnsi="Calibri"/>
          <w:b/>
          <w:i w:val="0"/>
          <w:color w:val="5D635E"/>
          <w:sz w:val="17"/>
        </w:rPr>
        <w:t>CASE STUDY 03  /  2021–2022</w:t>
      </w:r>
    </w:p>
    <w:p>
      <w:pPr>
        <w:keepNext w:val="0"/>
        <w:spacing w:before="0" w:after="80" w:line="240" w:lineRule="auto"/>
        <w:jc w:val="left"/>
      </w:pPr>
      <w:r>
        <w:rPr>
          <w:rFonts w:ascii="Calibri" w:hAnsi="Calibri"/>
          <w:b/>
          <w:i w:val="0"/>
          <w:color w:val="18323C"/>
          <w:sz w:val="50"/>
        </w:rPr>
        <w:t>Physical plant readiness program</w:t>
      </w:r>
    </w:p>
    <w:p>
      <w:pPr>
        <w:keepNext w:val="0"/>
        <w:spacing w:before="0" w:after="360" w:line="264" w:lineRule="auto"/>
        <w:jc w:val="left"/>
      </w:pPr>
      <w:r>
        <w:rPr>
          <w:rFonts w:ascii="Calibri" w:hAnsi="Calibri"/>
          <w:b/>
          <w:i w:val="0"/>
          <w:color w:val="5D635E"/>
          <w:sz w:val="23"/>
        </w:rPr>
        <w:t>Pamantasan ng Cabuyao</w:t>
      </w:r>
    </w:p>
    <w:tbl>
      <w:tblPr>
        <w:tblW w:type="dxa" w:w="9360"/>
        <w:jc w:val="left"/>
        <w:tblLayout w:type="fixed"/>
        <w:tblLook w:firstColumn="1" w:firstRow="1" w:lastColumn="0" w:lastRow="0" w:noHBand="0" w:noVBand="1" w:val="04A0"/>
        <w:tblInd w:w="120" w:type="dxa"/>
        <w:tblBorders>
          <w:top w:val="single" w:sz="8" w:color="111512"/>
          <w:left w:val="single" w:sz="8" w:color="111512"/>
          <w:bottom w:val="single" w:sz="8" w:color="111512"/>
          <w:right w:val="single" w:sz="8" w:color="111512"/>
          <w:insideH w:val="single" w:sz="8" w:color="111512"/>
          <w:insideV w:val="single" w:sz="8" w:color="111512"/>
        </w:tblBorders>
      </w:tblPr>
      <w:tblGrid>
        <w:gridCol w:w="2200"/>
        <w:gridCol w:w="3580"/>
        <w:gridCol w:w="3580"/>
      </w:tblGrid>
      <w:tr>
        <w:tc>
          <w:tcPr>
            <w:tcW w:type="dxa" w:w="2200"/>
            <w:tcMar>
              <w:top w:w="100" w:type="dxa"/>
              <w:start w:w="140" w:type="dxa"/>
              <w:bottom w:w="100" w:type="dxa"/>
              <w:end w:w="140" w:type="dxa"/>
            </w:tcMar>
            <w:vAlign w:val="center"/>
            <w:shd w:fill="FFB000"/>
          </w:tcPr>
          <w:p>
            <w:r>
              <w:rPr>
                <w:rFonts w:ascii="Calibri" w:hAnsi="Calibri"/>
                <w:b/>
                <w:i w:val="0"/>
                <w:color w:val="111512"/>
                <w:sz w:val="16"/>
              </w:rPr>
              <w:t>STATUS</w:t>
            </w:r>
          </w:p>
          <w:p>
            <w:pPr>
              <w:spacing w:after="0"/>
            </w:pPr>
            <w:r>
              <w:rPr>
                <w:rFonts w:ascii="Calibri" w:hAnsi="Calibri"/>
                <w:b/>
                <w:i w:val="0"/>
                <w:color w:val="111512"/>
                <w:sz w:val="19"/>
              </w:rPr>
              <w:t>Completed</w:t>
            </w:r>
          </w:p>
        </w:tc>
        <w:tc>
          <w:tcPr>
            <w:tcW w:type="dxa" w:w="3580"/>
            <w:tcMar>
              <w:top w:w="100" w:type="dxa"/>
              <w:start w:w="140" w:type="dxa"/>
              <w:bottom w:w="100" w:type="dxa"/>
              <w:end w:w="140" w:type="dxa"/>
            </w:tcMar>
            <w:vAlign w:val="center"/>
            <w:shd w:fill="F2F4F0"/>
          </w:tcPr>
          <w:p>
            <w:r>
              <w:rPr>
                <w:rFonts w:ascii="Calibri" w:hAnsi="Calibri"/>
                <w:b/>
                <w:i w:val="0"/>
                <w:color w:val="111512"/>
                <w:sz w:val="16"/>
              </w:rPr>
              <w:t>METHODS</w:t>
            </w:r>
          </w:p>
          <w:p>
            <w:pPr>
              <w:spacing w:after="0"/>
            </w:pPr>
            <w:r>
              <w:rPr>
                <w:rFonts w:ascii="Calibri" w:hAnsi="Calibri"/>
                <w:b w:val="0"/>
                <w:i w:val="0"/>
                <w:color w:val="111512"/>
                <w:sz w:val="19"/>
              </w:rPr>
              <w:t>Facility audit · ventilation review · maintenance planning</w:t>
            </w:r>
          </w:p>
        </w:tc>
        <w:tc>
          <w:tcPr>
            <w:tcW w:type="dxa" w:w="3580"/>
            <w:tcMar>
              <w:top w:w="100" w:type="dxa"/>
              <w:start w:w="140" w:type="dxa"/>
              <w:bottom w:w="100" w:type="dxa"/>
              <w:end w:w="140" w:type="dxa"/>
            </w:tcMar>
            <w:vAlign w:val="center"/>
            <w:shd w:fill="F2F4F0"/>
          </w:tcPr>
          <w:p>
            <w:r>
              <w:rPr>
                <w:rFonts w:ascii="Calibri" w:hAnsi="Calibri"/>
                <w:b/>
                <w:i w:val="0"/>
                <w:color w:val="111512"/>
                <w:sz w:val="16"/>
              </w:rPr>
              <w:t>PORTFOLIO VALUE</w:t>
            </w:r>
          </w:p>
          <w:p>
            <w:pPr>
              <w:spacing w:after="0"/>
            </w:pPr>
            <w:r>
              <w:rPr>
                <w:rFonts w:ascii="Calibri" w:hAnsi="Calibri"/>
                <w:b w:val="0"/>
                <w:i w:val="0"/>
                <w:color w:val="111512"/>
                <w:sz w:val="19"/>
              </w:rPr>
              <w:t>Shows structured analysis grounded in operational evidence</w:t>
            </w:r>
          </w:p>
        </w:tc>
      </w:tr>
    </w:tbl>
    <w:p>
      <w:pPr>
        <w:pStyle w:val="Heading2"/>
        <w:keepNext/>
      </w:pPr>
      <w:r>
        <w:t>Challenge</w:t>
      </w:r>
    </w:p>
    <w:p>
      <w:pPr>
        <w:keepNext w:val="0"/>
        <w:spacing w:before="0" w:after="120" w:line="264" w:lineRule="auto"/>
        <w:jc w:val="left"/>
      </w:pPr>
      <w:r>
        <w:rPr>
          <w:rFonts w:ascii="Calibri" w:hAnsi="Calibri"/>
          <w:b w:val="0"/>
          <w:i w:val="0"/>
          <w:color w:val="111512"/>
          <w:sz w:val="22"/>
        </w:rPr>
        <w:t>The institution needed coordinated physical-plant improvements and documentation to support progression from Level 1 toward Level 2 accreditation readiness.</w:t>
      </w:r>
    </w:p>
    <w:p>
      <w:pPr>
        <w:pStyle w:val="Heading2"/>
        <w:keepNext/>
      </w:pPr>
      <w:r>
        <w:t>Approach</w:t>
      </w:r>
    </w:p>
    <w:p>
      <w:pPr>
        <w:keepNext w:val="0"/>
        <w:spacing w:before="0" w:after="120" w:line="264" w:lineRule="auto"/>
        <w:jc w:val="left"/>
      </w:pPr>
      <w:r>
        <w:rPr>
          <w:rFonts w:ascii="Calibri" w:hAnsi="Calibri"/>
          <w:b w:val="0"/>
          <w:i w:val="0"/>
          <w:color w:val="111512"/>
          <w:sz w:val="22"/>
        </w:rPr>
        <w:t>Assessed facilities, organised evidence, and coordinated improvement actions across signage, accessibility, ventilation, and maintenance planning.</w:t>
      </w:r>
    </w:p>
    <w:p>
      <w:pPr>
        <w:pStyle w:val="Heading2"/>
        <w:keepNext/>
      </w:pPr>
      <w:r>
        <w:t>My contribution</w:t>
      </w:r>
    </w:p>
    <w:p>
      <w:pPr>
        <w:keepNext w:val="0"/>
        <w:spacing w:before="0" w:after="120" w:line="264" w:lineRule="auto"/>
        <w:jc w:val="left"/>
      </w:pPr>
      <w:r>
        <w:rPr>
          <w:rFonts w:ascii="Calibri" w:hAnsi="Calibri"/>
          <w:b w:val="0"/>
          <w:i w:val="0"/>
          <w:color w:val="111512"/>
          <w:sz w:val="22"/>
        </w:rPr>
        <w:t>Connected physical conditions, compliance needs, and documentation into a single operational program rather than treating each observation as an isolated fix.</w:t>
      </w:r>
    </w:p>
    <w:p>
      <w:pPr>
        <w:pStyle w:val="Heading2"/>
        <w:keepNext/>
      </w:pPr>
      <w:r>
        <w:t>Evidence and output</w:t>
      </w:r>
    </w:p>
    <w:p>
      <w:pPr>
        <w:keepNext w:val="0"/>
        <w:spacing w:before="0" w:after="160" w:line="288" w:lineRule="auto"/>
        <w:jc w:val="left"/>
      </w:pPr>
      <w:r>
        <w:rPr>
          <w:rFonts w:ascii="Calibri" w:hAnsi="Calibri"/>
          <w:b/>
          <w:i w:val="0"/>
          <w:color w:val="111512"/>
          <w:sz w:val="23"/>
        </w:rPr>
        <w:t>Integrated facility evidence and corrective actions into a clearer readiness program covering ventilation assessment, signage, accessibility, and predictive-maintenance priorities.</w:t>
      </w:r>
    </w:p>
    <w:p>
      <w:r>
        <w:br w:type="page"/>
      </w:r>
    </w:p>
    <w:p>
      <w:pPr>
        <w:keepNext/>
        <w:spacing w:before="0" w:after="100" w:line="240" w:lineRule="auto"/>
        <w:jc w:val="left"/>
      </w:pPr>
      <w:r>
        <w:rPr>
          <w:rFonts w:ascii="Calibri" w:hAnsi="Calibri"/>
          <w:b/>
          <w:i w:val="0"/>
          <w:color w:val="5D635E"/>
          <w:sz w:val="16"/>
        </w:rPr>
        <w:t>PORTFOLIO STUDIES AND SYSTEM DESIGN</w:t>
      </w:r>
    </w:p>
    <w:p>
      <w:pPr>
        <w:pStyle w:val="Heading1"/>
        <w:keepNext/>
      </w:pPr>
      <w:r>
        <w:t>Data and workflow projects</w:t>
      </w:r>
    </w:p>
    <w:p>
      <w:pPr>
        <w:keepNext w:val="0"/>
        <w:spacing w:before="0" w:after="360" w:line="264" w:lineRule="auto"/>
        <w:jc w:val="left"/>
      </w:pPr>
      <w:r>
        <w:rPr>
          <w:rFonts w:ascii="Calibri" w:hAnsi="Calibri"/>
          <w:b/>
          <w:i w:val="0"/>
          <w:color w:val="111512"/>
          <w:sz w:val="23"/>
        </w:rPr>
        <w:t>These projects demonstrate analytical judgment and workflow architecture. They are labelled separately from completed employer projects to keep the evidence honest.</w:t>
      </w:r>
    </w:p>
    <w:tbl>
      <w:tblPr>
        <w:tblW w:type="dxa" w:w="9360"/>
        <w:jc w:val="left"/>
        <w:tblLayout w:type="fixed"/>
        <w:tblLook w:firstColumn="1" w:firstRow="1" w:lastColumn="0" w:lastRow="0" w:noHBand="0" w:noVBand="1" w:val="04A0"/>
        <w:tblInd w:w="120" w:type="dxa"/>
        <w:tblBorders>
          <w:top w:val="single" w:sz="6" w:color="C8CAC2"/>
          <w:left w:val="single" w:sz="6" w:color="C8CAC2"/>
          <w:bottom w:val="single" w:sz="6" w:color="C8CAC2"/>
          <w:right w:val="single" w:sz="6" w:color="C8CAC2"/>
          <w:insideH w:val="single" w:sz="6" w:color="C8CAC2"/>
          <w:insideV w:val="single" w:sz="6" w:color="C8CAC2"/>
        </w:tblBorders>
      </w:tblPr>
      <w:tblGrid>
        <w:gridCol w:w="2100"/>
        <w:gridCol w:w="7260"/>
      </w:tblGrid>
      <w:tr>
        <w:tc>
          <w:tcPr>
            <w:tcW w:type="dxa" w:w="2100"/>
            <w:tcMar>
              <w:top w:w="100" w:type="dxa"/>
              <w:start w:w="140" w:type="dxa"/>
              <w:bottom w:w="100" w:type="dxa"/>
              <w:end w:w="140" w:type="dxa"/>
            </w:tcMar>
            <w:vAlign w:val="center"/>
            <w:shd w:fill="FFB000"/>
          </w:tcPr>
          <w:p>
            <w:r>
              <w:rPr>
                <w:rFonts w:ascii="Calibri" w:hAnsi="Calibri"/>
                <w:b/>
                <w:i w:val="0"/>
                <w:color w:val="111512"/>
                <w:sz w:val="17"/>
              </w:rPr>
              <w:t>PORTFOLIO STUDY</w:t>
            </w:r>
          </w:p>
          <w:p>
            <w:r>
              <w:rPr>
                <w:rFonts w:ascii="Calibri" w:hAnsi="Calibri"/>
                <w:b/>
                <w:i w:val="0"/>
                <w:color w:val="111512"/>
                <w:sz w:val="48"/>
              </w:rPr>
              <w:t>04</w:t>
            </w:r>
          </w:p>
        </w:tc>
        <w:tc>
          <w:tcPr>
            <w:tcW w:type="dxa" w:w="7260"/>
            <w:tcMar>
              <w:top w:w="100" w:type="dxa"/>
              <w:start w:w="140" w:type="dxa"/>
              <w:bottom w:w="100" w:type="dxa"/>
              <w:end w:w="140" w:type="dxa"/>
            </w:tcMar>
            <w:vAlign w:val="center"/>
          </w:tcPr>
          <w:p>
            <w:r>
              <w:rPr>
                <w:rFonts w:ascii="Calibri" w:hAnsi="Calibri"/>
                <w:b/>
                <w:i w:val="0"/>
                <w:color w:val="18323C"/>
                <w:sz w:val="30"/>
              </w:rPr>
              <w:t>Customer engagement analysis</w:t>
            </w:r>
          </w:p>
          <w:p>
            <w:r>
              <w:rPr>
                <w:rFonts w:ascii="Calibri" w:hAnsi="Calibri"/>
                <w:b/>
                <w:i w:val="0"/>
                <w:color w:val="5D635E"/>
                <w:sz w:val="18"/>
              </w:rPr>
              <w:t>365 Data Science · 2026</w:t>
            </w:r>
          </w:p>
          <w:p>
            <w:pPr>
              <w:spacing w:before="140"/>
            </w:pPr>
            <w:r>
              <w:rPr>
                <w:rFonts w:ascii="Calibri" w:hAnsi="Calibri"/>
                <w:b w:val="0"/>
                <w:i w:val="0"/>
                <w:color w:val="111512"/>
                <w:sz w:val="20"/>
              </w:rPr>
              <w:t>Compared free- and paid-plan learner engagement using descriptive statistics and visual analysis. Examined central tendency, distribution shape, skewness, and kurtosis, then translated the findings into plain business language without claiming causal effects.</w:t>
            </w:r>
          </w:p>
          <w:p>
            <w:pPr>
              <w:spacing w:before="120"/>
            </w:pPr>
            <w:r>
              <w:rPr>
                <w:rFonts w:ascii="Calibri" w:hAnsi="Calibri"/>
                <w:b/>
                <w:i w:val="0"/>
                <w:color w:val="18323C"/>
                <w:sz w:val="18"/>
              </w:rPr>
              <w:t xml:space="preserve">Methods: </w:t>
            </w:r>
            <w:r>
              <w:rPr>
                <w:rFonts w:ascii="Calibri" w:hAnsi="Calibri"/>
                <w:b w:val="0"/>
                <w:i w:val="0"/>
                <w:color w:val="5D635E"/>
                <w:sz w:val="18"/>
              </w:rPr>
              <w:t>Segmentation · descriptive statistics · visual comparison · business interpretation</w:t>
            </w:r>
          </w:p>
        </w:tc>
      </w:tr>
    </w:tbl>
    <w:p>
      <w:pPr>
        <w:keepNext w:val="0"/>
        <w:spacing w:before="0" w:after="160" w:line="264" w:lineRule="auto"/>
        <w:jc w:val="left"/>
      </w:pPr>
    </w:p>
    <w:tbl>
      <w:tblPr>
        <w:tblW w:type="dxa" w:w="9360"/>
        <w:jc w:val="left"/>
        <w:tblLayout w:type="fixed"/>
        <w:tblLook w:firstColumn="1" w:firstRow="1" w:lastColumn="0" w:lastRow="0" w:noHBand="0" w:noVBand="1" w:val="04A0"/>
        <w:tblInd w:w="120" w:type="dxa"/>
        <w:tblBorders>
          <w:top w:val="single" w:sz="6" w:color="C8CAC2"/>
          <w:left w:val="single" w:sz="6" w:color="C8CAC2"/>
          <w:bottom w:val="single" w:sz="6" w:color="C8CAC2"/>
          <w:right w:val="single" w:sz="6" w:color="C8CAC2"/>
          <w:insideH w:val="single" w:sz="6" w:color="C8CAC2"/>
          <w:insideV w:val="single" w:sz="6" w:color="C8CAC2"/>
        </w:tblBorders>
      </w:tblPr>
      <w:tblGrid>
        <w:gridCol w:w="2100"/>
        <w:gridCol w:w="7260"/>
      </w:tblGrid>
      <w:tr>
        <w:tc>
          <w:tcPr>
            <w:tcW w:type="dxa" w:w="2100"/>
            <w:tcMar>
              <w:top w:w="100" w:type="dxa"/>
              <w:start w:w="140" w:type="dxa"/>
              <w:bottom w:w="100" w:type="dxa"/>
              <w:end w:w="140" w:type="dxa"/>
            </w:tcMar>
            <w:vAlign w:val="center"/>
            <w:shd w:fill="18323C"/>
          </w:tcPr>
          <w:p>
            <w:r>
              <w:rPr>
                <w:rFonts w:ascii="Calibri" w:hAnsi="Calibri"/>
                <w:b/>
                <w:i w:val="0"/>
                <w:color w:val="FFFDF7"/>
                <w:sz w:val="17"/>
              </w:rPr>
              <w:t>SYSTEM DESIGN</w:t>
            </w:r>
          </w:p>
          <w:p>
            <w:r>
              <w:rPr>
                <w:rFonts w:ascii="Calibri" w:hAnsi="Calibri"/>
                <w:b/>
                <w:i w:val="0"/>
                <w:color w:val="FFFDF7"/>
                <w:sz w:val="48"/>
              </w:rPr>
              <w:t>05</w:t>
            </w:r>
          </w:p>
        </w:tc>
        <w:tc>
          <w:tcPr>
            <w:tcW w:type="dxa" w:w="7260"/>
            <w:tcMar>
              <w:top w:w="100" w:type="dxa"/>
              <w:start w:w="140" w:type="dxa"/>
              <w:bottom w:w="100" w:type="dxa"/>
              <w:end w:w="140" w:type="dxa"/>
            </w:tcMar>
            <w:vAlign w:val="center"/>
          </w:tcPr>
          <w:p>
            <w:r>
              <w:rPr>
                <w:rFonts w:ascii="Calibri" w:hAnsi="Calibri"/>
                <w:b/>
                <w:i w:val="0"/>
                <w:color w:val="18323C"/>
                <w:sz w:val="30"/>
              </w:rPr>
              <w:t>90-day lead-generation workflow</w:t>
            </w:r>
          </w:p>
          <w:p>
            <w:r>
              <w:rPr>
                <w:rFonts w:ascii="Calibri" w:hAnsi="Calibri"/>
                <w:b/>
                <w:i w:val="0"/>
                <w:color w:val="5D635E"/>
                <w:sz w:val="18"/>
              </w:rPr>
              <w:t>Panalo Pipes · 2026</w:t>
            </w:r>
          </w:p>
          <w:p>
            <w:pPr>
              <w:spacing w:before="140"/>
            </w:pPr>
            <w:r>
              <w:rPr>
                <w:rFonts w:ascii="Calibri" w:hAnsi="Calibri"/>
                <w:b w:val="0"/>
                <w:i w:val="0"/>
                <w:color w:val="111512"/>
                <w:sz w:val="20"/>
              </w:rPr>
              <w:t>Designed an execution-ready workflow for industrial prospecting, lead qualification, follow-up, and management reporting. Structured milestones, dependencies, ownership, forms, rules, custom fields, and next-action controls for a measurable rollout.</w:t>
            </w:r>
          </w:p>
          <w:p>
            <w:pPr>
              <w:spacing w:before="120"/>
            </w:pPr>
            <w:r>
              <w:rPr>
                <w:rFonts w:ascii="Calibri" w:hAnsi="Calibri"/>
                <w:b/>
                <w:i w:val="0"/>
                <w:color w:val="18323C"/>
                <w:sz w:val="18"/>
              </w:rPr>
              <w:t xml:space="preserve">Methods: </w:t>
            </w:r>
            <w:r>
              <w:rPr>
                <w:rFonts w:ascii="Calibri" w:hAnsi="Calibri"/>
                <w:b w:val="0"/>
                <w:i w:val="0"/>
                <w:color w:val="5D635E"/>
                <w:sz w:val="18"/>
              </w:rPr>
              <w:t>Asana · forms · automation rules · custom fields · CRM logic</w:t>
            </w:r>
          </w:p>
        </w:tc>
      </w:tr>
    </w:tbl>
    <w:p>
      <w:r>
        <w:br w:type="page"/>
      </w:r>
    </w:p>
    <w:p>
      <w:pPr>
        <w:keepNext/>
        <w:spacing w:before="0" w:after="100" w:line="240" w:lineRule="auto"/>
        <w:jc w:val="left"/>
      </w:pPr>
      <w:r>
        <w:rPr>
          <w:rFonts w:ascii="Calibri" w:hAnsi="Calibri"/>
          <w:b/>
          <w:i w:val="0"/>
          <w:color w:val="5D635E"/>
          <w:sz w:val="16"/>
        </w:rPr>
        <w:t>CAREER TRAJECTORY</w:t>
      </w:r>
    </w:p>
    <w:p>
      <w:pPr>
        <w:pStyle w:val="Heading1"/>
        <w:keepNext/>
      </w:pPr>
      <w:r>
        <w:t>Experience that connects the office and the field</w:t>
      </w:r>
    </w:p>
    <w:p>
      <w:pPr>
        <w:keepNext w:val="0"/>
        <w:spacing w:before="0" w:after="360" w:line="288" w:lineRule="auto"/>
        <w:jc w:val="left"/>
      </w:pPr>
      <w:r>
        <w:rPr>
          <w:rFonts w:ascii="Calibri" w:hAnsi="Calibri"/>
          <w:b/>
          <w:i w:val="0"/>
          <w:color w:val="111512"/>
          <w:sz w:val="24"/>
        </w:rPr>
        <w:t>My career is not a straight line; it is a useful operating range—from manufacturing analysis, to institutional leadership, to hands-on fabrication.</w:t>
      </w:r>
    </w:p>
    <w:tbl>
      <w:tblPr>
        <w:tblW w:type="dxa" w:w="9360"/>
        <w:jc w:val="left"/>
        <w:tblLayout w:type="fixed"/>
        <w:tblLook w:firstColumn="1" w:firstRow="1" w:lastColumn="0" w:lastRow="0" w:noHBand="0" w:noVBand="1" w:val="04A0"/>
        <w:tblInd w:w="120" w:type="dxa"/>
        <w:tblBorders>
          <w:top w:val="single" w:sz="6" w:color="C8CAC2"/>
          <w:left w:val="single" w:sz="6" w:color="C8CAC2"/>
          <w:bottom w:val="single" w:sz="6" w:color="C8CAC2"/>
          <w:right w:val="single" w:sz="6" w:color="C8CAC2"/>
          <w:insideH w:val="single" w:sz="6" w:color="C8CAC2"/>
          <w:insideV w:val="single" w:sz="6" w:color="C8CAC2"/>
        </w:tblBorders>
      </w:tblPr>
      <w:tblGrid>
        <w:gridCol w:w="1200"/>
        <w:gridCol w:w="2200"/>
        <w:gridCol w:w="2500"/>
        <w:gridCol w:w="3460"/>
      </w:tblGrid>
      <w:tr>
        <w:tc>
          <w:tcPr>
            <w:tcW w:type="dxa" w:w="1200"/>
            <w:tcMar>
              <w:top w:w="100" w:type="dxa"/>
              <w:start w:w="140" w:type="dxa"/>
              <w:bottom w:w="100" w:type="dxa"/>
              <w:end w:w="140" w:type="dxa"/>
            </w:tcMar>
            <w:vAlign w:val="center"/>
            <w:shd w:fill="18323C"/>
          </w:tcPr>
          <w:p>
            <w:r>
              <w:rPr>
                <w:rFonts w:ascii="Calibri" w:hAnsi="Calibri"/>
                <w:b/>
                <w:i w:val="0"/>
                <w:color w:val="FFFDF7"/>
                <w:sz w:val="16"/>
              </w:rPr>
              <w:t>PERIOD</w:t>
            </w:r>
          </w:p>
        </w:tc>
        <w:tc>
          <w:tcPr>
            <w:tcW w:type="dxa" w:w="2200"/>
            <w:tcMar>
              <w:top w:w="100" w:type="dxa"/>
              <w:start w:w="140" w:type="dxa"/>
              <w:bottom w:w="100" w:type="dxa"/>
              <w:end w:w="140" w:type="dxa"/>
            </w:tcMar>
            <w:vAlign w:val="center"/>
            <w:shd w:fill="18323C"/>
          </w:tcPr>
          <w:p>
            <w:r>
              <w:rPr>
                <w:rFonts w:ascii="Calibri" w:hAnsi="Calibri"/>
                <w:b/>
                <w:i w:val="0"/>
                <w:color w:val="FFFDF7"/>
                <w:sz w:val="16"/>
              </w:rPr>
              <w:t>ROLE</w:t>
            </w:r>
          </w:p>
        </w:tc>
        <w:tc>
          <w:tcPr>
            <w:tcW w:type="dxa" w:w="2500"/>
            <w:tcMar>
              <w:top w:w="100" w:type="dxa"/>
              <w:start w:w="140" w:type="dxa"/>
              <w:bottom w:w="100" w:type="dxa"/>
              <w:end w:w="140" w:type="dxa"/>
            </w:tcMar>
            <w:vAlign w:val="center"/>
            <w:shd w:fill="18323C"/>
          </w:tcPr>
          <w:p>
            <w:r>
              <w:rPr>
                <w:rFonts w:ascii="Calibri" w:hAnsi="Calibri"/>
                <w:b/>
                <w:i w:val="0"/>
                <w:color w:val="FFFDF7"/>
                <w:sz w:val="16"/>
              </w:rPr>
              <w:t>ENVIRONMENT</w:t>
            </w:r>
          </w:p>
        </w:tc>
        <w:tc>
          <w:tcPr>
            <w:tcW w:type="dxa" w:w="3460"/>
            <w:tcMar>
              <w:top w:w="100" w:type="dxa"/>
              <w:start w:w="140" w:type="dxa"/>
              <w:bottom w:w="100" w:type="dxa"/>
              <w:end w:w="140" w:type="dxa"/>
            </w:tcMar>
            <w:vAlign w:val="center"/>
            <w:shd w:fill="18323C"/>
          </w:tcPr>
          <w:p>
            <w:r>
              <w:rPr>
                <w:rFonts w:ascii="Calibri" w:hAnsi="Calibri"/>
                <w:b/>
                <w:i w:val="0"/>
                <w:color w:val="FFFDF7"/>
                <w:sz w:val="16"/>
              </w:rPr>
              <w:t>OPERATING FOCUS</w:t>
            </w:r>
          </w:p>
        </w:tc>
      </w:tr>
      <w:tr>
        <w:tc>
          <w:tcPr>
            <w:tcW w:type="dxa" w:w="1200"/>
            <w:tcMar>
              <w:top w:w="100" w:type="dxa"/>
              <w:start w:w="140" w:type="dxa"/>
              <w:bottom w:w="100" w:type="dxa"/>
              <w:end w:w="140" w:type="dxa"/>
            </w:tcMar>
            <w:vAlign w:val="center"/>
            <w:shd w:fill="F2F4F0"/>
          </w:tcPr>
          <w:p>
            <w:r>
              <w:rPr>
                <w:rFonts w:ascii="Calibri" w:hAnsi="Calibri"/>
                <w:b/>
                <w:i w:val="0"/>
                <w:color w:val="111512"/>
                <w:sz w:val="18"/>
              </w:rPr>
              <w:t>2017–18</w:t>
            </w:r>
          </w:p>
        </w:tc>
        <w:tc>
          <w:tcPr>
            <w:tcW w:type="dxa" w:w="2200"/>
            <w:tcMar>
              <w:top w:w="100" w:type="dxa"/>
              <w:start w:w="140" w:type="dxa"/>
              <w:bottom w:w="100" w:type="dxa"/>
              <w:end w:w="140" w:type="dxa"/>
            </w:tcMar>
            <w:vAlign w:val="center"/>
          </w:tcPr>
          <w:p>
            <w:r>
              <w:rPr>
                <w:rFonts w:ascii="Calibri" w:hAnsi="Calibri"/>
                <w:b/>
                <w:i w:val="0"/>
                <w:color w:val="111512"/>
                <w:sz w:val="17"/>
              </w:rPr>
              <w:t>Production Analyst</w:t>
            </w:r>
          </w:p>
        </w:tc>
        <w:tc>
          <w:tcPr>
            <w:tcW w:type="dxa" w:w="2500"/>
            <w:tcMar>
              <w:top w:w="100" w:type="dxa"/>
              <w:start w:w="140" w:type="dxa"/>
              <w:bottom w:w="100" w:type="dxa"/>
              <w:end w:w="140" w:type="dxa"/>
            </w:tcMar>
            <w:vAlign w:val="center"/>
          </w:tcPr>
          <w:p>
            <w:r>
              <w:rPr>
                <w:rFonts w:ascii="Calibri" w:hAnsi="Calibri"/>
                <w:b w:val="0"/>
                <w:i w:val="0"/>
                <w:color w:val="111512"/>
                <w:sz w:val="17"/>
              </w:rPr>
              <w:t>Cargill Joy Poultry Meats</w:t>
            </w:r>
          </w:p>
        </w:tc>
        <w:tc>
          <w:tcPr>
            <w:tcW w:type="dxa" w:w="3460"/>
            <w:tcMar>
              <w:top w:w="100" w:type="dxa"/>
              <w:start w:w="140" w:type="dxa"/>
              <w:bottom w:w="100" w:type="dxa"/>
              <w:end w:w="140" w:type="dxa"/>
            </w:tcMar>
            <w:vAlign w:val="center"/>
          </w:tcPr>
          <w:p>
            <w:r>
              <w:rPr>
                <w:rFonts w:ascii="Calibri" w:hAnsi="Calibri"/>
                <w:b w:val="0"/>
                <w:i w:val="0"/>
                <w:color w:val="111512"/>
                <w:sz w:val="17"/>
              </w:rPr>
              <w:t>Time and motion, process observation, bottleneck analysis</w:t>
            </w:r>
          </w:p>
        </w:tc>
      </w:tr>
      <w:tr>
        <w:tc>
          <w:tcPr>
            <w:tcW w:type="dxa" w:w="1200"/>
            <w:tcMar>
              <w:top w:w="100" w:type="dxa"/>
              <w:start w:w="140" w:type="dxa"/>
              <w:bottom w:w="100" w:type="dxa"/>
              <w:end w:w="140" w:type="dxa"/>
            </w:tcMar>
            <w:vAlign w:val="center"/>
            <w:shd w:fill="F2F4F0"/>
          </w:tcPr>
          <w:p>
            <w:r>
              <w:rPr>
                <w:rFonts w:ascii="Calibri" w:hAnsi="Calibri"/>
                <w:b/>
                <w:i w:val="0"/>
                <w:color w:val="111512"/>
                <w:sz w:val="18"/>
              </w:rPr>
              <w:t>2018–22</w:t>
            </w:r>
          </w:p>
        </w:tc>
        <w:tc>
          <w:tcPr>
            <w:tcW w:type="dxa" w:w="2200"/>
            <w:tcMar>
              <w:top w:w="100" w:type="dxa"/>
              <w:start w:w="140" w:type="dxa"/>
              <w:bottom w:w="100" w:type="dxa"/>
              <w:end w:w="140" w:type="dxa"/>
            </w:tcMar>
            <w:vAlign w:val="center"/>
          </w:tcPr>
          <w:p>
            <w:r>
              <w:rPr>
                <w:rFonts w:ascii="Calibri" w:hAnsi="Calibri"/>
                <w:b/>
                <w:i w:val="0"/>
                <w:color w:val="111512"/>
                <w:sz w:val="17"/>
              </w:rPr>
              <w:t>Director — Property Management &amp; General Services</w:t>
            </w:r>
          </w:p>
        </w:tc>
        <w:tc>
          <w:tcPr>
            <w:tcW w:type="dxa" w:w="2500"/>
            <w:tcMar>
              <w:top w:w="100" w:type="dxa"/>
              <w:start w:w="140" w:type="dxa"/>
              <w:bottom w:w="100" w:type="dxa"/>
              <w:end w:w="140" w:type="dxa"/>
            </w:tcMar>
            <w:vAlign w:val="center"/>
          </w:tcPr>
          <w:p>
            <w:r>
              <w:rPr>
                <w:rFonts w:ascii="Calibri" w:hAnsi="Calibri"/>
                <w:b w:val="0"/>
                <w:i w:val="0"/>
                <w:color w:val="111512"/>
                <w:sz w:val="17"/>
              </w:rPr>
              <w:t>Pamantasan ng Cabuyao</w:t>
            </w:r>
          </w:p>
        </w:tc>
        <w:tc>
          <w:tcPr>
            <w:tcW w:type="dxa" w:w="3460"/>
            <w:tcMar>
              <w:top w:w="100" w:type="dxa"/>
              <w:start w:w="140" w:type="dxa"/>
              <w:bottom w:w="100" w:type="dxa"/>
              <w:end w:w="140" w:type="dxa"/>
            </w:tcMar>
            <w:vAlign w:val="center"/>
          </w:tcPr>
          <w:p>
            <w:r>
              <w:rPr>
                <w:rFonts w:ascii="Calibri" w:hAnsi="Calibri"/>
                <w:b w:val="0"/>
                <w:i w:val="0"/>
                <w:color w:val="111512"/>
                <w:sz w:val="17"/>
              </w:rPr>
              <w:t>Procurement, facilities, ISO 9001, accreditation readiness, safety</w:t>
            </w:r>
          </w:p>
        </w:tc>
      </w:tr>
      <w:tr>
        <w:tc>
          <w:tcPr>
            <w:tcW w:type="dxa" w:w="1200"/>
            <w:tcMar>
              <w:top w:w="100" w:type="dxa"/>
              <w:start w:w="140" w:type="dxa"/>
              <w:bottom w:w="100" w:type="dxa"/>
              <w:end w:w="140" w:type="dxa"/>
            </w:tcMar>
            <w:vAlign w:val="center"/>
            <w:shd w:fill="F2F4F0"/>
          </w:tcPr>
          <w:p>
            <w:r>
              <w:rPr>
                <w:rFonts w:ascii="Calibri" w:hAnsi="Calibri"/>
                <w:b/>
                <w:i w:val="0"/>
                <w:color w:val="111512"/>
                <w:sz w:val="18"/>
              </w:rPr>
              <w:t>2023–26</w:t>
            </w:r>
          </w:p>
        </w:tc>
        <w:tc>
          <w:tcPr>
            <w:tcW w:type="dxa" w:w="2200"/>
            <w:tcMar>
              <w:top w:w="100" w:type="dxa"/>
              <w:start w:w="140" w:type="dxa"/>
              <w:bottom w:w="100" w:type="dxa"/>
              <w:end w:w="140" w:type="dxa"/>
            </w:tcMar>
            <w:vAlign w:val="center"/>
          </w:tcPr>
          <w:p>
            <w:r>
              <w:rPr>
                <w:rFonts w:ascii="Calibri" w:hAnsi="Calibri"/>
                <w:b/>
                <w:i w:val="0"/>
                <w:color w:val="111512"/>
                <w:sz w:val="17"/>
              </w:rPr>
              <w:t>Welder / Fabricator / Materials Operations</w:t>
            </w:r>
          </w:p>
        </w:tc>
        <w:tc>
          <w:tcPr>
            <w:tcW w:type="dxa" w:w="2500"/>
            <w:tcMar>
              <w:top w:w="100" w:type="dxa"/>
              <w:start w:w="140" w:type="dxa"/>
              <w:bottom w:w="100" w:type="dxa"/>
              <w:end w:w="140" w:type="dxa"/>
            </w:tcMar>
            <w:vAlign w:val="center"/>
          </w:tcPr>
          <w:p>
            <w:r>
              <w:rPr>
                <w:rFonts w:ascii="Calibri" w:hAnsi="Calibri"/>
                <w:b w:val="0"/>
                <w:i w:val="0"/>
                <w:color w:val="111512"/>
                <w:sz w:val="17"/>
              </w:rPr>
              <w:t>Australian fabrication environments</w:t>
            </w:r>
          </w:p>
        </w:tc>
        <w:tc>
          <w:tcPr>
            <w:tcW w:type="dxa" w:w="3460"/>
            <w:tcMar>
              <w:top w:w="100" w:type="dxa"/>
              <w:start w:w="140" w:type="dxa"/>
              <w:bottom w:w="100" w:type="dxa"/>
              <w:end w:w="140" w:type="dxa"/>
            </w:tcMar>
            <w:vAlign w:val="center"/>
          </w:tcPr>
          <w:p>
            <w:r>
              <w:rPr>
                <w:rFonts w:ascii="Calibri" w:hAnsi="Calibri"/>
                <w:b w:val="0"/>
                <w:i w:val="0"/>
                <w:color w:val="111512"/>
                <w:sz w:val="17"/>
              </w:rPr>
              <w:t>MIG fabrication, rebar cages, equipment, inventory, forklift, crane</w:t>
            </w:r>
          </w:p>
        </w:tc>
      </w:tr>
      <w:tr>
        <w:tc>
          <w:tcPr>
            <w:tcW w:type="dxa" w:w="1200"/>
            <w:tcMar>
              <w:top w:w="100" w:type="dxa"/>
              <w:start w:w="140" w:type="dxa"/>
              <w:bottom w:w="100" w:type="dxa"/>
              <w:end w:w="140" w:type="dxa"/>
            </w:tcMar>
            <w:vAlign w:val="center"/>
            <w:shd w:fill="F2F4F0"/>
          </w:tcPr>
          <w:p>
            <w:r>
              <w:rPr>
                <w:rFonts w:ascii="Calibri" w:hAnsi="Calibri"/>
                <w:b/>
                <w:i w:val="0"/>
                <w:color w:val="111512"/>
                <w:sz w:val="18"/>
              </w:rPr>
              <w:t>2026–</w:t>
            </w:r>
          </w:p>
        </w:tc>
        <w:tc>
          <w:tcPr>
            <w:tcW w:type="dxa" w:w="2200"/>
            <w:tcMar>
              <w:top w:w="100" w:type="dxa"/>
              <w:start w:w="140" w:type="dxa"/>
              <w:bottom w:w="100" w:type="dxa"/>
              <w:end w:w="140" w:type="dxa"/>
            </w:tcMar>
            <w:vAlign w:val="center"/>
          </w:tcPr>
          <w:p>
            <w:r>
              <w:rPr>
                <w:rFonts w:ascii="Calibri" w:hAnsi="Calibri"/>
                <w:b/>
                <w:i w:val="0"/>
                <w:color w:val="111512"/>
                <w:sz w:val="17"/>
              </w:rPr>
              <w:t>Industrial operations + data + workflow</w:t>
            </w:r>
          </w:p>
        </w:tc>
        <w:tc>
          <w:tcPr>
            <w:tcW w:type="dxa" w:w="2500"/>
            <w:tcMar>
              <w:top w:w="100" w:type="dxa"/>
              <w:start w:w="140" w:type="dxa"/>
              <w:bottom w:w="100" w:type="dxa"/>
              <w:end w:w="140" w:type="dxa"/>
            </w:tcMar>
            <w:vAlign w:val="center"/>
          </w:tcPr>
          <w:p>
            <w:r>
              <w:rPr>
                <w:rFonts w:ascii="Calibri" w:hAnsi="Calibri"/>
                <w:b w:val="0"/>
                <w:i w:val="0"/>
                <w:color w:val="111512"/>
                <w:sz w:val="17"/>
              </w:rPr>
              <w:t>Professional portfolio focus</w:t>
            </w:r>
          </w:p>
        </w:tc>
        <w:tc>
          <w:tcPr>
            <w:tcW w:type="dxa" w:w="3460"/>
            <w:tcMar>
              <w:top w:w="100" w:type="dxa"/>
              <w:start w:w="140" w:type="dxa"/>
              <w:bottom w:w="100" w:type="dxa"/>
              <w:end w:w="140" w:type="dxa"/>
            </w:tcMar>
            <w:vAlign w:val="center"/>
          </w:tcPr>
          <w:p>
            <w:r>
              <w:rPr>
                <w:rFonts w:ascii="Calibri" w:hAnsi="Calibri"/>
                <w:b w:val="0"/>
                <w:i w:val="0"/>
                <w:color w:val="111512"/>
                <w:sz w:val="17"/>
              </w:rPr>
              <w:t>Documentation, analytics, automation, project coordination</w:t>
            </w:r>
          </w:p>
        </w:tc>
      </w:tr>
    </w:tbl>
    <w:p>
      <w:pPr>
        <w:pStyle w:val="Heading2"/>
        <w:keepNext/>
      </w:pPr>
      <w:r>
        <w:t>Tools and methods</w:t>
      </w:r>
    </w:p>
    <w:p>
      <w:pPr>
        <w:keepNext w:val="0"/>
        <w:spacing w:before="0" w:after="120" w:line="264" w:lineRule="auto"/>
        <w:jc w:val="left"/>
      </w:pPr>
      <w:r>
        <w:rPr>
          <w:rFonts w:ascii="Calibri" w:hAnsi="Calibri"/>
          <w:b w:val="0"/>
          <w:i w:val="0"/>
          <w:color w:val="111512"/>
          <w:sz w:val="22"/>
        </w:rPr>
        <w:t>Industrial engineering: time study, process mapping, standard work, facility readiness, quality-system assessment, maintenance thinking.</w:t>
      </w:r>
    </w:p>
    <w:p>
      <w:pPr>
        <w:keepNext w:val="0"/>
        <w:spacing w:before="0" w:after="120" w:line="264" w:lineRule="auto"/>
        <w:jc w:val="left"/>
      </w:pPr>
      <w:r>
        <w:rPr>
          <w:rFonts w:ascii="Calibri" w:hAnsi="Calibri"/>
          <w:b w:val="0"/>
          <w:i w:val="0"/>
          <w:color w:val="111512"/>
          <w:sz w:val="22"/>
        </w:rPr>
        <w:t>Data and workflow: Excel reporting, descriptive analysis, Python foundations, KPI logic, Asana projects, rules, forms, dependencies, and custom fields.</w:t>
      </w:r>
    </w:p>
    <w:p>
      <w:pPr>
        <w:keepNext w:val="0"/>
        <w:spacing w:before="0" w:after="120" w:line="264" w:lineRule="auto"/>
        <w:jc w:val="left"/>
      </w:pPr>
      <w:r>
        <w:rPr>
          <w:rFonts w:ascii="Calibri" w:hAnsi="Calibri"/>
          <w:b w:val="0"/>
          <w:i w:val="0"/>
          <w:color w:val="111512"/>
          <w:sz w:val="22"/>
        </w:rPr>
        <w:t>Fabrication context: MIG, rebar production, drawing interpretation, Pedax Permatic, material handling, forklift, crane, and inventory control.</w:t>
      </w:r>
    </w:p>
    <w:p>
      <w:r>
        <w:br w:type="page"/>
      </w:r>
    </w:p>
    <w:p>
      <w:pPr>
        <w:keepNext/>
        <w:spacing w:before="0" w:after="100" w:line="240" w:lineRule="auto"/>
        <w:jc w:val="left"/>
      </w:pPr>
      <w:r>
        <w:rPr>
          <w:rFonts w:ascii="Calibri" w:hAnsi="Calibri"/>
          <w:b/>
          <w:i w:val="0"/>
          <w:color w:val="5D635E"/>
          <w:sz w:val="16"/>
        </w:rPr>
        <w:t>CREDENTIALS AND OPPORTUNITY FIT</w:t>
      </w:r>
    </w:p>
    <w:p>
      <w:pPr>
        <w:pStyle w:val="Heading1"/>
        <w:keepNext/>
      </w:pPr>
      <w:r>
        <w:t>Ready to contribute where systems meet execution</w:t>
      </w:r>
    </w:p>
    <w:p>
      <w:pPr>
        <w:keepNext w:val="0"/>
        <w:spacing w:before="0" w:after="360" w:line="300" w:lineRule="auto"/>
        <w:jc w:val="left"/>
      </w:pPr>
      <w:r>
        <w:rPr>
          <w:rFonts w:ascii="Calibri" w:hAnsi="Calibri"/>
          <w:b/>
          <w:i w:val="0"/>
          <w:color w:val="111512"/>
          <w:sz w:val="25"/>
        </w:rPr>
        <w:t>I am best suited to roles that value practical documentation, analytical discipline, operational understanding, and the ability to coordinate work across functions.</w:t>
      </w:r>
    </w:p>
    <w:tbl>
      <w:tblPr>
        <w:tblW w:type="dxa" w:w="9360"/>
        <w:jc w:val="left"/>
        <w:tblLayout w:type="fixed"/>
        <w:tblLook w:firstColumn="1" w:firstRow="1" w:lastColumn="0" w:lastRow="0" w:noHBand="0" w:noVBand="1" w:val="04A0"/>
        <w:tblInd w:w="120" w:type="dxa"/>
        <w:tblBorders>
          <w:top w:val="single" w:sz="6" w:color="C8CAC2"/>
          <w:left w:val="single" w:sz="6" w:color="C8CAC2"/>
          <w:bottom w:val="single" w:sz="6" w:color="C8CAC2"/>
          <w:right w:val="single" w:sz="6" w:color="C8CAC2"/>
          <w:insideH w:val="single" w:sz="6" w:color="C8CAC2"/>
          <w:insideV w:val="single" w:sz="6" w:color="C8CAC2"/>
        </w:tblBorders>
      </w:tblPr>
      <w:tblGrid>
        <w:gridCol w:w="2500"/>
        <w:gridCol w:w="6860"/>
      </w:tblGrid>
      <w:tr>
        <w:tc>
          <w:tcPr>
            <w:tcW w:type="dxa" w:w="2500"/>
            <w:tcMar>
              <w:top w:w="100" w:type="dxa"/>
              <w:start w:w="140" w:type="dxa"/>
              <w:bottom w:w="100" w:type="dxa"/>
              <w:end w:w="140" w:type="dxa"/>
            </w:tcMar>
            <w:vAlign w:val="center"/>
            <w:shd w:fill="F2F4F0"/>
          </w:tcPr>
          <w:p>
            <w:r>
              <w:rPr>
                <w:rFonts w:ascii="Calibri" w:hAnsi="Calibri"/>
                <w:b/>
                <w:i w:val="0"/>
                <w:color w:val="18323C"/>
                <w:sz w:val="17"/>
              </w:rPr>
              <w:t>EDUCATION</w:t>
            </w:r>
          </w:p>
        </w:tc>
        <w:tc>
          <w:tcPr>
            <w:tcW w:type="dxa" w:w="6860"/>
            <w:tcMar>
              <w:top w:w="100" w:type="dxa"/>
              <w:start w:w="140" w:type="dxa"/>
              <w:bottom w:w="100" w:type="dxa"/>
              <w:end w:w="140" w:type="dxa"/>
            </w:tcMar>
            <w:vAlign w:val="center"/>
          </w:tcPr>
          <w:p>
            <w:r>
              <w:rPr>
                <w:rFonts w:ascii="Calibri" w:hAnsi="Calibri"/>
                <w:b w:val="0"/>
                <w:i w:val="0"/>
                <w:color w:val="111512"/>
                <w:sz w:val="20"/>
              </w:rPr>
              <w:t>BS Industrial Engineering; MS Industrial Engineering thesis in progress</w:t>
            </w:r>
          </w:p>
        </w:tc>
      </w:tr>
      <w:tr>
        <w:tc>
          <w:tcPr>
            <w:tcW w:type="dxa" w:w="2500"/>
            <w:tcMar>
              <w:top w:w="100" w:type="dxa"/>
              <w:start w:w="140" w:type="dxa"/>
              <w:bottom w:w="100" w:type="dxa"/>
              <w:end w:w="140" w:type="dxa"/>
            </w:tcMar>
            <w:vAlign w:val="center"/>
            <w:shd w:fill="F2F4F0"/>
          </w:tcPr>
          <w:p>
            <w:r>
              <w:rPr>
                <w:rFonts w:ascii="Calibri" w:hAnsi="Calibri"/>
                <w:b/>
                <w:i w:val="0"/>
                <w:color w:val="18323C"/>
                <w:sz w:val="17"/>
              </w:rPr>
              <w:t>FABRICATION</w:t>
            </w:r>
          </w:p>
        </w:tc>
        <w:tc>
          <w:tcPr>
            <w:tcW w:type="dxa" w:w="6860"/>
            <w:tcMar>
              <w:top w:w="100" w:type="dxa"/>
              <w:start w:w="140" w:type="dxa"/>
              <w:bottom w:w="100" w:type="dxa"/>
              <w:end w:w="140" w:type="dxa"/>
            </w:tcMar>
            <w:vAlign w:val="center"/>
          </w:tcPr>
          <w:p>
            <w:r>
              <w:rPr>
                <w:rFonts w:ascii="Calibri" w:hAnsi="Calibri"/>
                <w:b w:val="0"/>
                <w:i w:val="0"/>
                <w:color w:val="111512"/>
                <w:sz w:val="20"/>
              </w:rPr>
              <w:t>Certificate IV in Engineering – Fabrication (MEM40119)</w:t>
            </w:r>
          </w:p>
        </w:tc>
      </w:tr>
      <w:tr>
        <w:tc>
          <w:tcPr>
            <w:tcW w:type="dxa" w:w="2500"/>
            <w:tcMar>
              <w:top w:w="100" w:type="dxa"/>
              <w:start w:w="140" w:type="dxa"/>
              <w:bottom w:w="100" w:type="dxa"/>
              <w:end w:w="140" w:type="dxa"/>
            </w:tcMar>
            <w:vAlign w:val="center"/>
            <w:shd w:fill="F2F4F0"/>
          </w:tcPr>
          <w:p>
            <w:r>
              <w:rPr>
                <w:rFonts w:ascii="Calibri" w:hAnsi="Calibri"/>
                <w:b/>
                <w:i w:val="0"/>
                <w:color w:val="18323C"/>
                <w:sz w:val="17"/>
              </w:rPr>
              <w:t>IMPROVEMENT</w:t>
            </w:r>
          </w:p>
        </w:tc>
        <w:tc>
          <w:tcPr>
            <w:tcW w:type="dxa" w:w="6860"/>
            <w:tcMar>
              <w:top w:w="100" w:type="dxa"/>
              <w:start w:w="140" w:type="dxa"/>
              <w:bottom w:w="100" w:type="dxa"/>
              <w:end w:w="140" w:type="dxa"/>
            </w:tcMar>
            <w:vAlign w:val="center"/>
          </w:tcPr>
          <w:p>
            <w:r>
              <w:rPr>
                <w:rFonts w:ascii="Calibri" w:hAnsi="Calibri"/>
                <w:b w:val="0"/>
                <w:i w:val="0"/>
                <w:color w:val="111512"/>
                <w:sz w:val="20"/>
              </w:rPr>
              <w:t>Lean Six Sigma Yellow Belt; ISO 9001:2015 implementation experience</w:t>
            </w:r>
          </w:p>
        </w:tc>
      </w:tr>
      <w:tr>
        <w:tc>
          <w:tcPr>
            <w:tcW w:type="dxa" w:w="2500"/>
            <w:tcMar>
              <w:top w:w="100" w:type="dxa"/>
              <w:start w:w="140" w:type="dxa"/>
              <w:bottom w:w="100" w:type="dxa"/>
              <w:end w:w="140" w:type="dxa"/>
            </w:tcMar>
            <w:vAlign w:val="center"/>
            <w:shd w:fill="F2F4F0"/>
          </w:tcPr>
          <w:p>
            <w:r>
              <w:rPr>
                <w:rFonts w:ascii="Calibri" w:hAnsi="Calibri"/>
                <w:b/>
                <w:i w:val="0"/>
                <w:color w:val="18323C"/>
                <w:sz w:val="17"/>
              </w:rPr>
              <w:t>SAFETY</w:t>
            </w:r>
          </w:p>
        </w:tc>
        <w:tc>
          <w:tcPr>
            <w:tcW w:type="dxa" w:w="6860"/>
            <w:tcMar>
              <w:top w:w="100" w:type="dxa"/>
              <w:start w:w="140" w:type="dxa"/>
              <w:bottom w:w="100" w:type="dxa"/>
              <w:end w:w="140" w:type="dxa"/>
            </w:tcMar>
            <w:vAlign w:val="center"/>
          </w:tcPr>
          <w:p>
            <w:r>
              <w:rPr>
                <w:rFonts w:ascii="Calibri" w:hAnsi="Calibri"/>
                <w:b w:val="0"/>
                <w:i w:val="0"/>
                <w:color w:val="111512"/>
                <w:sz w:val="20"/>
              </w:rPr>
              <w:t>BOSH; First Aid and CPR</w:t>
            </w:r>
          </w:p>
        </w:tc>
      </w:tr>
      <w:tr>
        <w:tc>
          <w:tcPr>
            <w:tcW w:type="dxa" w:w="2500"/>
            <w:tcMar>
              <w:top w:w="100" w:type="dxa"/>
              <w:start w:w="140" w:type="dxa"/>
              <w:bottom w:w="100" w:type="dxa"/>
              <w:end w:w="140" w:type="dxa"/>
            </w:tcMar>
            <w:vAlign w:val="center"/>
            <w:shd w:fill="F2F4F0"/>
          </w:tcPr>
          <w:p>
            <w:r>
              <w:rPr>
                <w:rFonts w:ascii="Calibri" w:hAnsi="Calibri"/>
                <w:b/>
                <w:i w:val="0"/>
                <w:color w:val="18323C"/>
                <w:sz w:val="17"/>
              </w:rPr>
              <w:t>HIGH-RISK WORK</w:t>
            </w:r>
          </w:p>
        </w:tc>
        <w:tc>
          <w:tcPr>
            <w:tcW w:type="dxa" w:w="6860"/>
            <w:tcMar>
              <w:top w:w="100" w:type="dxa"/>
              <w:start w:w="140" w:type="dxa"/>
              <w:bottom w:w="100" w:type="dxa"/>
              <w:end w:w="140" w:type="dxa"/>
            </w:tcMar>
            <w:vAlign w:val="center"/>
          </w:tcPr>
          <w:p>
            <w:r>
              <w:rPr>
                <w:rFonts w:ascii="Calibri" w:hAnsi="Calibri"/>
                <w:b w:val="0"/>
                <w:i w:val="0"/>
                <w:color w:val="111512"/>
                <w:sz w:val="20"/>
              </w:rPr>
              <w:t>LF forklift and LO order picker credentials</w:t>
            </w:r>
          </w:p>
        </w:tc>
      </w:tr>
    </w:tbl>
    <w:p>
      <w:pPr>
        <w:pStyle w:val="Heading2"/>
        <w:keepNext/>
      </w:pPr>
      <w:r>
        <w:t>Target opportunities</w:t>
      </w:r>
    </w:p>
    <w:p>
      <w:pPr>
        <w:keepNext w:val="0"/>
        <w:spacing w:before="20" w:after="120" w:line="264" w:lineRule="auto"/>
        <w:jc w:val="left"/>
      </w:pPr>
      <w:r>
        <w:rPr>
          <w:rFonts w:ascii="Calibri" w:hAnsi="Calibri"/>
          <w:b/>
          <w:i w:val="0"/>
          <w:color w:val="18323C"/>
          <w:sz w:val="22"/>
        </w:rPr>
        <w:t xml:space="preserve">Industrial operations: </w:t>
      </w:r>
      <w:r>
        <w:rPr>
          <w:rFonts w:ascii="Calibri" w:hAnsi="Calibri"/>
          <w:b w:val="0"/>
          <w:i w:val="0"/>
          <w:color w:val="111512"/>
          <w:sz w:val="22"/>
        </w:rPr>
        <w:t>process improvement, production support, documentation, facilities, and quality coordination</w:t>
      </w:r>
    </w:p>
    <w:p>
      <w:pPr>
        <w:keepNext w:val="0"/>
        <w:spacing w:before="20" w:after="120" w:line="264" w:lineRule="auto"/>
        <w:jc w:val="left"/>
      </w:pPr>
      <w:r>
        <w:rPr>
          <w:rFonts w:ascii="Calibri" w:hAnsi="Calibri"/>
          <w:b/>
          <w:i w:val="0"/>
          <w:color w:val="18323C"/>
          <w:sz w:val="22"/>
        </w:rPr>
        <w:t xml:space="preserve">Data and reporting: </w:t>
      </w:r>
      <w:r>
        <w:rPr>
          <w:rFonts w:ascii="Calibri" w:hAnsi="Calibri"/>
          <w:b w:val="0"/>
          <w:i w:val="0"/>
          <w:color w:val="111512"/>
          <w:sz w:val="22"/>
        </w:rPr>
        <w:t>operational analysis, KPI reporting, business-facing insights, and workflow visibility</w:t>
      </w:r>
    </w:p>
    <w:p>
      <w:pPr>
        <w:keepNext w:val="0"/>
        <w:spacing w:before="20" w:after="120" w:line="264" w:lineRule="auto"/>
        <w:jc w:val="left"/>
      </w:pPr>
      <w:r>
        <w:rPr>
          <w:rFonts w:ascii="Calibri" w:hAnsi="Calibri"/>
          <w:b/>
          <w:i w:val="0"/>
          <w:color w:val="18323C"/>
          <w:sz w:val="22"/>
        </w:rPr>
        <w:t xml:space="preserve">Workflow coordination: </w:t>
      </w:r>
      <w:r>
        <w:rPr>
          <w:rFonts w:ascii="Calibri" w:hAnsi="Calibri"/>
          <w:b w:val="0"/>
          <w:i w:val="0"/>
          <w:color w:val="111512"/>
          <w:sz w:val="22"/>
        </w:rPr>
        <w:t>project systems, automation logic, task governance, and remote documentation support</w:t>
      </w:r>
    </w:p>
    <w:p>
      <w:pPr>
        <w:spacing w:before="280" w:after="200"/>
        <w:pBdr>
          <w:bottom w:val="single" w:sz="24" w:space="1" w:color="FFB000"/>
        </w:pBdr>
      </w:pPr>
    </w:p>
    <w:p>
      <w:pPr>
        <w:keepNext w:val="0"/>
        <w:spacing w:before="0" w:after="60" w:line="264" w:lineRule="auto"/>
        <w:jc w:val="left"/>
      </w:pPr>
      <w:r>
        <w:rPr>
          <w:rFonts w:ascii="Calibri" w:hAnsi="Calibri"/>
          <w:b/>
          <w:i w:val="0"/>
          <w:color w:val="111512"/>
          <w:sz w:val="28"/>
        </w:rPr>
        <w:t>JAYSON P. SUGPATAN</w:t>
      </w:r>
    </w:p>
    <w:p>
      <w:pPr>
        <w:keepNext w:val="0"/>
        <w:spacing w:before="0" w:after="0" w:line="264" w:lineRule="auto"/>
        <w:jc w:val="left"/>
      </w:pPr>
      <w:r>
        <w:rPr>
          <w:rFonts w:ascii="Calibri" w:hAnsi="Calibri"/>
          <w:b/>
          <w:i w:val="0"/>
          <w:color w:val="5D635E"/>
          <w:sz w:val="19"/>
        </w:rPr>
        <w:t>Philippines-based · Australian industry experience · Open to remote and hybrid opportunities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i w:val="0"/>
        <w:color w:val="5D635E"/>
        <w:sz w:val="16"/>
      </w:rPr>
      <w:t xml:space="preserve">INDUSTRIAL ENGINEERING  ·  OPERATIONS  ·  DATA   |   </w:t>
    </w:r>
    <w:r>
      <w:rPr>
        <w:rFonts w:ascii="Calibri" w:hAnsi="Calibri"/>
        <w:b w:val="0"/>
        <w:i w:val="0"/>
        <w:color w:val="5D635E"/>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D635E"/>
        <w:sz w:val="16"/>
      </w:rPr>
      <w:t>JAYSON P. SUGPATAN  /  PROFESSIONAL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323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323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2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Jayson P. Sugpatan — Professional Portfolio</dc:title>
  <dc:subject>Industrial engineering, operations, data, workflow, and fabrication portfolio</dc:subject>
  <dc:creator>Jayson P. Sugpatan</dc:creator>
  <cp:keywords/>
  <dc:description>generated by python-docx</dc:description>
  <cp:lastModifiedBy/>
  <cp:revision>1</cp:revision>
  <dcterms:created xsi:type="dcterms:W3CDTF">2013-12-23T23:15:00Z</dcterms:created>
  <dcterms:modified xsi:type="dcterms:W3CDTF">2013-12-23T23:15:00Z</dcterms:modified>
  <cp:category/>
</cp:coreProperties>
</file>