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200"/>
      </w:pPr>
      <w:r>
        <w:rPr>
          <w:rFonts w:ascii="Arial" w:hAnsi="Arial"/>
          <w:b/>
          <w:color w:val="17365D"/>
          <w:sz w:val="60"/>
        </w:rPr>
        <w:t>CUSTOMER ENGAGEMENT</w:t>
        <w:br/>
        <w:t>ANALYSIS</w:t>
      </w:r>
    </w:p>
    <w:p>
      <w:pPr>
        <w:pStyle w:val="SubtitleCustom"/>
        <w:spacing w:after="560"/>
      </w:pPr>
      <w:r>
        <w:t>Excel Statistics Portfolio Project</w:t>
      </w:r>
    </w:p>
    <w:p>
      <w:pPr>
        <w:spacing w:after="440"/>
      </w:pPr>
      <w:r>
        <w:rPr>
          <w:color w:val="5B9BD5"/>
          <w:sz w:val="22"/>
        </w:rPr>
        <w:t>━━━━━━━━━━━━━━━━━━━━━━━━━━━━━━━━━━━━━━━━</w:t>
      </w:r>
    </w:p>
    <w:tbl>
      <w:tblPr>
        <w:tblW w:type="auto" w:w="0"/>
        <w:jc w:val="left"/>
        <w:tblLayout w:type="fixed"/>
        <w:tblLook w:firstColumn="1" w:firstRow="1" w:lastColumn="0" w:lastRow="0" w:noHBand="0" w:noVBand="1" w:val="04A0"/>
      </w:tblPr>
      <w:tblGrid>
        <w:gridCol w:w="5040"/>
        <w:gridCol w:w="5040"/>
      </w:tblGrid>
      <w:tr>
        <w:tc>
          <w:tcPr>
            <w:tcW w:type="dxa" w:w="2088"/>
            <w:tcMar>
              <w:top w:w="100" w:type="dxa"/>
              <w:start w:w="100" w:type="dxa"/>
              <w:bottom w:w="100" w:type="dxa"/>
              <w:end w:w="100" w:type="dxa"/>
            </w:tcMar>
            <w:shd w:fill="EAF1F8"/>
            <w:tcBorders>
              <w:top w:val="single" w:sz="4" w:color="D9E2F3"/>
              <w:left w:val="single" w:sz="4" w:color="D9E2F3"/>
              <w:bottom w:val="single" w:sz="4" w:color="D9E2F3"/>
              <w:right w:val="single" w:sz="4" w:color="D9E2F3"/>
              <w:insideH w:val="single" w:sz="4" w:color="D9E2F3"/>
              <w:insideV w:val="single" w:sz="4" w:color="D9E2F3"/>
            </w:tcBorders>
          </w:tcPr>
          <w:p>
            <w:r>
              <w:rPr>
                <w:rFonts w:ascii="Arial" w:hAnsi="Arial"/>
                <w:b/>
                <w:color w:val="17365D"/>
                <w:sz w:val="20"/>
              </w:rPr>
              <w:t>Prepared by</w:t>
            </w:r>
          </w:p>
        </w:tc>
        <w:tc>
          <w:tcPr>
            <w:tcW w:type="dxa" w:w="7632"/>
            <w:tcMar>
              <w:top w:w="100" w:type="dxa"/>
              <w:start w:w="100" w:type="dxa"/>
              <w:bottom w:w="100" w:type="dxa"/>
              <w:end w:w="100" w:type="dxa"/>
            </w:tcMar>
            <w:tcBorders>
              <w:top w:val="single" w:sz="4" w:color="D9E2F3"/>
              <w:left w:val="single" w:sz="4" w:color="D9E2F3"/>
              <w:bottom w:val="single" w:sz="4" w:color="D9E2F3"/>
              <w:right w:val="single" w:sz="4" w:color="D9E2F3"/>
              <w:insideH w:val="single" w:sz="4" w:color="D9E2F3"/>
              <w:insideV w:val="single" w:sz="4" w:color="D9E2F3"/>
            </w:tcBorders>
          </w:tcPr>
          <w:p>
            <w:r>
              <w:rPr>
                <w:rFonts w:ascii="Arial" w:hAnsi="Arial"/>
                <w:sz w:val="20"/>
              </w:rPr>
              <w:t>Jayson P. Sugpatan</w:t>
            </w:r>
          </w:p>
        </w:tc>
      </w:tr>
      <w:tr>
        <w:tc>
          <w:tcPr>
            <w:tcW w:type="dxa" w:w="2088"/>
            <w:tcMar>
              <w:top w:w="100" w:type="dxa"/>
              <w:start w:w="100" w:type="dxa"/>
              <w:bottom w:w="100" w:type="dxa"/>
              <w:end w:w="100" w:type="dxa"/>
            </w:tcMar>
            <w:shd w:fill="EAF1F8"/>
            <w:tcBorders>
              <w:top w:val="single" w:sz="4" w:color="D9E2F3"/>
              <w:left w:val="single" w:sz="4" w:color="D9E2F3"/>
              <w:bottom w:val="single" w:sz="4" w:color="D9E2F3"/>
              <w:right w:val="single" w:sz="4" w:color="D9E2F3"/>
              <w:insideH w:val="single" w:sz="4" w:color="D9E2F3"/>
              <w:insideV w:val="single" w:sz="4" w:color="D9E2F3"/>
            </w:tcBorders>
          </w:tcPr>
          <w:p>
            <w:r>
              <w:rPr>
                <w:rFonts w:ascii="Arial" w:hAnsi="Arial"/>
                <w:b/>
                <w:color w:val="17365D"/>
                <w:sz w:val="20"/>
              </w:rPr>
              <w:t>Tool</w:t>
            </w:r>
          </w:p>
        </w:tc>
        <w:tc>
          <w:tcPr>
            <w:tcW w:type="dxa" w:w="7632"/>
            <w:tcMar>
              <w:top w:w="100" w:type="dxa"/>
              <w:start w:w="100" w:type="dxa"/>
              <w:bottom w:w="100" w:type="dxa"/>
              <w:end w:w="100" w:type="dxa"/>
            </w:tcMar>
            <w:tcBorders>
              <w:top w:val="single" w:sz="4" w:color="D9E2F3"/>
              <w:left w:val="single" w:sz="4" w:color="D9E2F3"/>
              <w:bottom w:val="single" w:sz="4" w:color="D9E2F3"/>
              <w:right w:val="single" w:sz="4" w:color="D9E2F3"/>
              <w:insideH w:val="single" w:sz="4" w:color="D9E2F3"/>
              <w:insideV w:val="single" w:sz="4" w:color="D9E2F3"/>
            </w:tcBorders>
          </w:tcPr>
          <w:p>
            <w:r>
              <w:rPr>
                <w:rFonts w:ascii="Arial" w:hAnsi="Arial"/>
                <w:sz w:val="20"/>
              </w:rPr>
              <w:t>Microsoft Excel</w:t>
            </w:r>
          </w:p>
        </w:tc>
      </w:tr>
      <w:tr>
        <w:tc>
          <w:tcPr>
            <w:tcW w:type="dxa" w:w="2088"/>
            <w:tcMar>
              <w:top w:w="100" w:type="dxa"/>
              <w:start w:w="100" w:type="dxa"/>
              <w:bottom w:w="100" w:type="dxa"/>
              <w:end w:w="100" w:type="dxa"/>
            </w:tcMar>
            <w:shd w:fill="EAF1F8"/>
            <w:tcBorders>
              <w:top w:val="single" w:sz="4" w:color="D9E2F3"/>
              <w:left w:val="single" w:sz="4" w:color="D9E2F3"/>
              <w:bottom w:val="single" w:sz="4" w:color="D9E2F3"/>
              <w:right w:val="single" w:sz="4" w:color="D9E2F3"/>
              <w:insideH w:val="single" w:sz="4" w:color="D9E2F3"/>
              <w:insideV w:val="single" w:sz="4" w:color="D9E2F3"/>
            </w:tcBorders>
          </w:tcPr>
          <w:p>
            <w:r>
              <w:rPr>
                <w:rFonts w:ascii="Arial" w:hAnsi="Arial"/>
                <w:b/>
                <w:color w:val="17365D"/>
                <w:sz w:val="20"/>
              </w:rPr>
              <w:t>Source workbook</w:t>
            </w:r>
          </w:p>
        </w:tc>
        <w:tc>
          <w:tcPr>
            <w:tcW w:type="dxa" w:w="7632"/>
            <w:tcMar>
              <w:top w:w="100" w:type="dxa"/>
              <w:start w:w="100" w:type="dxa"/>
              <w:bottom w:w="100" w:type="dxa"/>
              <w:end w:w="100" w:type="dxa"/>
            </w:tcMar>
            <w:tcBorders>
              <w:top w:val="single" w:sz="4" w:color="D9E2F3"/>
              <w:left w:val="single" w:sz="4" w:color="D9E2F3"/>
              <w:bottom w:val="single" w:sz="4" w:color="D9E2F3"/>
              <w:right w:val="single" w:sz="4" w:color="D9E2F3"/>
              <w:insideH w:val="single" w:sz="4" w:color="D9E2F3"/>
              <w:insideV w:val="single" w:sz="4" w:color="D9E2F3"/>
            </w:tcBorders>
          </w:tcPr>
          <w:p>
            <w:r>
              <w:rPr>
                <w:rFonts w:ascii="Arial" w:hAnsi="Arial"/>
                <w:sz w:val="20"/>
              </w:rPr>
              <w:t>Engagement Project.xlsx</w:t>
            </w:r>
          </w:p>
        </w:tc>
      </w:tr>
      <w:tr>
        <w:tc>
          <w:tcPr>
            <w:tcW w:type="dxa" w:w="2088"/>
            <w:tcMar>
              <w:top w:w="100" w:type="dxa"/>
              <w:start w:w="100" w:type="dxa"/>
              <w:bottom w:w="100" w:type="dxa"/>
              <w:end w:w="100" w:type="dxa"/>
            </w:tcMar>
            <w:shd w:fill="EAF1F8"/>
            <w:tcBorders>
              <w:top w:val="single" w:sz="4" w:color="D9E2F3"/>
              <w:left w:val="single" w:sz="4" w:color="D9E2F3"/>
              <w:bottom w:val="single" w:sz="4" w:color="D9E2F3"/>
              <w:right w:val="single" w:sz="4" w:color="D9E2F3"/>
              <w:insideH w:val="single" w:sz="4" w:color="D9E2F3"/>
              <w:insideV w:val="single" w:sz="4" w:color="D9E2F3"/>
            </w:tcBorders>
          </w:tcPr>
          <w:p>
            <w:r>
              <w:rPr>
                <w:rFonts w:ascii="Arial" w:hAnsi="Arial"/>
                <w:b/>
                <w:color w:val="17365D"/>
                <w:sz w:val="20"/>
              </w:rPr>
              <w:t>Scope</w:t>
            </w:r>
          </w:p>
        </w:tc>
        <w:tc>
          <w:tcPr>
            <w:tcW w:type="dxa" w:w="7632"/>
            <w:tcMar>
              <w:top w:w="100" w:type="dxa"/>
              <w:start w:w="100" w:type="dxa"/>
              <w:bottom w:w="100" w:type="dxa"/>
              <w:end w:w="100" w:type="dxa"/>
            </w:tcMar>
            <w:tcBorders>
              <w:top w:val="single" w:sz="4" w:color="D9E2F3"/>
              <w:left w:val="single" w:sz="4" w:color="D9E2F3"/>
              <w:bottom w:val="single" w:sz="4" w:color="D9E2F3"/>
              <w:right w:val="single" w:sz="4" w:color="D9E2F3"/>
              <w:insideH w:val="single" w:sz="4" w:color="D9E2F3"/>
              <w:insideV w:val="single" w:sz="4" w:color="D9E2F3"/>
            </w:tcBorders>
          </w:tcPr>
          <w:p>
            <w:r>
              <w:rPr>
                <w:rFonts w:ascii="Arial" w:hAnsi="Arial"/>
                <w:sz w:val="20"/>
              </w:rPr>
              <w:t>Descriptive statistics, confidence intervals and hypothesis testing</w:t>
            </w:r>
          </w:p>
        </w:tc>
      </w:tr>
    </w:tbl>
    <w:p>
      <w:pPr>
        <w:spacing w:before="560"/>
      </w:pPr>
      <w:r>
        <w:rPr>
          <w:b/>
          <w:color w:val="17365D"/>
        </w:rPr>
        <w:t>Project purpose</w:t>
      </w:r>
      <w:r>
        <w:br/>
        <w:t>Assess whether student engagement changed between Q4 2021 and Q4 2022, whether the change differs between free- and paid-plan students, and whether 2022 free-plan engagement differs between the US and India.</w:t>
      </w:r>
    </w:p>
    <w:p>
      <w:r>
        <w:br w:type="page"/>
      </w:r>
    </w:p>
    <w:p>
      <w:pPr>
        <w:pStyle w:val="Heading1"/>
      </w:pPr>
      <w:r>
        <w:t>1. Executive Summary</w:t>
      </w:r>
    </w:p>
    <w:p>
      <w:r>
        <w:t>This project uses Excel-based statistical analysis to support a customer engagement decision. The analysis compares minutes watched across subscription plans, time periods and regions, and then translates the results into practical business insights.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37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1F4E78"/>
          </w:tcPr>
          <w:p>
            <w:pPr>
              <w:spacing w:after="0"/>
            </w:pPr>
            <w:r>
              <w:rPr>
                <w:rFonts w:ascii="Arial" w:hAnsi="Arial"/>
                <w:b/>
                <w:color w:val="FFFFFF"/>
                <w:sz w:val="17"/>
              </w:rPr>
              <w:t>Comparison</w:t>
            </w:r>
          </w:p>
        </w:tc>
        <w:tc>
          <w:tcPr>
            <w:tcW w:type="dxa" w:w="165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1F4E78"/>
          </w:tcPr>
          <w:p>
            <w:pPr>
              <w:spacing w:after="0"/>
            </w:pPr>
            <w:r>
              <w:rPr>
                <w:rFonts w:ascii="Arial" w:hAnsi="Arial"/>
                <w:b/>
                <w:color w:val="FFFFFF"/>
                <w:sz w:val="17"/>
              </w:rPr>
              <w:t>Average 1</w:t>
            </w:r>
          </w:p>
        </w:tc>
        <w:tc>
          <w:tcPr>
            <w:tcW w:type="dxa" w:w="165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1F4E78"/>
          </w:tcPr>
          <w:p>
            <w:pPr>
              <w:spacing w:after="0"/>
            </w:pPr>
            <w:r>
              <w:rPr>
                <w:rFonts w:ascii="Arial" w:hAnsi="Arial"/>
                <w:b/>
                <w:color w:val="FFFFFF"/>
                <w:sz w:val="17"/>
              </w:rPr>
              <w:t>Average 2</w:t>
            </w:r>
          </w:p>
        </w:tc>
        <w:tc>
          <w:tcPr>
            <w:tcW w:type="dxa" w:w="4392"/>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1F4E78"/>
          </w:tcPr>
          <w:p>
            <w:pPr>
              <w:spacing w:after="0"/>
            </w:pPr>
            <w:r>
              <w:rPr>
                <w:rFonts w:ascii="Arial" w:hAnsi="Arial"/>
                <w:b/>
                <w:color w:val="FFFFFF"/>
                <w:sz w:val="17"/>
              </w:rPr>
              <w:t>Finding</w:t>
            </w:r>
          </w:p>
        </w:tc>
      </w:tr>
      <w:tr>
        <w:tc>
          <w:tcPr>
            <w:tcW w:type="dxa" w:w="237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tcPr>
          <w:p>
            <w:pPr>
              <w:spacing w:after="0"/>
            </w:pPr>
            <w:r>
              <w:rPr>
                <w:rFonts w:ascii="Arial" w:hAnsi="Arial"/>
                <w:sz w:val="17"/>
              </w:rPr>
              <w:t>Paid: 2021 vs 2022</w:t>
            </w:r>
          </w:p>
        </w:tc>
        <w:tc>
          <w:tcPr>
            <w:tcW w:type="dxa" w:w="165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tcPr>
          <w:p>
            <w:pPr>
              <w:spacing w:after="0"/>
            </w:pPr>
            <w:r>
              <w:rPr>
                <w:rFonts w:ascii="Arial" w:hAnsi="Arial"/>
                <w:sz w:val="17"/>
              </w:rPr>
              <w:t>332.50</w:t>
            </w:r>
          </w:p>
        </w:tc>
        <w:tc>
          <w:tcPr>
            <w:tcW w:type="dxa" w:w="165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tcPr>
          <w:p>
            <w:pPr>
              <w:spacing w:after="0"/>
            </w:pPr>
            <w:r>
              <w:rPr>
                <w:rFonts w:ascii="Arial" w:hAnsi="Arial"/>
                <w:sz w:val="17"/>
              </w:rPr>
              <w:t>368.35</w:t>
            </w:r>
          </w:p>
        </w:tc>
        <w:tc>
          <w:tcPr>
            <w:tcW w:type="dxa" w:w="4392"/>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tcPr>
          <w:p>
            <w:pPr>
              <w:spacing w:after="0"/>
            </w:pPr>
            <w:r>
              <w:rPr>
                <w:rFonts w:ascii="Arial" w:hAnsi="Arial"/>
                <w:sz w:val="17"/>
              </w:rPr>
              <w:t>Engagement increased 10.8%; statistically significant</w:t>
            </w:r>
          </w:p>
        </w:tc>
      </w:tr>
      <w:tr>
        <w:tc>
          <w:tcPr>
            <w:tcW w:type="dxa" w:w="237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F5F8FC"/>
          </w:tcPr>
          <w:p>
            <w:pPr>
              <w:spacing w:after="0"/>
            </w:pPr>
            <w:r>
              <w:rPr>
                <w:rFonts w:ascii="Arial" w:hAnsi="Arial"/>
                <w:sz w:val="17"/>
              </w:rPr>
              <w:t>Free: 2021 vs 2022</w:t>
            </w:r>
          </w:p>
        </w:tc>
        <w:tc>
          <w:tcPr>
            <w:tcW w:type="dxa" w:w="165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F5F8FC"/>
          </w:tcPr>
          <w:p>
            <w:pPr>
              <w:spacing w:after="0"/>
            </w:pPr>
            <w:r>
              <w:rPr>
                <w:rFonts w:ascii="Arial" w:hAnsi="Arial"/>
                <w:sz w:val="17"/>
              </w:rPr>
              <w:t>133.93</w:t>
            </w:r>
          </w:p>
        </w:tc>
        <w:tc>
          <w:tcPr>
            <w:tcW w:type="dxa" w:w="165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F5F8FC"/>
          </w:tcPr>
          <w:p>
            <w:pPr>
              <w:spacing w:after="0"/>
            </w:pPr>
            <w:r>
              <w:rPr>
                <w:rFonts w:ascii="Arial" w:hAnsi="Arial"/>
                <w:sz w:val="17"/>
              </w:rPr>
              <w:t>69.15</w:t>
            </w:r>
          </w:p>
        </w:tc>
        <w:tc>
          <w:tcPr>
            <w:tcW w:type="dxa" w:w="4392"/>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F5F8FC"/>
          </w:tcPr>
          <w:p>
            <w:pPr>
              <w:spacing w:after="0"/>
            </w:pPr>
            <w:r>
              <w:rPr>
                <w:rFonts w:ascii="Arial" w:hAnsi="Arial"/>
                <w:sz w:val="17"/>
              </w:rPr>
              <w:t>Engagement decreased 48.4%; opposite of the expected increase</w:t>
            </w:r>
          </w:p>
        </w:tc>
      </w:tr>
      <w:tr>
        <w:tc>
          <w:tcPr>
            <w:tcW w:type="dxa" w:w="237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tcPr>
          <w:p>
            <w:pPr>
              <w:spacing w:after="0"/>
            </w:pPr>
            <w:r>
              <w:rPr>
                <w:rFonts w:ascii="Arial" w:hAnsi="Arial"/>
                <w:sz w:val="17"/>
              </w:rPr>
              <w:t>Free 2022: US vs India</w:t>
            </w:r>
          </w:p>
        </w:tc>
        <w:tc>
          <w:tcPr>
            <w:tcW w:type="dxa" w:w="165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tcPr>
          <w:p>
            <w:pPr>
              <w:spacing w:after="0"/>
            </w:pPr>
            <w:r>
              <w:rPr>
                <w:rFonts w:ascii="Arial" w:hAnsi="Arial"/>
                <w:sz w:val="17"/>
              </w:rPr>
              <w:t>73.07</w:t>
            </w:r>
          </w:p>
        </w:tc>
        <w:tc>
          <w:tcPr>
            <w:tcW w:type="dxa" w:w="165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tcPr>
          <w:p>
            <w:pPr>
              <w:spacing w:after="0"/>
            </w:pPr>
            <w:r>
              <w:rPr>
                <w:rFonts w:ascii="Arial" w:hAnsi="Arial"/>
                <w:sz w:val="17"/>
              </w:rPr>
              <w:t>78.42</w:t>
            </w:r>
          </w:p>
        </w:tc>
        <w:tc>
          <w:tcPr>
            <w:tcW w:type="dxa" w:w="4392"/>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tcPr>
          <w:p>
            <w:pPr>
              <w:spacing w:after="0"/>
            </w:pPr>
            <w:r>
              <w:rPr>
                <w:rFonts w:ascii="Arial" w:hAnsi="Arial"/>
                <w:sz w:val="17"/>
              </w:rPr>
              <w:t>Difference not statistically significant at the 5% level</w:t>
            </w:r>
          </w:p>
        </w:tc>
      </w:tr>
    </w:tbl>
    <w:p>
      <w:pPr>
        <w:spacing w:before="160" w:after="0"/>
      </w:pPr>
      <w:r>
        <w:rPr>
          <w:b/>
          <w:color w:val="17365D"/>
        </w:rPr>
        <w:t xml:space="preserve">Main conclusion: </w:t>
      </w:r>
      <w:r>
        <w:t>The data does not support a blanket claim that the platform changes improved engagement for all students. Paid-plan students improved, while free-plan students declined sharply.</w:t>
      </w:r>
    </w:p>
    <w:p>
      <w:pPr>
        <w:jc w:val="center"/>
      </w:pPr>
      <w:r>
        <w:drawing>
          <wp:inline xmlns:a="http://schemas.openxmlformats.org/drawingml/2006/main" xmlns:pic="http://schemas.openxmlformats.org/drawingml/2006/picture">
            <wp:extent cx="5166360" cy="2382917"/>
            <wp:docPr id="1" name="Picture 1"/>
            <wp:cNvGraphicFramePr>
              <a:graphicFrameLocks noChangeAspect="1"/>
            </wp:cNvGraphicFramePr>
            <a:graphic>
              <a:graphicData uri="http://schemas.openxmlformats.org/drawingml/2006/picture">
                <pic:pic>
                  <pic:nvPicPr>
                    <pic:cNvPr id="0" name="engagement_means.png"/>
                    <pic:cNvPicPr/>
                  </pic:nvPicPr>
                  <pic:blipFill>
                    <a:blip r:embed="rId11"/>
                    <a:stretch>
                      <a:fillRect/>
                    </a:stretch>
                  </pic:blipFill>
                  <pic:spPr>
                    <a:xfrm>
                      <a:off x="0" y="0"/>
                      <a:ext cx="5166360" cy="2382917"/>
                    </a:xfrm>
                    <a:prstGeom prst="rect"/>
                  </pic:spPr>
                </pic:pic>
              </a:graphicData>
            </a:graphic>
          </wp:inline>
        </w:drawing>
      </w:r>
    </w:p>
    <w:p>
      <w:pPr>
        <w:spacing w:after="0"/>
        <w:jc w:val="center"/>
      </w:pPr>
      <w:r>
        <w:rPr>
          <w:i/>
          <w:color w:val="667085"/>
          <w:sz w:val="17"/>
        </w:rPr>
        <w:t>Figure 1. Average minutes watched by plan and year</w:t>
      </w:r>
    </w:p>
    <w:p>
      <w:pPr>
        <w:pStyle w:val="Heading1"/>
      </w:pPr>
      <w:r>
        <w:t>2. Approach and Excel Methods</w:t>
      </w:r>
    </w:p>
    <w:p>
      <w:pPr>
        <w:pStyle w:val="ListBullet"/>
        <w:spacing w:after="20" w:line="240" w:lineRule="auto"/>
      </w:pPr>
      <w:r>
        <w:t>Descriptive statistics: mean, median, standard deviation, skewness and kurtosis.</w:t>
      </w:r>
    </w:p>
    <w:p>
      <w:pPr>
        <w:pStyle w:val="ListBullet"/>
        <w:spacing w:after="20" w:line="240" w:lineRule="auto"/>
      </w:pPr>
      <w:r>
        <w:t>95% confidence intervals for mean engagement using z = 1.96.</w:t>
      </w:r>
    </w:p>
    <w:p>
      <w:pPr>
        <w:pStyle w:val="ListBullet"/>
        <w:spacing w:after="20" w:line="240" w:lineRule="auto"/>
      </w:pPr>
      <w:r>
        <w:t>Two-sample F-tests to check whether variances differed between groups.</w:t>
      </w:r>
    </w:p>
    <w:p>
      <w:pPr>
        <w:pStyle w:val="ListBullet"/>
        <w:spacing w:after="20" w:line="240" w:lineRule="auto"/>
      </w:pPr>
      <w:r>
        <w:t>Welch two-sample t-tests (unequal variances) for 2021 vs 2022 and US vs India comparisons.</w:t>
      </w:r>
    </w:p>
    <w:p>
      <w:pPr>
        <w:pStyle w:val="ListBullet"/>
        <w:spacing w:after="20" w:line="240" w:lineRule="auto"/>
      </w:pPr>
      <w:r>
        <w:t>Business interpretation focused on whether the results justify product and engagement decisions.</w:t>
      </w:r>
    </w:p>
    <w:p>
      <w:r>
        <w:rPr>
          <w:b/>
        </w:rPr>
        <w:t xml:space="preserve">Key Excel functions used: </w:t>
      </w:r>
      <w:r>
        <w:t>AVERAGE, MEDIAN, STDEV.S, SKEW, KURT, COUNT, SQRT, VAR.S, F.TEST and T.DIST.</w:t>
      </w:r>
    </w:p>
    <w:p>
      <w:pPr>
        <w:pStyle w:val="Heading1"/>
      </w:pPr>
      <w:r>
        <w:t>3. Descriptive Statistics (Task 2)</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2160"/>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1F4E78"/>
          </w:tcPr>
          <w:p>
            <w:pPr>
              <w:spacing w:after="0"/>
            </w:pPr>
            <w:r>
              <w:rPr>
                <w:rFonts w:ascii="Arial" w:hAnsi="Arial"/>
                <w:b/>
                <w:color w:val="FFFFFF"/>
                <w:sz w:val="17"/>
              </w:rPr>
              <w:t>Group</w:t>
            </w:r>
          </w:p>
        </w:tc>
        <w:tc>
          <w:tcPr>
            <w:tcW w:type="dxa" w:w="93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1F4E78"/>
          </w:tcPr>
          <w:p>
            <w:pPr>
              <w:spacing w:after="0"/>
            </w:pPr>
            <w:r>
              <w:rPr>
                <w:rFonts w:ascii="Arial" w:hAnsi="Arial"/>
                <w:b/>
                <w:color w:val="FFFFFF"/>
                <w:sz w:val="17"/>
              </w:rPr>
              <w:t>n</w:t>
            </w:r>
          </w:p>
        </w:tc>
        <w:tc>
          <w:tcPr>
            <w:tcW w:type="dxa" w:w="129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1F4E78"/>
          </w:tcPr>
          <w:p>
            <w:pPr>
              <w:spacing w:after="0"/>
            </w:pPr>
            <w:r>
              <w:rPr>
                <w:rFonts w:ascii="Arial" w:hAnsi="Arial"/>
                <w:b/>
                <w:color w:val="FFFFFF"/>
                <w:sz w:val="17"/>
              </w:rPr>
              <w:t>Mean</w:t>
            </w:r>
          </w:p>
        </w:tc>
        <w:tc>
          <w:tcPr>
            <w:tcW w:type="dxa" w:w="129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1F4E78"/>
          </w:tcPr>
          <w:p>
            <w:pPr>
              <w:spacing w:after="0"/>
            </w:pPr>
            <w:r>
              <w:rPr>
                <w:rFonts w:ascii="Arial" w:hAnsi="Arial"/>
                <w:b/>
                <w:color w:val="FFFFFF"/>
                <w:sz w:val="17"/>
              </w:rPr>
              <w:t>Median</w:t>
            </w:r>
          </w:p>
        </w:tc>
        <w:tc>
          <w:tcPr>
            <w:tcW w:type="dxa" w:w="129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1F4E78"/>
          </w:tcPr>
          <w:p>
            <w:pPr>
              <w:spacing w:after="0"/>
            </w:pPr>
            <w:r>
              <w:rPr>
                <w:rFonts w:ascii="Arial" w:hAnsi="Arial"/>
                <w:b/>
                <w:color w:val="FFFFFF"/>
                <w:sz w:val="17"/>
              </w:rPr>
              <w:t>Skewness</w:t>
            </w:r>
          </w:p>
        </w:tc>
        <w:tc>
          <w:tcPr>
            <w:tcW w:type="dxa" w:w="1440"/>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1F4E78"/>
          </w:tcPr>
          <w:p>
            <w:pPr>
              <w:spacing w:after="0"/>
            </w:pPr>
            <w:r>
              <w:rPr>
                <w:rFonts w:ascii="Arial" w:hAnsi="Arial"/>
                <w:b/>
                <w:color w:val="FFFFFF"/>
                <w:sz w:val="17"/>
              </w:rPr>
              <w:t>Kurtosis</w:t>
            </w:r>
          </w:p>
        </w:tc>
      </w:tr>
      <w:tr>
        <w:tc>
          <w:tcPr>
            <w:tcW w:type="dxa" w:w="2160"/>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tcPr>
          <w:p>
            <w:pPr>
              <w:spacing w:after="0"/>
            </w:pPr>
            <w:r>
              <w:rPr>
                <w:rFonts w:ascii="Arial" w:hAnsi="Arial"/>
                <w:sz w:val="17"/>
              </w:rPr>
              <w:t>Paid - Q4 2021</w:t>
            </w:r>
          </w:p>
        </w:tc>
        <w:tc>
          <w:tcPr>
            <w:tcW w:type="dxa" w:w="93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tcPr>
          <w:p>
            <w:pPr>
              <w:spacing w:after="0"/>
            </w:pPr>
            <w:r>
              <w:rPr>
                <w:rFonts w:ascii="Arial" w:hAnsi="Arial"/>
                <w:sz w:val="17"/>
              </w:rPr>
              <w:t>457</w:t>
            </w:r>
          </w:p>
        </w:tc>
        <w:tc>
          <w:tcPr>
            <w:tcW w:type="dxa" w:w="129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tcPr>
          <w:p>
            <w:pPr>
              <w:spacing w:after="0"/>
            </w:pPr>
            <w:r>
              <w:rPr>
                <w:rFonts w:ascii="Arial" w:hAnsi="Arial"/>
                <w:sz w:val="17"/>
              </w:rPr>
              <w:t>33.80</w:t>
            </w:r>
          </w:p>
        </w:tc>
        <w:tc>
          <w:tcPr>
            <w:tcW w:type="dxa" w:w="129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tcPr>
          <w:p>
            <w:pPr>
              <w:spacing w:after="0"/>
            </w:pPr>
            <w:r>
              <w:rPr>
                <w:rFonts w:ascii="Arial" w:hAnsi="Arial"/>
                <w:sz w:val="17"/>
              </w:rPr>
              <w:t>26.33</w:t>
            </w:r>
          </w:p>
        </w:tc>
        <w:tc>
          <w:tcPr>
            <w:tcW w:type="dxa" w:w="129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tcPr>
          <w:p>
            <w:pPr>
              <w:spacing w:after="0"/>
            </w:pPr>
            <w:r>
              <w:rPr>
                <w:rFonts w:ascii="Arial" w:hAnsi="Arial"/>
                <w:sz w:val="17"/>
              </w:rPr>
              <w:t>0.63</w:t>
            </w:r>
          </w:p>
        </w:tc>
        <w:tc>
          <w:tcPr>
            <w:tcW w:type="dxa" w:w="1440"/>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tcPr>
          <w:p>
            <w:pPr>
              <w:spacing w:after="0"/>
            </w:pPr>
            <w:r>
              <w:rPr>
                <w:rFonts w:ascii="Arial" w:hAnsi="Arial"/>
                <w:sz w:val="17"/>
              </w:rPr>
              <w:t>-0.85</w:t>
            </w:r>
          </w:p>
        </w:tc>
      </w:tr>
      <w:tr>
        <w:tc>
          <w:tcPr>
            <w:tcW w:type="dxa" w:w="2160"/>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F5F8FC"/>
          </w:tcPr>
          <w:p>
            <w:pPr>
              <w:spacing w:after="0"/>
            </w:pPr>
            <w:r>
              <w:rPr>
                <w:rFonts w:ascii="Arial" w:hAnsi="Arial"/>
                <w:sz w:val="17"/>
              </w:rPr>
              <w:t>Paid - Q4 2022</w:t>
            </w:r>
          </w:p>
        </w:tc>
        <w:tc>
          <w:tcPr>
            <w:tcW w:type="dxa" w:w="93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F5F8FC"/>
          </w:tcPr>
          <w:p>
            <w:pPr>
              <w:spacing w:after="0"/>
            </w:pPr>
            <w:r>
              <w:rPr>
                <w:rFonts w:ascii="Arial" w:hAnsi="Arial"/>
                <w:sz w:val="17"/>
              </w:rPr>
              <w:t>457</w:t>
            </w:r>
          </w:p>
        </w:tc>
        <w:tc>
          <w:tcPr>
            <w:tcW w:type="dxa" w:w="129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F5F8FC"/>
          </w:tcPr>
          <w:p>
            <w:pPr>
              <w:spacing w:after="0"/>
            </w:pPr>
            <w:r>
              <w:rPr>
                <w:rFonts w:ascii="Arial" w:hAnsi="Arial"/>
                <w:sz w:val="17"/>
              </w:rPr>
              <w:t>273.02</w:t>
            </w:r>
          </w:p>
        </w:tc>
        <w:tc>
          <w:tcPr>
            <w:tcW w:type="dxa" w:w="129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F5F8FC"/>
          </w:tcPr>
          <w:p>
            <w:pPr>
              <w:spacing w:after="0"/>
            </w:pPr>
            <w:r>
              <w:rPr>
                <w:rFonts w:ascii="Arial" w:hAnsi="Arial"/>
                <w:sz w:val="17"/>
              </w:rPr>
              <w:t>40.28</w:t>
            </w:r>
          </w:p>
        </w:tc>
        <w:tc>
          <w:tcPr>
            <w:tcW w:type="dxa" w:w="129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F5F8FC"/>
          </w:tcPr>
          <w:p>
            <w:pPr>
              <w:spacing w:after="0"/>
            </w:pPr>
            <w:r>
              <w:rPr>
                <w:rFonts w:ascii="Arial" w:hAnsi="Arial"/>
                <w:sz w:val="17"/>
              </w:rPr>
              <w:t>7.07</w:t>
            </w:r>
          </w:p>
        </w:tc>
        <w:tc>
          <w:tcPr>
            <w:tcW w:type="dxa" w:w="1440"/>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F5F8FC"/>
          </w:tcPr>
          <w:p>
            <w:pPr>
              <w:spacing w:after="0"/>
            </w:pPr>
            <w:r>
              <w:rPr>
                <w:rFonts w:ascii="Arial" w:hAnsi="Arial"/>
                <w:sz w:val="17"/>
              </w:rPr>
              <w:t>58.48</w:t>
            </w:r>
          </w:p>
        </w:tc>
      </w:tr>
      <w:tr>
        <w:tc>
          <w:tcPr>
            <w:tcW w:type="dxa" w:w="2160"/>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tcPr>
          <w:p>
            <w:pPr>
              <w:spacing w:after="0"/>
            </w:pPr>
            <w:r>
              <w:rPr>
                <w:rFonts w:ascii="Arial" w:hAnsi="Arial"/>
                <w:sz w:val="17"/>
              </w:rPr>
              <w:t>Free - Q4 2021</w:t>
            </w:r>
          </w:p>
        </w:tc>
        <w:tc>
          <w:tcPr>
            <w:tcW w:type="dxa" w:w="93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tcPr>
          <w:p>
            <w:pPr>
              <w:spacing w:after="0"/>
            </w:pPr>
            <w:r>
              <w:rPr>
                <w:rFonts w:ascii="Arial" w:hAnsi="Arial"/>
                <w:sz w:val="17"/>
              </w:rPr>
              <w:t>2,065</w:t>
            </w:r>
          </w:p>
        </w:tc>
        <w:tc>
          <w:tcPr>
            <w:tcW w:type="dxa" w:w="129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tcPr>
          <w:p>
            <w:pPr>
              <w:spacing w:after="0"/>
            </w:pPr>
            <w:r>
              <w:rPr>
                <w:rFonts w:ascii="Arial" w:hAnsi="Arial"/>
                <w:sz w:val="17"/>
              </w:rPr>
              <w:t>25.39</w:t>
            </w:r>
          </w:p>
        </w:tc>
        <w:tc>
          <w:tcPr>
            <w:tcW w:type="dxa" w:w="129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tcPr>
          <w:p>
            <w:pPr>
              <w:spacing w:after="0"/>
            </w:pPr>
            <w:r>
              <w:rPr>
                <w:rFonts w:ascii="Arial" w:hAnsi="Arial"/>
                <w:sz w:val="17"/>
              </w:rPr>
              <w:t>14.17</w:t>
            </w:r>
          </w:p>
        </w:tc>
        <w:tc>
          <w:tcPr>
            <w:tcW w:type="dxa" w:w="129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tcPr>
          <w:p>
            <w:pPr>
              <w:spacing w:after="0"/>
            </w:pPr>
            <w:r>
              <w:rPr>
                <w:rFonts w:ascii="Arial" w:hAnsi="Arial"/>
                <w:sz w:val="17"/>
              </w:rPr>
              <w:t>1.17</w:t>
            </w:r>
          </w:p>
        </w:tc>
        <w:tc>
          <w:tcPr>
            <w:tcW w:type="dxa" w:w="1440"/>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tcPr>
          <w:p>
            <w:pPr>
              <w:spacing w:after="0"/>
            </w:pPr>
            <w:r>
              <w:rPr>
                <w:rFonts w:ascii="Arial" w:hAnsi="Arial"/>
                <w:sz w:val="17"/>
              </w:rPr>
              <w:t>0.36</w:t>
            </w:r>
          </w:p>
        </w:tc>
      </w:tr>
      <w:tr>
        <w:tc>
          <w:tcPr>
            <w:tcW w:type="dxa" w:w="2160"/>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F5F8FC"/>
          </w:tcPr>
          <w:p>
            <w:pPr>
              <w:spacing w:after="0"/>
            </w:pPr>
            <w:r>
              <w:rPr>
                <w:rFonts w:ascii="Arial" w:hAnsi="Arial"/>
                <w:sz w:val="17"/>
              </w:rPr>
              <w:t>Free - Q4 2022</w:t>
            </w:r>
          </w:p>
        </w:tc>
        <w:tc>
          <w:tcPr>
            <w:tcW w:type="dxa" w:w="93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F5F8FC"/>
          </w:tcPr>
          <w:p>
            <w:pPr>
              <w:spacing w:after="0"/>
            </w:pPr>
            <w:r>
              <w:rPr>
                <w:rFonts w:ascii="Arial" w:hAnsi="Arial"/>
                <w:sz w:val="17"/>
              </w:rPr>
              <w:t>2,065</w:t>
            </w:r>
          </w:p>
        </w:tc>
        <w:tc>
          <w:tcPr>
            <w:tcW w:type="dxa" w:w="129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F5F8FC"/>
          </w:tcPr>
          <w:p>
            <w:pPr>
              <w:spacing w:after="0"/>
            </w:pPr>
            <w:r>
              <w:rPr>
                <w:rFonts w:ascii="Arial" w:hAnsi="Arial"/>
                <w:sz w:val="17"/>
              </w:rPr>
              <w:t>117.64</w:t>
            </w:r>
          </w:p>
        </w:tc>
        <w:tc>
          <w:tcPr>
            <w:tcW w:type="dxa" w:w="129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F5F8FC"/>
          </w:tcPr>
          <w:p>
            <w:pPr>
              <w:spacing w:after="0"/>
            </w:pPr>
            <w:r>
              <w:rPr>
                <w:rFonts w:ascii="Arial" w:hAnsi="Arial"/>
                <w:sz w:val="17"/>
              </w:rPr>
              <w:t>11.83</w:t>
            </w:r>
          </w:p>
        </w:tc>
        <w:tc>
          <w:tcPr>
            <w:tcW w:type="dxa" w:w="129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F5F8FC"/>
          </w:tcPr>
          <w:p>
            <w:pPr>
              <w:spacing w:after="0"/>
            </w:pPr>
            <w:r>
              <w:rPr>
                <w:rFonts w:ascii="Arial" w:hAnsi="Arial"/>
                <w:sz w:val="17"/>
              </w:rPr>
              <w:t>15.06</w:t>
            </w:r>
          </w:p>
        </w:tc>
        <w:tc>
          <w:tcPr>
            <w:tcW w:type="dxa" w:w="1440"/>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F5F8FC"/>
          </w:tcPr>
          <w:p>
            <w:pPr>
              <w:spacing w:after="0"/>
            </w:pPr>
            <w:r>
              <w:rPr>
                <w:rFonts w:ascii="Arial" w:hAnsi="Arial"/>
                <w:sz w:val="17"/>
              </w:rPr>
              <w:t>315.76</w:t>
            </w:r>
          </w:p>
        </w:tc>
      </w:tr>
    </w:tbl>
    <w:p>
      <w:r>
        <w:rPr>
          <w:b/>
        </w:rPr>
        <w:t xml:space="preserve">Interpretation. </w:t>
      </w:r>
      <w:r>
        <w:t>The 2022 distributions are strongly right-skewed, especially for free-plan students. This means a relatively small number of very heavy viewers pull the mean upward. The paid-plan 2022 skewness (7.07) is lower than the free-plan 2022 skewness (15.06).</w:t>
      </w:r>
    </w:p>
    <w:p>
      <w:pPr>
        <w:pStyle w:val="Heading1"/>
      </w:pPr>
      <w:r>
        <w:t>4. Confidence Intervals (Task 3)</w:t>
      </w:r>
    </w:p>
    <w:p>
      <w:r>
        <w:t>A 95% confidence interval was calculated for the population mean using:  mean ± 1.96 × (sample standard deviation / √n).</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232"/>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1F4E78"/>
          </w:tcPr>
          <w:p>
            <w:pPr>
              <w:spacing w:after="0"/>
            </w:pPr>
            <w:r>
              <w:rPr>
                <w:rFonts w:ascii="Arial" w:hAnsi="Arial"/>
                <w:b/>
                <w:color w:val="FFFFFF"/>
                <w:sz w:val="17"/>
              </w:rPr>
              <w:t>Group</w:t>
            </w:r>
          </w:p>
        </w:tc>
        <w:tc>
          <w:tcPr>
            <w:tcW w:type="dxa" w:w="1152"/>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1F4E78"/>
          </w:tcPr>
          <w:p>
            <w:pPr>
              <w:spacing w:after="0"/>
            </w:pPr>
            <w:r>
              <w:rPr>
                <w:rFonts w:ascii="Arial" w:hAnsi="Arial"/>
                <w:b/>
                <w:color w:val="FFFFFF"/>
                <w:sz w:val="17"/>
              </w:rPr>
              <w:t>n</w:t>
            </w:r>
          </w:p>
        </w:tc>
        <w:tc>
          <w:tcPr>
            <w:tcW w:type="dxa" w:w="129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1F4E78"/>
          </w:tcPr>
          <w:p>
            <w:pPr>
              <w:spacing w:after="0"/>
            </w:pPr>
            <w:r>
              <w:rPr>
                <w:rFonts w:ascii="Arial" w:hAnsi="Arial"/>
                <w:b/>
                <w:color w:val="FFFFFF"/>
                <w:sz w:val="17"/>
              </w:rPr>
              <w:t>Mean</w:t>
            </w:r>
          </w:p>
        </w:tc>
        <w:tc>
          <w:tcPr>
            <w:tcW w:type="dxa" w:w="1728"/>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1F4E78"/>
          </w:tcPr>
          <w:p>
            <w:pPr>
              <w:spacing w:after="0"/>
            </w:pPr>
            <w:r>
              <w:rPr>
                <w:rFonts w:ascii="Arial" w:hAnsi="Arial"/>
                <w:b/>
                <w:color w:val="FFFFFF"/>
                <w:sz w:val="17"/>
              </w:rPr>
              <w:t>Margin of Error</w:t>
            </w:r>
          </w:p>
        </w:tc>
        <w:tc>
          <w:tcPr>
            <w:tcW w:type="dxa" w:w="2304"/>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1F4E78"/>
          </w:tcPr>
          <w:p>
            <w:pPr>
              <w:spacing w:after="0"/>
            </w:pPr>
            <w:r>
              <w:rPr>
                <w:rFonts w:ascii="Arial" w:hAnsi="Arial"/>
                <w:b/>
                <w:color w:val="FFFFFF"/>
                <w:sz w:val="17"/>
              </w:rPr>
              <w:t>95% CI</w:t>
            </w:r>
          </w:p>
        </w:tc>
      </w:tr>
      <w:tr>
        <w:tc>
          <w:tcPr>
            <w:tcW w:type="dxa" w:w="2232"/>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tcPr>
          <w:p>
            <w:pPr>
              <w:spacing w:after="0"/>
            </w:pPr>
            <w:r>
              <w:rPr>
                <w:rFonts w:ascii="Arial" w:hAnsi="Arial"/>
                <w:sz w:val="17"/>
              </w:rPr>
              <w:t>Paid - Q4 2021</w:t>
            </w:r>
          </w:p>
        </w:tc>
        <w:tc>
          <w:tcPr>
            <w:tcW w:type="dxa" w:w="1152"/>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tcPr>
          <w:p>
            <w:pPr>
              <w:spacing w:after="0"/>
            </w:pPr>
            <w:r>
              <w:rPr>
                <w:rFonts w:ascii="Arial" w:hAnsi="Arial"/>
                <w:sz w:val="17"/>
              </w:rPr>
              <w:t>3,433</w:t>
            </w:r>
          </w:p>
        </w:tc>
        <w:tc>
          <w:tcPr>
            <w:tcW w:type="dxa" w:w="129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tcPr>
          <w:p>
            <w:pPr>
              <w:spacing w:after="0"/>
            </w:pPr>
            <w:r>
              <w:rPr>
                <w:rFonts w:ascii="Arial" w:hAnsi="Arial"/>
                <w:sz w:val="17"/>
              </w:rPr>
              <w:t>332.50</w:t>
            </w:r>
          </w:p>
        </w:tc>
        <w:tc>
          <w:tcPr>
            <w:tcW w:type="dxa" w:w="1728"/>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tcPr>
          <w:p>
            <w:pPr>
              <w:spacing w:after="0"/>
            </w:pPr>
            <w:r>
              <w:rPr>
                <w:rFonts w:ascii="Arial" w:hAnsi="Arial"/>
                <w:sz w:val="17"/>
              </w:rPr>
              <w:t>16.25</w:t>
            </w:r>
          </w:p>
        </w:tc>
        <w:tc>
          <w:tcPr>
            <w:tcW w:type="dxa" w:w="2304"/>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tcPr>
          <w:p>
            <w:pPr>
              <w:spacing w:after="0"/>
            </w:pPr>
            <w:r>
              <w:rPr>
                <w:rFonts w:ascii="Arial" w:hAnsi="Arial"/>
                <w:sz w:val="17"/>
              </w:rPr>
              <w:t>316.25 - 348.76</w:t>
            </w:r>
          </w:p>
        </w:tc>
      </w:tr>
      <w:tr>
        <w:tc>
          <w:tcPr>
            <w:tcW w:type="dxa" w:w="2232"/>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F5F8FC"/>
          </w:tcPr>
          <w:p>
            <w:pPr>
              <w:spacing w:after="0"/>
            </w:pPr>
            <w:r>
              <w:rPr>
                <w:rFonts w:ascii="Arial" w:hAnsi="Arial"/>
                <w:sz w:val="17"/>
              </w:rPr>
              <w:t>Paid - Q4 2022</w:t>
            </w:r>
          </w:p>
        </w:tc>
        <w:tc>
          <w:tcPr>
            <w:tcW w:type="dxa" w:w="1152"/>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F5F8FC"/>
          </w:tcPr>
          <w:p>
            <w:pPr>
              <w:spacing w:after="0"/>
            </w:pPr>
            <w:r>
              <w:rPr>
                <w:rFonts w:ascii="Arial" w:hAnsi="Arial"/>
                <w:sz w:val="17"/>
              </w:rPr>
              <w:t>5,104</w:t>
            </w:r>
          </w:p>
        </w:tc>
        <w:tc>
          <w:tcPr>
            <w:tcW w:type="dxa" w:w="129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F5F8FC"/>
          </w:tcPr>
          <w:p>
            <w:pPr>
              <w:spacing w:after="0"/>
            </w:pPr>
            <w:r>
              <w:rPr>
                <w:rFonts w:ascii="Arial" w:hAnsi="Arial"/>
                <w:sz w:val="17"/>
              </w:rPr>
              <w:t>368.35</w:t>
            </w:r>
          </w:p>
        </w:tc>
        <w:tc>
          <w:tcPr>
            <w:tcW w:type="dxa" w:w="1728"/>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F5F8FC"/>
          </w:tcPr>
          <w:p>
            <w:pPr>
              <w:spacing w:after="0"/>
            </w:pPr>
            <w:r>
              <w:rPr>
                <w:rFonts w:ascii="Arial" w:hAnsi="Arial"/>
                <w:sz w:val="17"/>
              </w:rPr>
              <w:t>16.36</w:t>
            </w:r>
          </w:p>
        </w:tc>
        <w:tc>
          <w:tcPr>
            <w:tcW w:type="dxa" w:w="2304"/>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F5F8FC"/>
          </w:tcPr>
          <w:p>
            <w:pPr>
              <w:spacing w:after="0"/>
            </w:pPr>
            <w:r>
              <w:rPr>
                <w:rFonts w:ascii="Arial" w:hAnsi="Arial"/>
                <w:sz w:val="17"/>
              </w:rPr>
              <w:t>351.99 - 384.72</w:t>
            </w:r>
          </w:p>
        </w:tc>
      </w:tr>
      <w:tr>
        <w:tc>
          <w:tcPr>
            <w:tcW w:type="dxa" w:w="2232"/>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tcPr>
          <w:p>
            <w:pPr>
              <w:spacing w:after="0"/>
            </w:pPr>
            <w:r>
              <w:rPr>
                <w:rFonts w:ascii="Arial" w:hAnsi="Arial"/>
                <w:sz w:val="17"/>
              </w:rPr>
              <w:t>Free - Q4 2021</w:t>
            </w:r>
          </w:p>
        </w:tc>
        <w:tc>
          <w:tcPr>
            <w:tcW w:type="dxa" w:w="1152"/>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tcPr>
          <w:p>
            <w:pPr>
              <w:spacing w:after="0"/>
            </w:pPr>
            <w:r>
              <w:rPr>
                <w:rFonts w:ascii="Arial" w:hAnsi="Arial"/>
                <w:sz w:val="17"/>
              </w:rPr>
              <w:t>32,171</w:t>
            </w:r>
          </w:p>
        </w:tc>
        <w:tc>
          <w:tcPr>
            <w:tcW w:type="dxa" w:w="129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tcPr>
          <w:p>
            <w:pPr>
              <w:spacing w:after="0"/>
            </w:pPr>
            <w:r>
              <w:rPr>
                <w:rFonts w:ascii="Arial" w:hAnsi="Arial"/>
                <w:sz w:val="17"/>
              </w:rPr>
              <w:t>133.93</w:t>
            </w:r>
          </w:p>
        </w:tc>
        <w:tc>
          <w:tcPr>
            <w:tcW w:type="dxa" w:w="1728"/>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tcPr>
          <w:p>
            <w:pPr>
              <w:spacing w:after="0"/>
            </w:pPr>
            <w:r>
              <w:rPr>
                <w:rFonts w:ascii="Arial" w:hAnsi="Arial"/>
                <w:sz w:val="17"/>
              </w:rPr>
              <w:t>4.01</w:t>
            </w:r>
          </w:p>
        </w:tc>
        <w:tc>
          <w:tcPr>
            <w:tcW w:type="dxa" w:w="2304"/>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tcPr>
          <w:p>
            <w:pPr>
              <w:spacing w:after="0"/>
            </w:pPr>
            <w:r>
              <w:rPr>
                <w:rFonts w:ascii="Arial" w:hAnsi="Arial"/>
                <w:sz w:val="17"/>
              </w:rPr>
              <w:t>129.92 - 137.95</w:t>
            </w:r>
          </w:p>
        </w:tc>
      </w:tr>
      <w:tr>
        <w:tc>
          <w:tcPr>
            <w:tcW w:type="dxa" w:w="2232"/>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F5F8FC"/>
          </w:tcPr>
          <w:p>
            <w:pPr>
              <w:spacing w:after="0"/>
            </w:pPr>
            <w:r>
              <w:rPr>
                <w:rFonts w:ascii="Arial" w:hAnsi="Arial"/>
                <w:sz w:val="17"/>
              </w:rPr>
              <w:t>Free - Q4 2022</w:t>
            </w:r>
          </w:p>
        </w:tc>
        <w:tc>
          <w:tcPr>
            <w:tcW w:type="dxa" w:w="1152"/>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F5F8FC"/>
          </w:tcPr>
          <w:p>
            <w:pPr>
              <w:spacing w:after="0"/>
            </w:pPr>
            <w:r>
              <w:rPr>
                <w:rFonts w:ascii="Arial" w:hAnsi="Arial"/>
                <w:sz w:val="17"/>
              </w:rPr>
              <w:t>120,658</w:t>
            </w:r>
          </w:p>
        </w:tc>
        <w:tc>
          <w:tcPr>
            <w:tcW w:type="dxa" w:w="129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F5F8FC"/>
          </w:tcPr>
          <w:p>
            <w:pPr>
              <w:spacing w:after="0"/>
            </w:pPr>
            <w:r>
              <w:rPr>
                <w:rFonts w:ascii="Arial" w:hAnsi="Arial"/>
                <w:sz w:val="17"/>
              </w:rPr>
              <w:t>69.15</w:t>
            </w:r>
          </w:p>
        </w:tc>
        <w:tc>
          <w:tcPr>
            <w:tcW w:type="dxa" w:w="1728"/>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F5F8FC"/>
          </w:tcPr>
          <w:p>
            <w:pPr>
              <w:spacing w:after="0"/>
            </w:pPr>
            <w:r>
              <w:rPr>
                <w:rFonts w:ascii="Arial" w:hAnsi="Arial"/>
                <w:sz w:val="17"/>
              </w:rPr>
              <w:t>1.44</w:t>
            </w:r>
          </w:p>
        </w:tc>
        <w:tc>
          <w:tcPr>
            <w:tcW w:type="dxa" w:w="2304"/>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F5F8FC"/>
          </w:tcPr>
          <w:p>
            <w:pPr>
              <w:spacing w:after="0"/>
            </w:pPr>
            <w:r>
              <w:rPr>
                <w:rFonts w:ascii="Arial" w:hAnsi="Arial"/>
                <w:sz w:val="17"/>
              </w:rPr>
              <w:t>67.71 - 70.59</w:t>
            </w:r>
          </w:p>
        </w:tc>
      </w:tr>
    </w:tbl>
    <w:p>
      <w:r>
        <w:rPr>
          <w:b/>
        </w:rPr>
        <w:t xml:space="preserve">Interpretation. </w:t>
      </w:r>
      <w:r>
        <w:t>The free-plan 2022 interval lies entirely below the 2021 interval, indicating materially lower engagement. For paid-plan students, the 2022 interval lies above the 2021 interval, indicating higher average engagement.</w:t>
      </w:r>
    </w:p>
    <w:p>
      <w:pPr>
        <w:pStyle w:val="Heading1"/>
      </w:pPr>
      <w:r>
        <w:t>5. Hypothesis Testing (Task 4)</w:t>
      </w:r>
    </w:p>
    <w:p>
      <w:r>
        <w:t>Null hypothesis for each plan: Q4 2021 engagement is greater than or equal to Q4 2022 engagement. The alternative tests whether Q4 2022 engagement is higher. A 5% significance level was used.</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080"/>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1F4E78"/>
          </w:tcPr>
          <w:p>
            <w:pPr>
              <w:spacing w:after="0"/>
            </w:pPr>
            <w:r>
              <w:rPr>
                <w:rFonts w:ascii="Arial" w:hAnsi="Arial"/>
                <w:b/>
                <w:color w:val="FFFFFF"/>
                <w:sz w:val="17"/>
              </w:rPr>
              <w:t>Group</w:t>
            </w:r>
          </w:p>
        </w:tc>
        <w:tc>
          <w:tcPr>
            <w:tcW w:type="dxa" w:w="2232"/>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1F4E78"/>
          </w:tcPr>
          <w:p>
            <w:pPr>
              <w:spacing w:after="0"/>
            </w:pPr>
            <w:r>
              <w:rPr>
                <w:rFonts w:ascii="Arial" w:hAnsi="Arial"/>
                <w:b/>
                <w:color w:val="FFFFFF"/>
                <w:sz w:val="17"/>
              </w:rPr>
              <w:t>F-test result</w:t>
            </w:r>
          </w:p>
        </w:tc>
        <w:tc>
          <w:tcPr>
            <w:tcW w:type="dxa" w:w="1224"/>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1F4E78"/>
          </w:tcPr>
          <w:p>
            <w:pPr>
              <w:spacing w:after="0"/>
            </w:pPr>
            <w:r>
              <w:rPr>
                <w:rFonts w:ascii="Arial" w:hAnsi="Arial"/>
                <w:b/>
                <w:color w:val="FFFFFF"/>
                <w:sz w:val="17"/>
              </w:rPr>
              <w:t>t-statistic</w:t>
            </w:r>
          </w:p>
        </w:tc>
        <w:tc>
          <w:tcPr>
            <w:tcW w:type="dxa" w:w="1080"/>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1F4E78"/>
          </w:tcPr>
          <w:p>
            <w:pPr>
              <w:spacing w:after="0"/>
            </w:pPr>
            <w:r>
              <w:rPr>
                <w:rFonts w:ascii="Arial" w:hAnsi="Arial"/>
                <w:b/>
                <w:color w:val="FFFFFF"/>
                <w:sz w:val="17"/>
              </w:rPr>
              <w:t>df</w:t>
            </w:r>
          </w:p>
        </w:tc>
        <w:tc>
          <w:tcPr>
            <w:tcW w:type="dxa" w:w="165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1F4E78"/>
          </w:tcPr>
          <w:p>
            <w:pPr>
              <w:spacing w:after="0"/>
            </w:pPr>
            <w:r>
              <w:rPr>
                <w:rFonts w:ascii="Arial" w:hAnsi="Arial"/>
                <w:b/>
                <w:color w:val="FFFFFF"/>
                <w:sz w:val="17"/>
              </w:rPr>
              <w:t>Decision</w:t>
            </w:r>
          </w:p>
        </w:tc>
        <w:tc>
          <w:tcPr>
            <w:tcW w:type="dxa" w:w="309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1F4E78"/>
          </w:tcPr>
          <w:p>
            <w:pPr>
              <w:spacing w:after="0"/>
            </w:pPr>
            <w:r>
              <w:rPr>
                <w:rFonts w:ascii="Arial" w:hAnsi="Arial"/>
                <w:b/>
                <w:color w:val="FFFFFF"/>
                <w:sz w:val="17"/>
              </w:rPr>
              <w:t>Conclusion</w:t>
            </w:r>
          </w:p>
        </w:tc>
      </w:tr>
      <w:tr>
        <w:tc>
          <w:tcPr>
            <w:tcW w:type="dxa" w:w="1080"/>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tcPr>
          <w:p>
            <w:pPr>
              <w:spacing w:after="0"/>
            </w:pPr>
            <w:r>
              <w:rPr>
                <w:rFonts w:ascii="Arial" w:hAnsi="Arial"/>
                <w:sz w:val="17"/>
              </w:rPr>
              <w:t>Paid</w:t>
            </w:r>
          </w:p>
        </w:tc>
        <w:tc>
          <w:tcPr>
            <w:tcW w:type="dxa" w:w="2232"/>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tcPr>
          <w:p>
            <w:pPr>
              <w:spacing w:after="0"/>
            </w:pPr>
            <w:r>
              <w:rPr>
                <w:rFonts w:ascii="Arial" w:hAnsi="Arial"/>
                <w:sz w:val="17"/>
              </w:rPr>
              <w:t>Unequal variances (p &lt; 0.001)</w:t>
            </w:r>
          </w:p>
        </w:tc>
        <w:tc>
          <w:tcPr>
            <w:tcW w:type="dxa" w:w="1224"/>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tcPr>
          <w:p>
            <w:pPr>
              <w:spacing w:after="0"/>
            </w:pPr>
            <w:r>
              <w:rPr>
                <w:rFonts w:ascii="Arial" w:hAnsi="Arial"/>
                <w:sz w:val="17"/>
              </w:rPr>
              <w:t>-3.05</w:t>
            </w:r>
          </w:p>
        </w:tc>
        <w:tc>
          <w:tcPr>
            <w:tcW w:type="dxa" w:w="1080"/>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tcPr>
          <w:p>
            <w:pPr>
              <w:spacing w:after="0"/>
            </w:pPr>
            <w:r>
              <w:rPr>
                <w:rFonts w:ascii="Arial" w:hAnsi="Arial"/>
                <w:sz w:val="17"/>
              </w:rPr>
              <w:t>8,229</w:t>
            </w:r>
          </w:p>
        </w:tc>
        <w:tc>
          <w:tcPr>
            <w:tcW w:type="dxa" w:w="165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tcPr>
          <w:p>
            <w:pPr>
              <w:spacing w:after="0"/>
            </w:pPr>
            <w:r>
              <w:rPr>
                <w:rFonts w:ascii="Arial" w:hAnsi="Arial"/>
                <w:sz w:val="17"/>
              </w:rPr>
              <w:t>Reject H₀</w:t>
            </w:r>
          </w:p>
        </w:tc>
        <w:tc>
          <w:tcPr>
            <w:tcW w:type="dxa" w:w="309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tcPr>
          <w:p>
            <w:pPr>
              <w:spacing w:after="0"/>
            </w:pPr>
            <w:r>
              <w:rPr>
                <w:rFonts w:ascii="Arial" w:hAnsi="Arial"/>
                <w:sz w:val="17"/>
              </w:rPr>
              <w:t>2022 engagement is significantly higher</w:t>
            </w:r>
          </w:p>
        </w:tc>
      </w:tr>
      <w:tr>
        <w:tc>
          <w:tcPr>
            <w:tcW w:type="dxa" w:w="1080"/>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F5F8FC"/>
          </w:tcPr>
          <w:p>
            <w:pPr>
              <w:spacing w:after="0"/>
            </w:pPr>
            <w:r>
              <w:rPr>
                <w:rFonts w:ascii="Arial" w:hAnsi="Arial"/>
                <w:sz w:val="17"/>
              </w:rPr>
              <w:t>Free</w:t>
            </w:r>
          </w:p>
        </w:tc>
        <w:tc>
          <w:tcPr>
            <w:tcW w:type="dxa" w:w="2232"/>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F5F8FC"/>
          </w:tcPr>
          <w:p>
            <w:pPr>
              <w:spacing w:after="0"/>
            </w:pPr>
            <w:r>
              <w:rPr>
                <w:rFonts w:ascii="Arial" w:hAnsi="Arial"/>
                <w:sz w:val="17"/>
              </w:rPr>
              <w:t>Unequal variances (p &lt; 0.001)</w:t>
            </w:r>
          </w:p>
        </w:tc>
        <w:tc>
          <w:tcPr>
            <w:tcW w:type="dxa" w:w="1224"/>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F5F8FC"/>
          </w:tcPr>
          <w:p>
            <w:pPr>
              <w:spacing w:after="0"/>
            </w:pPr>
            <w:r>
              <w:rPr>
                <w:rFonts w:ascii="Arial" w:hAnsi="Arial"/>
                <w:sz w:val="17"/>
              </w:rPr>
              <w:t>29.78</w:t>
            </w:r>
          </w:p>
        </w:tc>
        <w:tc>
          <w:tcPr>
            <w:tcW w:type="dxa" w:w="1080"/>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F5F8FC"/>
          </w:tcPr>
          <w:p>
            <w:pPr>
              <w:spacing w:after="0"/>
            </w:pPr>
            <w:r>
              <w:rPr>
                <w:rFonts w:ascii="Arial" w:hAnsi="Arial"/>
                <w:sz w:val="17"/>
              </w:rPr>
              <w:t>40,836</w:t>
            </w:r>
          </w:p>
        </w:tc>
        <w:tc>
          <w:tcPr>
            <w:tcW w:type="dxa" w:w="165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F5F8FC"/>
          </w:tcPr>
          <w:p>
            <w:pPr>
              <w:spacing w:after="0"/>
            </w:pPr>
            <w:r>
              <w:rPr>
                <w:rFonts w:ascii="Arial" w:hAnsi="Arial"/>
                <w:sz w:val="17"/>
              </w:rPr>
              <w:t>Fail to reject H₀</w:t>
            </w:r>
          </w:p>
        </w:tc>
        <w:tc>
          <w:tcPr>
            <w:tcW w:type="dxa" w:w="309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F5F8FC"/>
          </w:tcPr>
          <w:p>
            <w:pPr>
              <w:spacing w:after="0"/>
            </w:pPr>
            <w:r>
              <w:rPr>
                <w:rFonts w:ascii="Arial" w:hAnsi="Arial"/>
                <w:sz w:val="17"/>
              </w:rPr>
              <w:t>No evidence of an increase; data shows a large decline</w:t>
            </w:r>
          </w:p>
        </w:tc>
      </w:tr>
    </w:tbl>
    <w:p>
      <w:r>
        <w:rPr>
          <w:b/>
        </w:rPr>
        <w:t xml:space="preserve">Business interpretation. </w:t>
      </w:r>
      <w:r>
        <w:t>The feature or platform changes are associated with improved engagement among paid students, but not among free students. The effect is therefore segment-specific rather than universal.</w:t>
      </w:r>
    </w:p>
    <w:p>
      <w:pPr>
        <w:pStyle w:val="Heading1"/>
      </w:pPr>
      <w:r>
        <w:t>6. Type I and Type II Error</w:t>
      </w:r>
    </w:p>
    <w:tbl>
      <w:tblPr>
        <w:tblW w:type="auto" w:w="0"/>
        <w:jc w:val="center"/>
        <w:tblLayout w:type="fixed"/>
        <w:tblLook w:firstColumn="1" w:firstRow="1" w:lastColumn="0" w:lastRow="0" w:noHBand="0" w:noVBand="1" w:val="04A0"/>
      </w:tblPr>
      <w:tblGrid>
        <w:gridCol w:w="3360"/>
        <w:gridCol w:w="3360"/>
        <w:gridCol w:w="3360"/>
      </w:tblGrid>
      <w:tr>
        <w:tc>
          <w:tcPr>
            <w:tcW w:type="dxa" w:w="1224"/>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1F4E78"/>
          </w:tcPr>
          <w:p>
            <w:pPr>
              <w:spacing w:after="0"/>
            </w:pPr>
            <w:r>
              <w:rPr>
                <w:rFonts w:ascii="Arial" w:hAnsi="Arial"/>
                <w:b/>
                <w:color w:val="FFFFFF"/>
                <w:sz w:val="17"/>
              </w:rPr>
              <w:t>Error</w:t>
            </w:r>
          </w:p>
        </w:tc>
        <w:tc>
          <w:tcPr>
            <w:tcW w:type="dxa" w:w="4320"/>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1F4E78"/>
          </w:tcPr>
          <w:p>
            <w:pPr>
              <w:spacing w:after="0"/>
            </w:pPr>
            <w:r>
              <w:rPr>
                <w:rFonts w:ascii="Arial" w:hAnsi="Arial"/>
                <w:b/>
                <w:color w:val="FFFFFF"/>
                <w:sz w:val="17"/>
              </w:rPr>
              <w:t>Meaning in this study</w:t>
            </w:r>
          </w:p>
        </w:tc>
        <w:tc>
          <w:tcPr>
            <w:tcW w:type="dxa" w:w="4320"/>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1F4E78"/>
          </w:tcPr>
          <w:p>
            <w:pPr>
              <w:spacing w:after="0"/>
            </w:pPr>
            <w:r>
              <w:rPr>
                <w:rFonts w:ascii="Arial" w:hAnsi="Arial"/>
                <w:b/>
                <w:color w:val="FFFFFF"/>
                <w:sz w:val="17"/>
              </w:rPr>
              <w:t>Business impact</w:t>
            </w:r>
          </w:p>
        </w:tc>
      </w:tr>
      <w:tr>
        <w:tc>
          <w:tcPr>
            <w:tcW w:type="dxa" w:w="1224"/>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tcPr>
          <w:p>
            <w:pPr>
              <w:spacing w:after="0"/>
            </w:pPr>
            <w:r>
              <w:rPr>
                <w:rFonts w:ascii="Arial" w:hAnsi="Arial"/>
                <w:sz w:val="17"/>
              </w:rPr>
              <w:t>Type I</w:t>
            </w:r>
          </w:p>
        </w:tc>
        <w:tc>
          <w:tcPr>
            <w:tcW w:type="dxa" w:w="4320"/>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tcPr>
          <w:p>
            <w:pPr>
              <w:spacing w:after="0"/>
            </w:pPr>
            <w:r>
              <w:rPr>
                <w:rFonts w:ascii="Arial" w:hAnsi="Arial"/>
                <w:sz w:val="17"/>
              </w:rPr>
              <w:t>Conclude the new features increased engagement when they actually did not.</w:t>
            </w:r>
          </w:p>
        </w:tc>
        <w:tc>
          <w:tcPr>
            <w:tcW w:type="dxa" w:w="4320"/>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tcPr>
          <w:p>
            <w:pPr>
              <w:spacing w:after="0"/>
            </w:pPr>
            <w:r>
              <w:rPr>
                <w:rFonts w:ascii="Arial" w:hAnsi="Arial"/>
                <w:sz w:val="17"/>
              </w:rPr>
              <w:t>Potential direct cost from investing, scaling or marketing an ineffective feature.</w:t>
            </w:r>
          </w:p>
        </w:tc>
      </w:tr>
      <w:tr>
        <w:tc>
          <w:tcPr>
            <w:tcW w:type="dxa" w:w="1224"/>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F5F8FC"/>
          </w:tcPr>
          <w:p>
            <w:pPr>
              <w:spacing w:after="0"/>
            </w:pPr>
            <w:r>
              <w:rPr>
                <w:rFonts w:ascii="Arial" w:hAnsi="Arial"/>
                <w:sz w:val="17"/>
              </w:rPr>
              <w:t>Type II</w:t>
            </w:r>
          </w:p>
        </w:tc>
        <w:tc>
          <w:tcPr>
            <w:tcW w:type="dxa" w:w="4320"/>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F5F8FC"/>
          </w:tcPr>
          <w:p>
            <w:pPr>
              <w:spacing w:after="0"/>
            </w:pPr>
            <w:r>
              <w:rPr>
                <w:rFonts w:ascii="Arial" w:hAnsi="Arial"/>
                <w:sz w:val="17"/>
              </w:rPr>
              <w:t>Fail to detect a real engagement improvement.</w:t>
            </w:r>
          </w:p>
        </w:tc>
        <w:tc>
          <w:tcPr>
            <w:tcW w:type="dxa" w:w="4320"/>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F5F8FC"/>
          </w:tcPr>
          <w:p>
            <w:pPr>
              <w:spacing w:after="0"/>
            </w:pPr>
            <w:r>
              <w:rPr>
                <w:rFonts w:ascii="Arial" w:hAnsi="Arial"/>
                <w:sz w:val="17"/>
              </w:rPr>
              <w:t>Opportunity cost from underinvesting in a feature that actually works.</w:t>
            </w:r>
          </w:p>
        </w:tc>
      </w:tr>
    </w:tbl>
    <w:p>
      <w:r>
        <w:t>For this decision, Type I error can create the higher immediate financial risk if product development and rollout are expensive. However, the relative cost depends on the value of the opportunity that could be missed under a Type II error.</w:t>
      </w:r>
    </w:p>
    <w:p>
      <w:pPr>
        <w:pStyle w:val="Heading1"/>
        <w:pageBreakBefore/>
      </w:pPr>
      <w:r>
        <w:t>7. Geographic Comparison (Task 5)</w:t>
      </w:r>
    </w:p>
    <w:p>
      <w:r>
        <w:t>The final test compares 2022 free-plan students in the US and India using a two-sample t-test assuming unequal variances.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65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1F4E78"/>
          </w:tcPr>
          <w:p>
            <w:pPr>
              <w:spacing w:after="0"/>
            </w:pPr>
            <w:r>
              <w:rPr>
                <w:rFonts w:ascii="Arial" w:hAnsi="Arial"/>
                <w:b/>
                <w:color w:val="FFFFFF"/>
                <w:sz w:val="17"/>
              </w:rPr>
              <w:t>Region</w:t>
            </w:r>
          </w:p>
        </w:tc>
        <w:tc>
          <w:tcPr>
            <w:tcW w:type="dxa" w:w="1440"/>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1F4E78"/>
          </w:tcPr>
          <w:p>
            <w:pPr>
              <w:spacing w:after="0"/>
            </w:pPr>
            <w:r>
              <w:rPr>
                <w:rFonts w:ascii="Arial" w:hAnsi="Arial"/>
                <w:b/>
                <w:color w:val="FFFFFF"/>
                <w:sz w:val="17"/>
              </w:rPr>
              <w:t>n</w:t>
            </w:r>
          </w:p>
        </w:tc>
        <w:tc>
          <w:tcPr>
            <w:tcW w:type="dxa" w:w="1584"/>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1F4E78"/>
          </w:tcPr>
          <w:p>
            <w:pPr>
              <w:spacing w:after="0"/>
            </w:pPr>
            <w:r>
              <w:rPr>
                <w:rFonts w:ascii="Arial" w:hAnsi="Arial"/>
                <w:b/>
                <w:color w:val="FFFFFF"/>
                <w:sz w:val="17"/>
              </w:rPr>
              <w:t>Mean</w:t>
            </w:r>
          </w:p>
        </w:tc>
        <w:tc>
          <w:tcPr>
            <w:tcW w:type="dxa" w:w="1728"/>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1F4E78"/>
          </w:tcPr>
          <w:p>
            <w:pPr>
              <w:spacing w:after="0"/>
            </w:pPr>
            <w:r>
              <w:rPr>
                <w:rFonts w:ascii="Arial" w:hAnsi="Arial"/>
                <w:b/>
                <w:color w:val="FFFFFF"/>
                <w:sz w:val="17"/>
              </w:rPr>
              <w:t>Std. Dev.</w:t>
            </w:r>
          </w:p>
        </w:tc>
        <w:tc>
          <w:tcPr>
            <w:tcW w:type="dxa" w:w="201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1F4E78"/>
          </w:tcPr>
          <w:p>
            <w:pPr>
              <w:spacing w:after="0"/>
            </w:pPr>
            <w:r>
              <w:rPr>
                <w:rFonts w:ascii="Arial" w:hAnsi="Arial"/>
                <w:b/>
                <w:color w:val="FFFFFF"/>
                <w:sz w:val="17"/>
              </w:rPr>
              <w:t>Variance</w:t>
            </w:r>
          </w:p>
        </w:tc>
      </w:tr>
      <w:tr>
        <w:tc>
          <w:tcPr>
            <w:tcW w:type="dxa" w:w="165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tcPr>
          <w:p>
            <w:pPr>
              <w:spacing w:after="0"/>
            </w:pPr>
            <w:r>
              <w:rPr>
                <w:rFonts w:ascii="Arial" w:hAnsi="Arial"/>
                <w:sz w:val="17"/>
              </w:rPr>
              <w:t>US</w:t>
            </w:r>
          </w:p>
        </w:tc>
        <w:tc>
          <w:tcPr>
            <w:tcW w:type="dxa" w:w="1440"/>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tcPr>
          <w:p>
            <w:pPr>
              <w:spacing w:after="0"/>
            </w:pPr>
            <w:r>
              <w:rPr>
                <w:rFonts w:ascii="Arial" w:hAnsi="Arial"/>
                <w:sz w:val="17"/>
              </w:rPr>
              <w:t>6,459</w:t>
            </w:r>
          </w:p>
        </w:tc>
        <w:tc>
          <w:tcPr>
            <w:tcW w:type="dxa" w:w="1584"/>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tcPr>
          <w:p>
            <w:pPr>
              <w:spacing w:after="0"/>
            </w:pPr>
            <w:r>
              <w:rPr>
                <w:rFonts w:ascii="Arial" w:hAnsi="Arial"/>
                <w:sz w:val="17"/>
              </w:rPr>
              <w:t>73.07</w:t>
            </w:r>
          </w:p>
        </w:tc>
        <w:tc>
          <w:tcPr>
            <w:tcW w:type="dxa" w:w="1728"/>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tcPr>
          <w:p>
            <w:pPr>
              <w:spacing w:after="0"/>
            </w:pPr>
            <w:r>
              <w:rPr>
                <w:rFonts w:ascii="Arial" w:hAnsi="Arial"/>
                <w:sz w:val="17"/>
              </w:rPr>
              <w:t>308.56</w:t>
            </w:r>
          </w:p>
        </w:tc>
        <w:tc>
          <w:tcPr>
            <w:tcW w:type="dxa" w:w="201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tcPr>
          <w:p>
            <w:pPr>
              <w:spacing w:after="0"/>
            </w:pPr>
            <w:r>
              <w:rPr>
                <w:rFonts w:ascii="Arial" w:hAnsi="Arial"/>
                <w:sz w:val="17"/>
              </w:rPr>
              <w:t>95,208.64</w:t>
            </w:r>
          </w:p>
        </w:tc>
      </w:tr>
      <w:tr>
        <w:tc>
          <w:tcPr>
            <w:tcW w:type="dxa" w:w="165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F5F8FC"/>
          </w:tcPr>
          <w:p>
            <w:pPr>
              <w:spacing w:after="0"/>
            </w:pPr>
            <w:r>
              <w:rPr>
                <w:rFonts w:ascii="Arial" w:hAnsi="Arial"/>
                <w:sz w:val="17"/>
              </w:rPr>
              <w:t>India</w:t>
            </w:r>
          </w:p>
        </w:tc>
        <w:tc>
          <w:tcPr>
            <w:tcW w:type="dxa" w:w="1440"/>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F5F8FC"/>
          </w:tcPr>
          <w:p>
            <w:pPr>
              <w:spacing w:after="0"/>
            </w:pPr>
            <w:r>
              <w:rPr>
                <w:rFonts w:ascii="Arial" w:hAnsi="Arial"/>
                <w:sz w:val="17"/>
              </w:rPr>
              <w:t>21,210</w:t>
            </w:r>
          </w:p>
        </w:tc>
        <w:tc>
          <w:tcPr>
            <w:tcW w:type="dxa" w:w="1584"/>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F5F8FC"/>
          </w:tcPr>
          <w:p>
            <w:pPr>
              <w:spacing w:after="0"/>
            </w:pPr>
            <w:r>
              <w:rPr>
                <w:rFonts w:ascii="Arial" w:hAnsi="Arial"/>
                <w:sz w:val="17"/>
              </w:rPr>
              <w:t>78.42</w:t>
            </w:r>
          </w:p>
        </w:tc>
        <w:tc>
          <w:tcPr>
            <w:tcW w:type="dxa" w:w="1728"/>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F5F8FC"/>
          </w:tcPr>
          <w:p>
            <w:pPr>
              <w:spacing w:after="0"/>
            </w:pPr>
            <w:r>
              <w:rPr>
                <w:rFonts w:ascii="Arial" w:hAnsi="Arial"/>
                <w:sz w:val="17"/>
              </w:rPr>
              <w:t>319.34</w:t>
            </w:r>
          </w:p>
        </w:tc>
        <w:tc>
          <w:tcPr>
            <w:tcW w:type="dxa" w:w="201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F5F8FC"/>
          </w:tcPr>
          <w:p>
            <w:pPr>
              <w:spacing w:after="0"/>
            </w:pPr>
            <w:r>
              <w:rPr>
                <w:rFonts w:ascii="Arial" w:hAnsi="Arial"/>
                <w:sz w:val="17"/>
              </w:rPr>
              <w:t>101,975.55</w:t>
            </w:r>
          </w:p>
        </w:tc>
      </w:tr>
    </w:tbl>
    <w:p>
      <w:r>
        <w:rPr>
          <w:b/>
        </w:rPr>
        <w:t xml:space="preserve">Test result: </w:t>
      </w:r>
      <w:r>
        <w:t>t = -1.21, df ≈ 11,001, one-sided p ≈ 0.113. At α = 0.05, the null hypothesis is not rejected.</w:t>
      </w:r>
    </w:p>
    <w:p>
      <w:r>
        <w:rPr>
          <w:b/>
        </w:rPr>
        <w:t xml:space="preserve">Conclusion. </w:t>
      </w:r>
      <w:r>
        <w:t>India has a slightly higher sample average (78.42 vs 73.07 minutes), but the difference is not statistically significant. This analysis alone is not sufficient to justify different product decisions for the US and India.</w:t>
      </w:r>
    </w:p>
    <w:p>
      <w:pPr>
        <w:pStyle w:val="Heading1"/>
      </w:pPr>
      <w:r>
        <w:t>8. Business Recommendations</w:t>
      </w:r>
    </w:p>
    <w:p>
      <w:pPr>
        <w:pStyle w:val="ListBullet"/>
        <w:spacing w:after="20" w:line="240" w:lineRule="auto"/>
      </w:pPr>
      <w:r>
        <w:t>Investigate why paid-plan students improved while free-plan students declined.</w:t>
      </w:r>
    </w:p>
    <w:p>
      <w:pPr>
        <w:pStyle w:val="ListBullet"/>
        <w:spacing w:after="20" w:line="240" w:lineRule="auto"/>
      </w:pPr>
      <w:r>
        <w:t>Measure feature adoption separately by subscription plan before attributing changes to the new features.</w:t>
      </w:r>
    </w:p>
    <w:p>
      <w:pPr>
        <w:pStyle w:val="ListBullet"/>
        <w:spacing w:after="20" w:line="240" w:lineRule="auto"/>
      </w:pPr>
      <w:r>
        <w:t>Because 2022 engagement is highly skewed, include medians, percentiles and outlier analysis alongside averages.</w:t>
      </w:r>
    </w:p>
    <w:p>
      <w:pPr>
        <w:pStyle w:val="ListBullet"/>
        <w:spacing w:after="20" w:line="240" w:lineRule="auto"/>
      </w:pPr>
      <w:r>
        <w:t>Segment future analysis by content type, acquisition channel, tenure and activity level to identify what drives engagement.</w:t>
      </w:r>
    </w:p>
    <w:p>
      <w:pPr>
        <w:pStyle w:val="ListBullet"/>
        <w:spacing w:after="20" w:line="240" w:lineRule="auto"/>
      </w:pPr>
      <w:r>
        <w:t>Do not localize the product differently for the US and India based only on the Task 5 result; collect additional behavioral evidence first.</w:t>
      </w:r>
    </w:p>
    <w:p>
      <w:pPr>
        <w:pStyle w:val="Heading1"/>
      </w:pPr>
      <w:r>
        <w:t>9. Skills Demonstrated</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728"/>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1F4E78"/>
          </w:tcPr>
          <w:p>
            <w:pPr>
              <w:spacing w:after="0"/>
            </w:pPr>
            <w:r>
              <w:rPr>
                <w:rFonts w:ascii="Arial" w:hAnsi="Arial"/>
                <w:b/>
                <w:color w:val="FFFFFF"/>
                <w:sz w:val="17"/>
              </w:rPr>
              <w:t>Excel</w:t>
            </w:r>
          </w:p>
        </w:tc>
        <w:tc>
          <w:tcPr>
            <w:tcW w:type="dxa" w:w="201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1F4E78"/>
          </w:tcPr>
          <w:p>
            <w:pPr>
              <w:spacing w:after="0"/>
            </w:pPr>
            <w:r>
              <w:rPr>
                <w:rFonts w:ascii="Arial" w:hAnsi="Arial"/>
                <w:b/>
                <w:color w:val="FFFFFF"/>
                <w:sz w:val="17"/>
              </w:rPr>
              <w:t>Statistics</w:t>
            </w:r>
          </w:p>
        </w:tc>
        <w:tc>
          <w:tcPr>
            <w:tcW w:type="dxa" w:w="2160"/>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1F4E78"/>
          </w:tcPr>
          <w:p>
            <w:pPr>
              <w:spacing w:after="0"/>
            </w:pPr>
            <w:r>
              <w:rPr>
                <w:rFonts w:ascii="Arial" w:hAnsi="Arial"/>
                <w:b/>
                <w:color w:val="FFFFFF"/>
                <w:sz w:val="17"/>
              </w:rPr>
              <w:t>Analysis</w:t>
            </w:r>
          </w:p>
        </w:tc>
        <w:tc>
          <w:tcPr>
            <w:tcW w:type="dxa" w:w="201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1F4E78"/>
          </w:tcPr>
          <w:p>
            <w:pPr>
              <w:spacing w:after="0"/>
            </w:pPr>
            <w:r>
              <w:rPr>
                <w:rFonts w:ascii="Arial" w:hAnsi="Arial"/>
                <w:b/>
                <w:color w:val="FFFFFF"/>
                <w:sz w:val="17"/>
              </w:rPr>
              <w:t>Communication</w:t>
            </w:r>
          </w:p>
        </w:tc>
        <w:tc>
          <w:tcPr>
            <w:tcW w:type="dxa" w:w="2232"/>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shd w:fill="1F4E78"/>
          </w:tcPr>
          <w:p>
            <w:pPr>
              <w:spacing w:after="0"/>
            </w:pPr>
            <w:r>
              <w:rPr>
                <w:rFonts w:ascii="Arial" w:hAnsi="Arial"/>
                <w:b/>
                <w:color w:val="FFFFFF"/>
                <w:sz w:val="17"/>
              </w:rPr>
              <w:t>Business thinking</w:t>
            </w:r>
          </w:p>
        </w:tc>
      </w:tr>
      <w:tr>
        <w:tc>
          <w:tcPr>
            <w:tcW w:type="dxa" w:w="1728"/>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tcPr>
          <w:p>
            <w:pPr>
              <w:spacing w:after="0"/>
            </w:pPr>
            <w:r>
              <w:rPr>
                <w:rFonts w:ascii="Arial" w:hAnsi="Arial"/>
                <w:sz w:val="17"/>
              </w:rPr>
              <w:t>Functions &amp; ToolPak</w:t>
            </w:r>
          </w:p>
        </w:tc>
        <w:tc>
          <w:tcPr>
            <w:tcW w:type="dxa" w:w="201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tcPr>
          <w:p>
            <w:pPr>
              <w:spacing w:after="0"/>
            </w:pPr>
            <w:r>
              <w:rPr>
                <w:rFonts w:ascii="Arial" w:hAnsi="Arial"/>
                <w:sz w:val="17"/>
              </w:rPr>
              <w:t>CI, F-test, Welch t-test</w:t>
            </w:r>
          </w:p>
        </w:tc>
        <w:tc>
          <w:tcPr>
            <w:tcW w:type="dxa" w:w="2160"/>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tcPr>
          <w:p>
            <w:pPr>
              <w:spacing w:after="0"/>
            </w:pPr>
            <w:r>
              <w:rPr>
                <w:rFonts w:ascii="Arial" w:hAnsi="Arial"/>
                <w:sz w:val="17"/>
              </w:rPr>
              <w:t>Segment comparison</w:t>
            </w:r>
          </w:p>
        </w:tc>
        <w:tc>
          <w:tcPr>
            <w:tcW w:type="dxa" w:w="2016"/>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tcPr>
          <w:p>
            <w:pPr>
              <w:spacing w:after="0"/>
            </w:pPr>
            <w:r>
              <w:rPr>
                <w:rFonts w:ascii="Arial" w:hAnsi="Arial"/>
                <w:sz w:val="17"/>
              </w:rPr>
              <w:t>Clear findings</w:t>
            </w:r>
          </w:p>
        </w:tc>
        <w:tc>
          <w:tcPr>
            <w:tcW w:type="dxa" w:w="2232"/>
            <w:vAlign w:val="center"/>
            <w:tcMar>
              <w:top w:w="80" w:type="dxa"/>
              <w:start w:w="100" w:type="dxa"/>
              <w:bottom w:w="80" w:type="dxa"/>
              <w:end w:w="100" w:type="dxa"/>
            </w:tcMar>
            <w:tcBorders>
              <w:top w:val="single" w:sz="6" w:color="D9E2F3"/>
              <w:left w:val="single" w:sz="6" w:color="D9E2F3"/>
              <w:bottom w:val="single" w:sz="6" w:color="D9E2F3"/>
              <w:right w:val="single" w:sz="6" w:color="D9E2F3"/>
              <w:insideH w:val="single" w:sz="6" w:color="D9E2F3"/>
              <w:insideV w:val="single" w:sz="6" w:color="D9E2F3"/>
            </w:tcBorders>
          </w:tcPr>
          <w:p>
            <w:pPr>
              <w:spacing w:after="0"/>
            </w:pPr>
            <w:r>
              <w:rPr>
                <w:rFonts w:ascii="Arial" w:hAnsi="Arial"/>
                <w:sz w:val="17"/>
              </w:rPr>
              <w:t>Actionable recommendations</w:t>
            </w:r>
          </w:p>
        </w:tc>
      </w:tr>
    </w:tbl>
    <w:p>
      <w:pPr>
        <w:pStyle w:val="Heading1"/>
      </w:pPr>
      <w:r>
        <w:t>Portfolio Summary</w:t>
      </w:r>
    </w:p>
    <w:p>
      <w:pPr>
        <w:spacing w:after="0"/>
      </w:pPr>
      <w:r>
        <w:rPr>
          <w:b/>
        </w:rPr>
        <w:t xml:space="preserve">Customer Engagement Analysis in Excel — </w:t>
      </w:r>
      <w:r>
        <w:t>Used descriptive statistics, confidence intervals, F-tests and Welch t-tests to compare engagement by plan, year and region. Found significant improvement for paid users, a sharp decline for free users, and no significant US–India difference in 2022 free-plan engagement.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7A8794"/>
        <w:sz w:val="16"/>
      </w:rPr>
      <w:t>Jayson P. Sugpatan  •  Excel Data Analysis</w:t>
    </w:r>
  </w:p>
  <w:p>
    <w:pPr>
      <w:jc w:val="right"/>
    </w:pP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7A8794"/>
        <w:sz w:val="16"/>
      </w:rPr>
      <w:t>PORTFOLIO PROJECT  |  CUSTOMER ENGAGEMENT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rPr>
      <w:rFonts w:ascii="Arial" w:hAnsi="Arial"/>
      <w:color w:val="5B6573"/>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Engagement Analysis - Excel Statistics Portfolio Project</dc:title>
  <dc:subject>Portfolio case study using Excel statistical analysis</dc:subject>
  <dc:creator>Jayson P. Sugpatan</dc:creator>
  <cp:keywords>Excel, data analysis, customer engagement, confidence interval, hypothesis testing, portfolio</cp:keywords>
  <dc:description>generated by python-docx</dc:description>
  <cp:lastModifiedBy/>
  <cp:revision>1</cp:revision>
  <dcterms:created xsi:type="dcterms:W3CDTF">2013-12-23T23:15:00Z</dcterms:created>
  <dcterms:modified xsi:type="dcterms:W3CDTF">2013-12-23T23:15:00Z</dcterms:modified>
  <cp:category/>
</cp:coreProperties>
</file>