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45E"/>
          <w:sz w:val="60"/>
        </w:rPr>
        <w:t>Plant &amp; Material Wise Sales Dashboard</w:t>
      </w:r>
    </w:p>
    <w:p>
      <w:pPr>
        <w:jc w:val="center"/>
      </w:pPr>
      <w:r>
        <w:rPr>
          <w:color w:val="6A6D70"/>
          <w:sz w:val="28"/>
        </w:rPr>
        <w:t>Functional Documentation</w:t>
      </w:r>
    </w:p>
    <w:p/>
    <w:p>
      <w:pPr>
        <w:jc w:val="center"/>
      </w:pPr>
      <w:r>
        <w:rPr>
          <w:b/>
          <w:color w:val="5470C6"/>
          <w:sz w:val="22"/>
        </w:rPr>
        <w:t>ALIMCO  ·  SAP S/4HANA  ·  Sales &amp; Distribution</w:t>
      </w:r>
    </w:p>
    <w:p>
      <w:pPr>
        <w:jc w:val="center"/>
      </w:pPr>
      <w:r>
        <w:rPr>
          <w:color w:val="6A6D70"/>
          <w:sz w:val="19"/>
        </w:rPr>
        <w:t>Application: ZSD_PMS_DASH   |   Version 1.0   |   August 2026</w:t>
      </w:r>
    </w:p>
    <w:p/>
    <w:p>
      <w:pPr>
        <w:spacing w:before="320" w:after="160"/>
        <w:pBdr>
          <w:bottom w:val="single" w:sz="8" w:space="0" w:color="5470C6"/>
        </w:pBdr>
      </w:pPr>
      <w:r>
        <w:rPr>
          <w:b/>
          <w:color w:val="1B345E"/>
          <w:sz w:val="34"/>
        </w:rPr>
        <w:t>1.  Business Purpose</w:t>
      </w:r>
    </w:p>
    <w:p>
      <w:r>
        <w:t>The Plant &amp; Material Wise Sales Dashboard gives sales and MIS management a single screen on which to answer four questions for any fiscal year: what have we billed, what did the tax on it come to, which plants and materials produced it, and where in India did it come from. It reports billed sales only — net value, GST and gross — broken down by plant, material, scheme, state, zone and Unit, and compares every figure against the same period of the previous fiscal year.</w:t>
      </w:r>
    </w:p>
    <w:p>
      <w:r>
        <w:t>The dashboard is read-only. It creates no documents, changes no master data and posts nothing. Every number on the screen is derived from billing data and the plant/zone configuration that already exist in SAP.</w:t>
      </w:r>
    </w:p>
    <w:p>
      <w:pPr>
        <w:spacing w:before="240"/>
      </w:pPr>
      <w:r>
        <w:rPr>
          <w:b/>
          <w:color w:val="5470C6"/>
          <w:sz w:val="26"/>
        </w:rPr>
        <w:t>1.1  Intended Audience</w:t>
      </w:r>
    </w:p>
    <w:p>
      <w:pPr>
        <w:pStyle w:val="ListBullet"/>
      </w:pPr>
      <w:r>
        <w:t>Sales management — tracking net, tax and gross billing against the previous year</w:t>
      </w:r>
    </w:p>
    <w:p>
      <w:pPr>
        <w:pStyle w:val="ListBullet"/>
      </w:pPr>
      <w:r>
        <w:t>Plant and Unit heads — seeing their own plant's or Unit's contribution on the map and the plant ranking</w:t>
      </w:r>
    </w:p>
    <w:p>
      <w:pPr>
        <w:pStyle w:val="ListBullet"/>
      </w:pPr>
      <w:r>
        <w:t>Product and scheme owners — tracking which materials and which schemes are moving</w:t>
      </w:r>
    </w:p>
    <w:p>
      <w:pPr>
        <w:pStyle w:val="ListBullet"/>
      </w:pPr>
      <w:r>
        <w:t>Functional consultants — maintaining the plant/zone/Unit mapping and its coordinates</w:t>
      </w:r>
    </w:p>
    <w:p>
      <w:pPr>
        <w:pStyle w:val="ListBullet"/>
      </w:pPr>
      <w:r>
        <w:t>MIS and reporting teams — reconciling dashboard figures against the underlying billing and sales-register reports</w:t>
      </w:r>
    </w:p>
    <w:p>
      <w:pPr>
        <w:spacing w:before="240"/>
      </w:pPr>
      <w:r>
        <w:rPr>
          <w:b/>
          <w:color w:val="5470C6"/>
          <w:sz w:val="26"/>
        </w:rPr>
        <w:t>1.2  Scope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In scope</w:t>
            </w:r>
          </w:p>
        </w:tc>
        <w:tc>
          <w:tcPr>
            <w:tcW w:type="dxa" w:w="4824"/>
            <w:shd w:val="clear" w:color="auto" w:fill="1B345E"/>
          </w:tcPr>
          <w:p>
            <w:r/>
            <w:r>
              <w:rPr>
                <w:b/>
                <w:color w:val="FFFFFF"/>
                <w:sz w:val="19"/>
              </w:rPr>
              <w:t>Out of scope</w:t>
            </w:r>
          </w:p>
        </w:tc>
      </w:tr>
      <w:tr>
        <w:tc>
          <w:tcPr>
            <w:tcW w:type="dxa" w:w="4824"/>
          </w:tcPr>
          <w:p>
            <w:r/>
            <w:r>
              <w:rPr>
                <w:sz w:val="18"/>
              </w:rPr>
              <w:t>Billed sales — net value, GST and gross — taken from the billing data in ZSD_SALE_ALL</w:t>
            </w:r>
          </w:p>
        </w:tc>
        <w:tc>
          <w:tcPr>
            <w:tcW w:type="dxa" w:w="4824"/>
          </w:tcPr>
          <w:p>
            <w:r/>
            <w:r>
              <w:rPr>
                <w:sz w:val="18"/>
              </w:rPr>
              <w:t>Open orders, deliveries and anything not yet billed</w:t>
            </w:r>
          </w:p>
        </w:tc>
      </w:tr>
      <w:tr>
        <w:tc>
          <w:tcPr>
            <w:tcW w:type="dxa" w:w="4824"/>
            <w:shd w:val="clear" w:color="auto" w:fill="F4F6F8"/>
          </w:tcPr>
          <w:p>
            <w:r/>
            <w:r>
              <w:rPr>
                <w:sz w:val="18"/>
              </w:rPr>
              <w:t>Material-level value, quantity and GST split (IGST / SGST / CGST / TCS), taken from the billing items and their pricing conditions</w:t>
            </w:r>
          </w:p>
        </w:tc>
        <w:tc>
          <w:tcPr>
            <w:tcW w:type="dxa" w:w="4824"/>
            <w:shd w:val="clear" w:color="auto" w:fill="F4F6F8"/>
          </w:tcPr>
          <w:p>
            <w:r/>
            <w:r>
              <w:rPr>
                <w:sz w:val="18"/>
              </w:rPr>
              <w:t>Targets and achievement percentage — this dashboard has no target dimension</w:t>
            </w:r>
          </w:p>
        </w:tc>
      </w:tr>
      <w:tr>
        <w:tc>
          <w:tcPr>
            <w:tcW w:type="dxa" w:w="4824"/>
          </w:tcPr>
          <w:p>
            <w:r/>
            <w:r>
              <w:rPr>
                <w:sz w:val="18"/>
              </w:rPr>
              <w:t>Plant, state, zone and Unit breakdowns of billed sales</w:t>
            </w:r>
          </w:p>
        </w:tc>
        <w:tc>
          <w:tcPr>
            <w:tcW w:type="dxa" w:w="4824"/>
          </w:tcPr>
          <w:p>
            <w:r/>
            <w:r>
              <w:rPr>
                <w:sz w:val="18"/>
              </w:rPr>
              <w:t>Customer-level analysis — the customer is carried in the data but is not reported on</w:t>
            </w:r>
          </w:p>
        </w:tc>
      </w:tr>
      <w:tr>
        <w:tc>
          <w:tcPr>
            <w:tcW w:type="dxa" w:w="4824"/>
            <w:shd w:val="clear" w:color="auto" w:fill="F4F6F8"/>
          </w:tcPr>
          <w:p>
            <w:r/>
            <w:r>
              <w:rPr>
                <w:sz w:val="18"/>
              </w:rPr>
              <w:t>Scheme (category) breakdown, with share of total and year-on-year growth</w:t>
            </w:r>
          </w:p>
        </w:tc>
        <w:tc>
          <w:tcPr>
            <w:tcW w:type="dxa" w:w="4824"/>
            <w:shd w:val="clear" w:color="auto" w:fill="F4F6F8"/>
          </w:tcPr>
          <w:p>
            <w:r/>
            <w:r>
              <w:rPr>
                <w:sz w:val="18"/>
              </w:rPr>
              <w:t>Forecasting or projection of future sales</w:t>
            </w:r>
          </w:p>
        </w:tc>
      </w:tr>
      <w:tr>
        <w:tc>
          <w:tcPr>
            <w:tcW w:type="dxa" w:w="4824"/>
          </w:tcPr>
          <w:p>
            <w:r/>
            <w:r>
              <w:rPr>
                <w:sz w:val="18"/>
              </w:rPr>
              <w:t>A single-day snapshot KPI — yesterday, or the selected month's last day</w:t>
            </w:r>
          </w:p>
        </w:tc>
        <w:tc>
          <w:tcPr>
            <w:tcW w:type="dxa" w:w="4824"/>
          </w:tcPr>
          <w:p>
            <w:r/>
            <w:r>
              <w:rPr>
                <w:sz w:val="18"/>
              </w:rPr>
              <w:t>A free date-range picker — the fiscal year always spans Apr 1 to Mar 31</w:t>
            </w:r>
          </w:p>
        </w:tc>
      </w:tr>
      <w:tr>
        <w:tc>
          <w:tcPr>
            <w:tcW w:type="dxa" w:w="4824"/>
            <w:shd w:val="clear" w:color="auto" w:fill="F4F6F8"/>
          </w:tcPr>
          <w:p>
            <w:r/>
            <w:r>
              <w:rPr>
                <w:sz w:val="18"/>
              </w:rPr>
              <w:t>Top 20 plants and Top 20 materials by value, with uncapped filter lists behind them</w:t>
            </w:r>
          </w:p>
        </w:tc>
        <w:tc>
          <w:tcPr>
            <w:tcW w:type="dxa" w:w="4824"/>
            <w:shd w:val="clear" w:color="auto" w:fill="F4F6F8"/>
          </w:tcPr>
          <w:p>
            <w:r/>
            <w:r>
              <w:rPr>
                <w:sz w:val="18"/>
              </w:rPr>
              <w:t>Download or CSV export of the underlying line items</w:t>
            </w:r>
          </w:p>
        </w:tc>
      </w:tr>
    </w:tbl>
    <w:p/>
    <w:p>
      <w:pPr>
        <w:spacing w:before="120" w:after="160"/>
        <w:ind w:left="216"/>
        <w:pBdr>
          <w:left w:val="single" w:sz="18" w:space="6" w:color="2E7D32"/>
        </w:pBdr>
      </w:pPr>
      <w:r>
        <w:rPr>
          <w:b/>
          <w:color w:val="2E7D32"/>
          <w:sz w:val="20"/>
        </w:rPr>
        <w:t xml:space="preserve">Read the two grains together:  </w:t>
      </w:r>
      <w:r>
        <w:rPr>
          <w:sz w:val="20"/>
        </w:rPr>
        <w:t>Sales figures on this dashboard come from two independent extractions of the same billing activity — one at G/L account level and one at billing-item level. Section 3 explains why, and section 7 lists the two places where that split is visible to a user.</w:t>
      </w:r>
    </w:p>
    <w:p>
      <w:pPr>
        <w:spacing w:before="320" w:after="160"/>
        <w:pBdr>
          <w:bottom w:val="single" w:sz="8" w:space="0" w:color="5470C6"/>
        </w:pBdr>
      </w:pPr>
      <w:r>
        <w:rPr>
          <w:b/>
          <w:color w:val="1B345E"/>
          <w:sz w:val="34"/>
        </w:rPr>
        <w:t>2.  Business Dimensions</w:t>
      </w:r>
    </w:p>
    <w:p>
      <w:r>
        <w:t>Seven dimensions structure everything on the dashboard. Understanding what each one means in SAP terms is the key to reading the screen correctly.</w:t>
      </w:r>
    </w:p>
    <w:p>
      <w:pPr>
        <w:spacing w:before="240"/>
      </w:pPr>
      <w:r>
        <w:rPr>
          <w:b/>
          <w:color w:val="5470C6"/>
          <w:sz w:val="26"/>
        </w:rPr>
        <w:t>2.1  Plant</w:t>
      </w:r>
    </w:p>
    <w:p>
      <w:r>
        <w:t>The plant (WERKS) is the billing plant on the sales record. It is the dimension the “Sales by plant” panel ranks, and it is also what the geography is built on — a sale is located on the map by its PLANT's state, not by its customer's state. Production has roughly 109 billing plants.</w:t>
      </w:r>
    </w:p>
    <w:p>
      <w:pPr>
        <w:spacing w:before="240"/>
      </w:pPr>
      <w:r>
        <w:rPr>
          <w:b/>
          <w:color w:val="5470C6"/>
          <w:sz w:val="26"/>
        </w:rPr>
        <w:t>2.2  Material</w:t>
      </w:r>
    </w:p>
    <w:p>
      <w:r>
        <w:t>The material (MATNR) is the article billed, with its billed description (ARKTX), its sales unit of measure and its old material number (BISMT). Material is the only dimension that does not come from the G/L-grain sales data — it comes from the billing items — which is why the Material filter behaves slightly differently from the others (see 7).</w:t>
      </w:r>
    </w:p>
    <w:p>
      <w:pPr>
        <w:spacing w:before="120" w:after="160"/>
        <w:ind w:left="216"/>
        <w:pBdr>
          <w:left w:val="single" w:sz="18" w:space="6" w:color="2E7D32"/>
        </w:pBdr>
      </w:pPr>
      <w:r>
        <w:rPr>
          <w:b/>
          <w:color w:val="2E7D32"/>
          <w:sz w:val="20"/>
        </w:rPr>
        <w:t xml:space="preserve">Old material number:  </w:t>
      </w:r>
      <w:r>
        <w:rPr>
          <w:sz w:val="20"/>
        </w:rPr>
        <w:t>A user who only knows a material by its legacy code can still find it. The old number is shown beside the material in the Material dropdown and the dropdown's search box matches on it as well as on the code and description.</w:t>
      </w:r>
    </w:p>
    <w:p>
      <w:pPr>
        <w:spacing w:before="240"/>
      </w:pPr>
      <w:r>
        <w:rPr>
          <w:b/>
          <w:color w:val="5470C6"/>
          <w:sz w:val="26"/>
        </w:rPr>
        <w:t>2.3  Zone</w:t>
      </w:r>
    </w:p>
    <w:p>
      <w:r>
        <w:t>A zone is ALIMCO's regional grouping — North, West, South, East and Central. The map can be switched from state granularity to zone granularity, which paints the five zone unions instead of the individual states, and the Zone filter narrows every panel.</w:t>
      </w:r>
    </w:p>
    <w:p>
      <w:pPr>
        <w:spacing w:before="120" w:after="160"/>
        <w:ind w:left="216"/>
        <w:pBdr>
          <w:left w:val="single" w:sz="18" w:space="6" w:color="2E7D32"/>
        </w:pBdr>
      </w:pPr>
      <w:r>
        <w:rPr>
          <w:b/>
          <w:color w:val="2E7D32"/>
          <w:sz w:val="20"/>
        </w:rPr>
        <w:t xml:space="preserve">Zone is resolved from the state:  </w:t>
      </w:r>
      <w:r>
        <w:rPr>
          <w:sz w:val="20"/>
        </w:rPr>
        <w:t>The dashboard determines a state's zone from the state itself, using a fixed business rule, rather than trusting the ALM_ZONE code on the mapping table. That code's real values were never confirmed, and a loose match on it was letting states outside the selected zone appear on the map. If a state ever shows up under the wrong zone, the rule — not the data — is what needs correcting.</w:t>
      </w:r>
    </w:p>
    <w:p>
      <w:pPr>
        <w:spacing w:before="240"/>
      </w:pPr>
      <w:r>
        <w:rPr>
          <w:b/>
          <w:color w:val="5470C6"/>
          <w:sz w:val="26"/>
        </w:rPr>
        <w:t>2.4  State</w:t>
      </w:r>
    </w:p>
    <w:p>
      <w:r>
        <w:t>The state (REGIO) comes from the billing plant's own plant master, with its name taken from the standard state text table in English. It drives the India choropleth and the Top-states roll-up. A plant whose plant master carries no region contributes its sales to every total but cannot be placed on the map.</w:t>
      </w:r>
    </w:p>
    <w:p>
      <w:pPr>
        <w:spacing w:before="240"/>
      </w:pPr>
      <w:r>
        <w:rPr>
          <w:b/>
          <w:color w:val="5470C6"/>
          <w:sz w:val="26"/>
        </w:rPr>
        <w:t>2.5  Unit</w:t>
      </w:r>
    </w:p>
    <w:p>
      <w:r>
        <w:t>A Unit is ALIMCO's grouping of plants under a sales office — 18 of them in production. Units are what the map's dot overlay plots: one dot per Unit, sized by that Unit's net value, positioned at a value-weighted centre of its member plants' coordinates, and labelled with the Unit code, the Unit name and the value.</w:t>
      </w:r>
    </w:p>
    <w:p>
      <w:pPr>
        <w:spacing w:before="120" w:after="160"/>
        <w:ind w:left="216"/>
        <w:pBdr>
          <w:left w:val="single" w:sz="18" w:space="6" w:color="2E7D32"/>
        </w:pBdr>
      </w:pPr>
      <w:r>
        <w:rPr>
          <w:b/>
          <w:color w:val="2E7D32"/>
          <w:sz w:val="20"/>
        </w:rPr>
        <w:t xml:space="preserve">The Unit name is the Remarks field:  </w:t>
      </w:r>
      <w:r>
        <w:rPr>
          <w:sz w:val="20"/>
        </w:rPr>
        <w:t>A Unit's descriptive name is the Remarks column of the plant/zone mapping table. That table holds one row per Unit, so Remarks is the Unit's own name rather than a per-plant value. If it is left blank, the map callout shows the Unit code alone.</w:t>
      </w:r>
    </w:p>
    <w:p>
      <w:pPr>
        <w:spacing w:before="240"/>
      </w:pPr>
      <w:r>
        <w:rPr>
          <w:b/>
          <w:color w:val="5470C6"/>
          <w:sz w:val="26"/>
        </w:rPr>
        <w:t>2.6  Scheme (Category)</w:t>
      </w:r>
    </w:p>
    <w:p>
      <w:r>
        <w:t>A scheme is the business programme a sale belongs to — for example ADIP or ADIP SSA. In SAP it is the category field on the sales data. The Scheme panel ranks schemes by net value and shows each one's share of the total and its growth against last year; the Scheme filter narrows the rest of the screen.</w:t>
      </w:r>
    </w:p>
    <w:p>
      <w:pPr>
        <w:spacing w:before="240"/>
      </w:pPr>
      <w:r>
        <w:rPr>
          <w:b/>
          <w:color w:val="5470C6"/>
          <w:sz w:val="26"/>
        </w:rPr>
        <w:t>2.7  Fiscal Year and Period</w:t>
      </w:r>
    </w:p>
    <w:p>
      <w:r>
        <w:t>Every figure is scoped to exactly one fiscal year, running April 1 to March 31. The dashboard opens on the fiscal year containing today's date and offers the three most recent years. The Period filter narrows within that year and is numbered the way the business counts it — Apr is period 1 and Mar is period 12.</w:t>
      </w:r>
    </w:p>
    <w:p>
      <w:pPr>
        <w:spacing w:before="120" w:after="160"/>
        <w:ind w:left="216"/>
        <w:pBdr>
          <w:left w:val="single" w:sz="18" w:space="6" w:color="2E7D32"/>
        </w:pBdr>
      </w:pPr>
      <w:r>
        <w:rPr>
          <w:b/>
          <w:color w:val="2E7D32"/>
          <w:sz w:val="20"/>
        </w:rPr>
        <w:t xml:space="preserve">Fiscal year numbering:  </w:t>
      </w:r>
      <w:r>
        <w:rPr>
          <w:sz w:val="20"/>
        </w:rPr>
        <w:t>A fiscal year is named after the calendar year it STARTS in. April 2026 to March 2027 is fiscal year 2026, shown as “FY 2026-27”. This matches SAP's own GJAHR on the billing data.</w:t>
      </w:r>
    </w:p>
    <w:p>
      <w:pPr>
        <w:spacing w:before="320" w:after="160"/>
        <w:pBdr>
          <w:bottom w:val="single" w:sz="8" w:space="0" w:color="5470C6"/>
        </w:pBdr>
      </w:pPr>
      <w:r>
        <w:rPr>
          <w:b/>
          <w:color w:val="1B345E"/>
          <w:sz w:val="34"/>
        </w:rPr>
        <w:t>3.  Data Sources</w:t>
      </w:r>
    </w:p>
    <w:p>
      <w:r>
        <w:t>The dashboard reads from two SAP data providers. Neither is maintained by the dashboard itself — both are fed by billing processes that already exist.</w:t>
      </w:r>
    </w:p>
    <w:p>
      <w:pPr>
        <w:spacing w:before="240"/>
      </w:pPr>
      <w:r>
        <w:rPr>
          <w:b/>
          <w:color w:val="5470C6"/>
          <w:sz w:val="26"/>
        </w:rPr>
        <w:t>3.1  Sales at G/L Grain</w:t>
      </w:r>
    </w:p>
    <w:p>
      <w:r>
        <w:t>The primary source. One row per G/L account line of a billing document, carrying the net value, tax and gross, enriched with the plant's state, its zone, its Unit and the Unit's coordinates. It feeds the KPI cards, the monthly trend behind the sparklines, the India map, the Scheme panel and the Sales-by-plant panel.</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Source</w:t>
            </w:r>
          </w:p>
        </w:tc>
        <w:tc>
          <w:tcPr>
            <w:tcW w:type="dxa" w:w="4824"/>
            <w:shd w:val="clear" w:color="auto" w:fill="1B345E"/>
          </w:tcPr>
          <w:p>
            <w:r/>
            <w:r>
              <w:rPr>
                <w:b/>
                <w:color w:val="FFFFFF"/>
                <w:sz w:val="19"/>
              </w:rPr>
              <w:t>Contribution</w:t>
            </w:r>
          </w:p>
        </w:tc>
      </w:tr>
      <w:tr>
        <w:tc>
          <w:tcPr>
            <w:tcW w:type="dxa" w:w="4824"/>
          </w:tcPr>
          <w:p>
            <w:r/>
            <w:r>
              <w:rPr>
                <w:sz w:val="18"/>
              </w:rPr>
              <w:t>ZSD_SALE_ALL</w:t>
            </w:r>
          </w:p>
        </w:tc>
        <w:tc>
          <w:tcPr>
            <w:tcW w:type="dxa" w:w="4824"/>
          </w:tcPr>
          <w:p>
            <w:r/>
            <w:r>
              <w:rPr>
                <w:sz w:val="18"/>
              </w:rPr>
              <w:t>The billing lines: net value, tax, gross, posting date, billing type, scheme (category) and its description, customer, plant and sales office.</w:t>
            </w:r>
          </w:p>
        </w:tc>
      </w:tr>
      <w:tr>
        <w:tc>
          <w:tcPr>
            <w:tcW w:type="dxa" w:w="4824"/>
            <w:shd w:val="clear" w:color="auto" w:fill="F4F6F8"/>
          </w:tcPr>
          <w:p>
            <w:r/>
            <w:r>
              <w:rPr>
                <w:sz w:val="18"/>
              </w:rPr>
              <w:t>ZSD_ZONE_PLANT</w:t>
            </w:r>
          </w:p>
        </w:tc>
        <w:tc>
          <w:tcPr>
            <w:tcW w:type="dxa" w:w="4824"/>
            <w:shd w:val="clear" w:color="auto" w:fill="F4F6F8"/>
          </w:tcPr>
          <w:p>
            <w:r/>
            <w:r>
              <w:rPr>
                <w:sz w:val="18"/>
              </w:rPr>
              <w:t>Zone, Unit, Unit name (Remarks) and the Unit's latitude/longitude. Joined on the sales office, and joined LEFT so a plant with no mapping row still contributes its sales.</w:t>
            </w:r>
          </w:p>
        </w:tc>
      </w:tr>
      <w:tr>
        <w:tc>
          <w:tcPr>
            <w:tcW w:type="dxa" w:w="4824"/>
          </w:tcPr>
          <w:p>
            <w:r/>
            <w:r>
              <w:rPr>
                <w:sz w:val="18"/>
              </w:rPr>
              <w:t>T001W</w:t>
            </w:r>
          </w:p>
        </w:tc>
        <w:tc>
          <w:tcPr>
            <w:tcW w:type="dxa" w:w="4824"/>
          </w:tcPr>
          <w:p>
            <w:r/>
            <w:r>
              <w:rPr>
                <w:sz w:val="18"/>
              </w:rPr>
              <w:t>Plant master — supplies the plant's region (state) code.</w:t>
            </w:r>
          </w:p>
        </w:tc>
      </w:tr>
      <w:tr>
        <w:tc>
          <w:tcPr>
            <w:tcW w:type="dxa" w:w="4824"/>
            <w:shd w:val="clear" w:color="auto" w:fill="F4F6F8"/>
          </w:tcPr>
          <w:p>
            <w:r/>
            <w:r>
              <w:rPr>
                <w:sz w:val="18"/>
              </w:rPr>
              <w:t>T005U</w:t>
            </w:r>
          </w:p>
        </w:tc>
        <w:tc>
          <w:tcPr>
            <w:tcW w:type="dxa" w:w="4824"/>
            <w:shd w:val="clear" w:color="auto" w:fill="F4F6F8"/>
          </w:tcPr>
          <w:p>
            <w:r/>
            <w:r>
              <w:rPr>
                <w:sz w:val="18"/>
              </w:rPr>
              <w:t>Standard state text, English, for India.</w:t>
            </w:r>
          </w:p>
        </w:tc>
      </w:tr>
    </w:tbl>
    <w:p/>
    <w:p>
      <w:pPr>
        <w:spacing w:before="120" w:after="160"/>
        <w:ind w:left="216"/>
        <w:pBdr>
          <w:left w:val="single" w:sz="18" w:space="6" w:color="2E7D32"/>
        </w:pBdr>
      </w:pPr>
      <w:r>
        <w:rPr>
          <w:b/>
          <w:color w:val="2E7D32"/>
          <w:sz w:val="20"/>
        </w:rPr>
        <w:t xml:space="preserve">Missing mapping row:  </w:t>
      </w:r>
      <w:r>
        <w:rPr>
          <w:sz w:val="20"/>
        </w:rPr>
        <w:t>Because the zone mapping is joined LEFT, a plant that is absent from it still contributes its sales to every KPI — but it carries no zone, no Unit and no coordinates, so it silently disappears from the Zone filter, from the Unit dot overlay, and from any zone-granularity view of the map. Totals stay right; the breakdowns quietly under-report.</w:t>
      </w:r>
    </w:p>
    <w:p>
      <w:pPr>
        <w:spacing w:before="240"/>
      </w:pPr>
      <w:r>
        <w:rPr>
          <w:b/>
          <w:color w:val="5470C6"/>
          <w:sz w:val="26"/>
        </w:rPr>
        <w:t>3.2  Materials at Item Grain</w:t>
      </w:r>
    </w:p>
    <w:p>
      <w:r>
        <w:t>A second, independent extraction: one row per billing item, carrying the material, its description, the billed quantity, the sales unit, the item net value and the old material number. It feeds the Sales-by-material panel and the Material filter list, and nothing else.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Source</w:t>
            </w:r>
          </w:p>
        </w:tc>
        <w:tc>
          <w:tcPr>
            <w:tcW w:type="dxa" w:w="4824"/>
            <w:shd w:val="clear" w:color="auto" w:fill="1B345E"/>
          </w:tcPr>
          <w:p>
            <w:r/>
            <w:r>
              <w:rPr>
                <w:b/>
                <w:color w:val="FFFFFF"/>
                <w:sz w:val="19"/>
              </w:rPr>
              <w:t>Contribution</w:t>
            </w:r>
          </w:p>
        </w:tc>
      </w:tr>
      <w:tr>
        <w:tc>
          <w:tcPr>
            <w:tcW w:type="dxa" w:w="4824"/>
          </w:tcPr>
          <w:p>
            <w:r/>
            <w:r>
              <w:rPr>
                <w:sz w:val="18"/>
              </w:rPr>
              <w:t>VBRP</w:t>
            </w:r>
          </w:p>
        </w:tc>
        <w:tc>
          <w:tcPr>
            <w:tcW w:type="dxa" w:w="4824"/>
          </w:tcPr>
          <w:p>
            <w:r/>
            <w:r>
              <w:rPr>
                <w:sz w:val="18"/>
              </w:rPr>
              <w:t>Billing items — material, description as billed, quantity, sales unit, item net value, plant.</w:t>
            </w:r>
          </w:p>
        </w:tc>
      </w:tr>
      <w:tr>
        <w:tc>
          <w:tcPr>
            <w:tcW w:type="dxa" w:w="4824"/>
            <w:shd w:val="clear" w:color="auto" w:fill="F4F6F8"/>
          </w:tcPr>
          <w:p>
            <w:r/>
            <w:r>
              <w:rPr>
                <w:sz w:val="18"/>
              </w:rPr>
              <w:t>VBRK</w:t>
            </w:r>
          </w:p>
        </w:tc>
        <w:tc>
          <w:tcPr>
            <w:tcW w:type="dxa" w:w="4824"/>
            <w:shd w:val="clear" w:color="auto" w:fill="F4F6F8"/>
          </w:tcPr>
          <w:p>
            <w:r/>
            <w:r>
              <w:rPr>
                <w:sz w:val="18"/>
              </w:rPr>
              <w:t>Billing header — billing type (used to exclude credit memos), billing date and fiscal year.</w:t>
            </w:r>
          </w:p>
        </w:tc>
      </w:tr>
      <w:tr>
        <w:tc>
          <w:tcPr>
            <w:tcW w:type="dxa" w:w="4824"/>
          </w:tcPr>
          <w:p>
            <w:r/>
            <w:r>
              <w:rPr>
                <w:sz w:val="18"/>
              </w:rPr>
              <w:t>MARA</w:t>
            </w:r>
          </w:p>
        </w:tc>
        <w:tc>
          <w:tcPr>
            <w:tcW w:type="dxa" w:w="4824"/>
          </w:tcPr>
          <w:p>
            <w:r/>
            <w:r>
              <w:rPr>
                <w:sz w:val="18"/>
              </w:rPr>
              <w:t>Material master — material group and the old material number.</w:t>
            </w:r>
          </w:p>
        </w:tc>
      </w:tr>
      <w:tr>
        <w:tc>
          <w:tcPr>
            <w:tcW w:type="dxa" w:w="4824"/>
            <w:shd w:val="clear" w:color="auto" w:fill="F4F6F8"/>
          </w:tcPr>
          <w:p>
            <w:r/>
            <w:r>
              <w:rPr>
                <w:sz w:val="18"/>
              </w:rPr>
              <w:t>PRCD_ELEMENTS</w:t>
            </w:r>
          </w:p>
        </w:tc>
        <w:tc>
          <w:tcPr>
            <w:tcW w:type="dxa" w:w="4824"/>
            <w:shd w:val="clear" w:color="auto" w:fill="F4F6F8"/>
          </w:tcPr>
          <w:p>
            <w:r/>
            <w:r>
              <w:rPr>
                <w:sz w:val="18"/>
              </w:rPr>
              <w:t>Pricing conditions — the per-item IGST, SGST/CGST and TCS split, and the G/L account each condition posts to.</w:t>
            </w:r>
          </w:p>
        </w:tc>
      </w:tr>
    </w:tbl>
    <w:p/>
    <w:p>
      <w:pPr>
        <w:spacing w:before="240"/>
      </w:pPr>
      <w:r>
        <w:rPr>
          <w:b/>
          <w:color w:val="5470C6"/>
          <w:sz w:val="26"/>
        </w:rPr>
        <w:t>3.3  Why the Two Are Kept Apart</w:t>
      </w:r>
    </w:p>
    <w:p>
      <w:r>
        <w:t>The G/L-grain sales data carries no material and no quantity, and its grain is one row per G/L account line rather than one row per billing document. Joining the billing items onto it would multiply every row and double-count every net, tax and gross figure on the screen. The two facts are therefore extracted separately and never joined.</w:t>
      </w:r>
    </w:p>
    <w:p>
      <w:pPr>
        <w:spacing w:before="120" w:after="160"/>
        <w:ind w:left="216"/>
        <w:pBdr>
          <w:left w:val="single" w:sz="18" w:space="6" w:color="2E7D32"/>
        </w:pBdr>
      </w:pPr>
      <w:r>
        <w:rPr>
          <w:b/>
          <w:color w:val="2E7D32"/>
          <w:sz w:val="20"/>
        </w:rPr>
        <w:t xml:space="preserve">The one place they meet:  </w:t>
      </w:r>
      <w:r>
        <w:rPr>
          <w:sz w:val="20"/>
        </w:rPr>
        <w:t>When — and only when — a Material filter is active, the dashboard has to work out which G/L lines belong to that material so the KPI cards, the map, the Scheme panel and the plant ranking can respect the filter too. It does that through the G/L account recorded on each pricing condition. Section 7 explains what happens when that link cannot be established.</w:t>
      </w:r>
    </w:p>
    <w:p>
      <w:pPr>
        <w:spacing w:before="320" w:after="160"/>
        <w:pBdr>
          <w:bottom w:val="single" w:sz="8" w:space="0" w:color="5470C6"/>
        </w:pBdr>
      </w:pPr>
      <w:r>
        <w:rPr>
          <w:b/>
          <w:color w:val="1B345E"/>
          <w:sz w:val="34"/>
        </w:rPr>
        <w:t>4.  KPI Definitions</w:t>
      </w:r>
    </w:p>
    <w:p>
      <w:r>
        <w:t>Four KPI cards sit above the panels. All four respect every active filter, and each carries a growth pill comparing it against the previous fiscal year.</w:t>
      </w:r>
    </w:p>
    <w:p>
      <w:pPr>
        <w:spacing w:before="240"/>
      </w:pPr>
      <w:r>
        <w:rPr>
          <w:b/>
          <w:color w:val="5470C6"/>
          <w:sz w:val="26"/>
        </w:rPr>
        <w:t>4.1  KPI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KPI</w:t>
            </w:r>
          </w:p>
        </w:tc>
        <w:tc>
          <w:tcPr>
            <w:tcW w:type="dxa" w:w="3216"/>
            <w:shd w:val="clear" w:color="auto" w:fill="1B345E"/>
          </w:tcPr>
          <w:p>
            <w:r/>
            <w:r>
              <w:rPr>
                <w:b/>
                <w:color w:val="FFFFFF"/>
                <w:sz w:val="19"/>
              </w:rPr>
              <w:t>Definition</w:t>
            </w:r>
          </w:p>
        </w:tc>
        <w:tc>
          <w:tcPr>
            <w:tcW w:type="dxa" w:w="3216"/>
            <w:shd w:val="clear" w:color="auto" w:fill="1B345E"/>
          </w:tcPr>
          <w:p>
            <w:r/>
            <w:r>
              <w:rPr>
                <w:b/>
                <w:color w:val="FFFFFF"/>
                <w:sz w:val="19"/>
              </w:rPr>
              <w:t>Sub-line beneath the value</w:t>
            </w:r>
          </w:p>
        </w:tc>
      </w:tr>
      <w:tr>
        <w:tc>
          <w:tcPr>
            <w:tcW w:type="dxa" w:w="3216"/>
          </w:tcPr>
          <w:p>
            <w:r/>
            <w:r>
              <w:rPr>
                <w:sz w:val="18"/>
              </w:rPr>
              <w:t>Total net value</w:t>
            </w:r>
          </w:p>
        </w:tc>
        <w:tc>
          <w:tcPr>
            <w:tcW w:type="dxa" w:w="3216"/>
          </w:tcPr>
          <w:p>
            <w:r/>
            <w:r>
              <w:rPr>
                <w:sz w:val="18"/>
              </w:rPr>
              <w:t>Sum of net value across every G/L line in scope</w:t>
            </w:r>
          </w:p>
        </w:tc>
        <w:tc>
          <w:tcPr>
            <w:tcW w:type="dxa" w:w="3216"/>
          </w:tcPr>
          <w:p>
            <w:r/>
            <w:r>
              <w:rPr>
                <w:sz w:val="18"/>
              </w:rPr>
              <w:t>The same amount, unabbreviated</w:t>
            </w:r>
          </w:p>
        </w:tc>
      </w:tr>
      <w:tr>
        <w:tc>
          <w:tcPr>
            <w:tcW w:type="dxa" w:w="3216"/>
            <w:shd w:val="clear" w:color="auto" w:fill="F4F6F8"/>
          </w:tcPr>
          <w:p>
            <w:r/>
            <w:r>
              <w:rPr>
                <w:sz w:val="18"/>
              </w:rPr>
              <w:t>Total tax (GST)</w:t>
            </w:r>
          </w:p>
        </w:tc>
        <w:tc>
          <w:tcPr>
            <w:tcW w:type="dxa" w:w="3216"/>
            <w:shd w:val="clear" w:color="auto" w:fill="F4F6F8"/>
          </w:tcPr>
          <w:p>
            <w:r/>
            <w:r>
              <w:rPr>
                <w:sz w:val="18"/>
              </w:rPr>
              <w:t>Sum of tax across every G/L line in scope</w:t>
            </w:r>
          </w:p>
        </w:tc>
        <w:tc>
          <w:tcPr>
            <w:tcW w:type="dxa" w:w="3216"/>
            <w:shd w:val="clear" w:color="auto" w:fill="F4F6F8"/>
          </w:tcPr>
          <w:p>
            <w:r/>
            <w:r>
              <w:rPr>
                <w:sz w:val="18"/>
              </w:rPr>
              <w:t>The effective GST rate — tax divided by net, on the same selection</w:t>
            </w:r>
          </w:p>
        </w:tc>
      </w:tr>
      <w:tr>
        <w:tc>
          <w:tcPr>
            <w:tcW w:type="dxa" w:w="3216"/>
          </w:tcPr>
          <w:p>
            <w:r/>
            <w:r>
              <w:rPr>
                <w:sz w:val="18"/>
              </w:rPr>
              <w:t>Total gross value</w:t>
            </w:r>
          </w:p>
        </w:tc>
        <w:tc>
          <w:tcPr>
            <w:tcW w:type="dxa" w:w="3216"/>
          </w:tcPr>
          <w:p>
            <w:r/>
            <w:r>
              <w:rPr>
                <w:sz w:val="18"/>
              </w:rPr>
              <w:t>Net value plus tax</w:t>
            </w:r>
          </w:p>
        </w:tc>
        <w:tc>
          <w:tcPr>
            <w:tcW w:type="dxa" w:w="3216"/>
          </w:tcPr>
          <w:p>
            <w:r/>
            <w:r>
              <w:rPr>
                <w:sz w:val="18"/>
              </w:rPr>
              <w:t>The same amount, unabbreviated</w:t>
            </w:r>
          </w:p>
        </w:tc>
      </w:tr>
      <w:tr>
        <w:tc>
          <w:tcPr>
            <w:tcW w:type="dxa" w:w="3216"/>
            <w:shd w:val="clear" w:color="auto" w:fill="F4F6F8"/>
          </w:tcPr>
          <w:p>
            <w:r/>
            <w:r>
              <w:rPr>
                <w:sz w:val="18"/>
              </w:rPr>
              <w:t>Yesterday Sale / Month-End Sale</w:t>
            </w:r>
          </w:p>
        </w:tc>
        <w:tc>
          <w:tcPr>
            <w:tcW w:type="dxa" w:w="3216"/>
            <w:shd w:val="clear" w:color="auto" w:fill="F4F6F8"/>
          </w:tcPr>
          <w:p>
            <w:r/>
            <w:r>
              <w:rPr>
                <w:sz w:val="18"/>
              </w:rPr>
              <w:t>Net value billed on one single day (see 4.3)</w:t>
            </w:r>
          </w:p>
        </w:tc>
        <w:tc>
          <w:tcPr>
            <w:tcW w:type="dxa" w:w="3216"/>
            <w:shd w:val="clear" w:color="auto" w:fill="F4F6F8"/>
          </w:tcPr>
          <w:p>
            <w:r/>
            <w:r>
              <w:rPr>
                <w:sz w:val="18"/>
              </w:rPr>
              <w:t>That day's date and the number of invoices billed on it</w:t>
            </w:r>
          </w:p>
        </w:tc>
      </w:tr>
    </w:tbl>
    <w:p/>
    <w:p>
      <w:pPr>
        <w:spacing w:before="120" w:after="160"/>
        <w:ind w:left="216"/>
        <w:pBdr>
          <w:left w:val="single" w:sz="18" w:space="6" w:color="2E7D32"/>
        </w:pBdr>
      </w:pPr>
      <w:r>
        <w:rPr>
          <w:b/>
          <w:color w:val="2E7D32"/>
          <w:sz w:val="20"/>
        </w:rPr>
        <w:t xml:space="preserve">Gross is derived, not read:  </w:t>
      </w:r>
      <w:r>
        <w:rPr>
          <w:sz w:val="20"/>
        </w:rPr>
        <w:t>Gross is computed as net + tax rather than taken from a gross column, so the three money cards always reconcile with each other exactly.</w:t>
      </w:r>
    </w:p>
    <w:p>
      <w:pPr>
        <w:spacing w:before="240"/>
      </w:pPr>
      <w:r>
        <w:rPr>
          <w:b/>
          <w:color w:val="5470C6"/>
          <w:sz w:val="26"/>
        </w:rPr>
        <w:t>4.2  The Growth Pill</w:t>
      </w:r>
    </w:p>
    <w:p>
      <w:r>
        <w:t>Each card compares itself against the same measure in the previous fiscal year and shows the movement as a signed percentage. Movement below 0.05% in either direction is treated as flat. Where there is no prior-year figure at all to divide by, the card shows “new” instead of a percentage.</w:t>
      </w:r>
    </w:p>
    <w:p>
      <w:pPr>
        <w:spacing w:before="240"/>
      </w:pPr>
      <w:r>
        <w:rPr>
          <w:b/>
          <w:color w:val="5470C6"/>
          <w:sz w:val="26"/>
        </w:rPr>
        <w:t>4.3  Yesterday Sale vs Month-End Sale</w:t>
      </w:r>
    </w:p>
    <w:p>
      <w:r>
        <w:t>The fourth card reports a single day, and which day it reports on — and therefore what it is called — depends on what has been filtered: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Selection</w:t>
            </w:r>
          </w:p>
        </w:tc>
        <w:tc>
          <w:tcPr>
            <w:tcW w:type="dxa" w:w="3216"/>
            <w:shd w:val="clear" w:color="auto" w:fill="1B345E"/>
          </w:tcPr>
          <w:p>
            <w:r/>
            <w:r>
              <w:rPr>
                <w:b/>
                <w:color w:val="FFFFFF"/>
                <w:sz w:val="19"/>
              </w:rPr>
              <w:t>Day reported</w:t>
            </w:r>
          </w:p>
        </w:tc>
        <w:tc>
          <w:tcPr>
            <w:tcW w:type="dxa" w:w="3216"/>
            <w:shd w:val="clear" w:color="auto" w:fill="1B345E"/>
          </w:tcPr>
          <w:p>
            <w:r/>
            <w:r>
              <w:rPr>
                <w:b/>
                <w:color w:val="FFFFFF"/>
                <w:sz w:val="19"/>
              </w:rPr>
              <w:t>Card title</w:t>
            </w:r>
          </w:p>
        </w:tc>
      </w:tr>
      <w:tr>
        <w:tc>
          <w:tcPr>
            <w:tcW w:type="dxa" w:w="3216"/>
          </w:tcPr>
          <w:p>
            <w:r/>
            <w:r>
              <w:rPr>
                <w:sz w:val="18"/>
              </w:rPr>
              <w:t>Current fiscal year, no Period filter</w:t>
            </w:r>
          </w:p>
        </w:tc>
        <w:tc>
          <w:tcPr>
            <w:tcW w:type="dxa" w:w="3216"/>
          </w:tcPr>
          <w:p>
            <w:r/>
            <w:r>
              <w:rPr>
                <w:sz w:val="18"/>
              </w:rPr>
              <w:t>Yesterday</w:t>
            </w:r>
          </w:p>
        </w:tc>
        <w:tc>
          <w:tcPr>
            <w:tcW w:type="dxa" w:w="3216"/>
          </w:tcPr>
          <w:p>
            <w:r/>
            <w:r>
              <w:rPr>
                <w:sz w:val="18"/>
              </w:rPr>
              <w:t>Yesterday Sale</w:t>
            </w:r>
          </w:p>
        </w:tc>
      </w:tr>
      <w:tr>
        <w:tc>
          <w:tcPr>
            <w:tcW w:type="dxa" w:w="3216"/>
            <w:shd w:val="clear" w:color="auto" w:fill="F4F6F8"/>
          </w:tcPr>
          <w:p>
            <w:r/>
            <w:r>
              <w:rPr>
                <w:sz w:val="18"/>
              </w:rPr>
              <w:t>Current fiscal year, the current period selected on its own</w:t>
            </w:r>
          </w:p>
        </w:tc>
        <w:tc>
          <w:tcPr>
            <w:tcW w:type="dxa" w:w="3216"/>
            <w:shd w:val="clear" w:color="auto" w:fill="F4F6F8"/>
          </w:tcPr>
          <w:p>
            <w:r/>
            <w:r>
              <w:rPr>
                <w:sz w:val="18"/>
              </w:rPr>
              <w:t>Yesterday</w:t>
            </w:r>
          </w:p>
        </w:tc>
        <w:tc>
          <w:tcPr>
            <w:tcW w:type="dxa" w:w="3216"/>
            <w:shd w:val="clear" w:color="auto" w:fill="F4F6F8"/>
          </w:tcPr>
          <w:p>
            <w:r/>
            <w:r>
              <w:rPr>
                <w:sz w:val="18"/>
              </w:rPr>
              <w:t>Yesterday Sale</w:t>
            </w:r>
          </w:p>
        </w:tc>
      </w:tr>
      <w:tr>
        <w:tc>
          <w:tcPr>
            <w:tcW w:type="dxa" w:w="3216"/>
          </w:tcPr>
          <w:p>
            <w:r/>
            <w:r>
              <w:rPr>
                <w:sz w:val="18"/>
              </w:rPr>
              <w:t>Any other single or multiple period</w:t>
            </w:r>
          </w:p>
        </w:tc>
        <w:tc>
          <w:tcPr>
            <w:tcW w:type="dxa" w:w="3216"/>
          </w:tcPr>
          <w:p>
            <w:r/>
            <w:r>
              <w:rPr>
                <w:sz w:val="18"/>
              </w:rPr>
              <w:t>Last day of the latest period selected</w:t>
            </w:r>
          </w:p>
        </w:tc>
        <w:tc>
          <w:tcPr>
            <w:tcW w:type="dxa" w:w="3216"/>
          </w:tcPr>
          <w:p>
            <w:r/>
            <w:r>
              <w:rPr>
                <w:sz w:val="18"/>
              </w:rPr>
              <w:t>Month-End Sale</w:t>
            </w:r>
          </w:p>
        </w:tc>
      </w:tr>
      <w:tr>
        <w:tc>
          <w:tcPr>
            <w:tcW w:type="dxa" w:w="3216"/>
            <w:shd w:val="clear" w:color="auto" w:fill="F4F6F8"/>
          </w:tcPr>
          <w:p>
            <w:r/>
            <w:r>
              <w:rPr>
                <w:sz w:val="18"/>
              </w:rPr>
              <w:t>A past fiscal year, no Period filter</w:t>
            </w:r>
          </w:p>
        </w:tc>
        <w:tc>
          <w:tcPr>
            <w:tcW w:type="dxa" w:w="3216"/>
            <w:shd w:val="clear" w:color="auto" w:fill="F4F6F8"/>
          </w:tcPr>
          <w:p>
            <w:r/>
            <w:r>
              <w:rPr>
                <w:sz w:val="18"/>
              </w:rPr>
              <w:t>March 31 of that year</w:t>
            </w:r>
          </w:p>
        </w:tc>
        <w:tc>
          <w:tcPr>
            <w:tcW w:type="dxa" w:w="3216"/>
            <w:shd w:val="clear" w:color="auto" w:fill="F4F6F8"/>
          </w:tcPr>
          <w:p>
            <w:r/>
            <w:r>
              <w:rPr>
                <w:sz w:val="18"/>
              </w:rPr>
              <w:t>Month-End Sale</w:t>
            </w:r>
          </w:p>
        </w:tc>
      </w:tr>
    </w:tbl>
    <w:p/>
    <w:p>
      <w:r>
        <w:t>This card compares against the same calendar day one year earlier. If the day it would report on has not happened yet — a future period in a still-open year — the card shows no billing rather than a misleading zero-versus-last-year drop.</w:t>
      </w:r>
    </w:p>
    <w:p>
      <w:pPr>
        <w:spacing w:before="240"/>
      </w:pPr>
      <w:r>
        <w:rPr>
          <w:b/>
          <w:color w:val="5470C6"/>
          <w:sz w:val="26"/>
        </w:rPr>
        <w:t>4.4  How Last Year Is Compared</w:t>
      </w:r>
    </w:p>
    <w:p>
      <w:r>
        <w:t>This is a deliberate functional decision, and it explains a comparison that would otherwise look wrong halfway through a year.</w:t>
      </w:r>
    </w:p>
    <w:p>
      <w:r>
        <w:t>When the CURRENT fiscal year is selected, the prior year is truncated to the same point in its own year that today occupies in this one — the same period and the same day of the month. Five months into a year, five months of this year are compared against the first five months of last year, not against last year's full twelve.</w:t>
      </w:r>
    </w:p>
    <w:p>
      <w:r>
        <w:t>When a PAST, already-closed fiscal year is selected, there is nothing in progress to truncate, so the two years are compared in full.</w:t>
      </w:r>
    </w:p>
    <w:p>
      <w:pPr>
        <w:spacing w:before="120" w:after="160"/>
        <w:ind w:left="216"/>
        <w:pBdr>
          <w:left w:val="single" w:sz="18" w:space="6" w:color="2E7D32"/>
        </w:pBdr>
      </w:pPr>
      <w:r>
        <w:rPr>
          <w:b/>
          <w:color w:val="2E7D32"/>
          <w:sz w:val="20"/>
        </w:rPr>
        <w:t xml:space="preserve">Why it matters:  </w:t>
      </w:r>
      <w:r>
        <w:rPr>
          <w:sz w:val="20"/>
        </w:rPr>
        <w:t>Without this rule, every growth pill on the screen would read catastrophically negative from April until the following March, simply because a part-year was being compared against a whole one.</w:t>
      </w:r>
    </w:p>
    <w:p>
      <w:pPr>
        <w:spacing w:before="320" w:after="160"/>
        <w:pBdr>
          <w:bottom w:val="single" w:sz="8" w:space="0" w:color="5470C6"/>
        </w:pBdr>
      </w:pPr>
      <w:r>
        <w:rPr>
          <w:b/>
          <w:color w:val="1B345E"/>
          <w:sz w:val="34"/>
        </w:rPr>
        <w:t>5.  Screen Content</w:t>
      </w:r>
    </w:p>
    <w:p>
      <w:pPr>
        <w:spacing w:before="240"/>
      </w:pPr>
      <w:r>
        <w:rPr>
          <w:b/>
          <w:color w:val="5470C6"/>
          <w:sz w:val="26"/>
        </w:rPr>
        <w:t>5.1  Filters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Filter</w:t>
            </w:r>
          </w:p>
        </w:tc>
        <w:tc>
          <w:tcPr>
            <w:tcW w:type="dxa" w:w="3216"/>
            <w:shd w:val="clear" w:color="auto" w:fill="1B345E"/>
          </w:tcPr>
          <w:p>
            <w:r/>
            <w:r>
              <w:rPr>
                <w:b/>
                <w:color w:val="FFFFFF"/>
                <w:sz w:val="19"/>
              </w:rPr>
              <w:t>Type</w:t>
            </w:r>
          </w:p>
        </w:tc>
        <w:tc>
          <w:tcPr>
            <w:tcW w:type="dxa" w:w="3216"/>
            <w:shd w:val="clear" w:color="auto" w:fill="1B345E"/>
          </w:tcPr>
          <w:p>
            <w:r/>
            <w:r>
              <w:rPr>
                <w:b/>
                <w:color w:val="FFFFFF"/>
                <w:sz w:val="19"/>
              </w:rPr>
              <w:t>Effect</w:t>
            </w:r>
          </w:p>
        </w:tc>
      </w:tr>
      <w:tr>
        <w:tc>
          <w:tcPr>
            <w:tcW w:type="dxa" w:w="3216"/>
          </w:tcPr>
          <w:p>
            <w:r/>
            <w:r>
              <w:rPr>
                <w:sz w:val="18"/>
              </w:rPr>
              <w:t>Fiscal Year</w:t>
            </w:r>
          </w:p>
        </w:tc>
        <w:tc>
          <w:tcPr>
            <w:tcW w:type="dxa" w:w="3216"/>
          </w:tcPr>
          <w:p>
            <w:r/>
            <w:r>
              <w:rPr>
                <w:sz w:val="18"/>
              </w:rPr>
              <w:t>Single choice, cannot be cleared</w:t>
            </w:r>
          </w:p>
        </w:tc>
        <w:tc>
          <w:tcPr>
            <w:tcW w:type="dxa" w:w="3216"/>
          </w:tcPr>
          <w:p>
            <w:r/>
            <w:r>
              <w:rPr>
                <w:sz w:val="18"/>
              </w:rPr>
              <w:t>Scopes every KPI and every panel. Defaults to the fiscal year containing today.</w:t>
            </w:r>
          </w:p>
        </w:tc>
      </w:tr>
      <w:tr>
        <w:tc>
          <w:tcPr>
            <w:tcW w:type="dxa" w:w="3216"/>
            <w:shd w:val="clear" w:color="auto" w:fill="F4F6F8"/>
          </w:tcPr>
          <w:p>
            <w:r/>
            <w:r>
              <w:rPr>
                <w:sz w:val="18"/>
              </w:rPr>
              <w:t>Zone</w:t>
            </w:r>
          </w:p>
        </w:tc>
        <w:tc>
          <w:tcPr>
            <w:tcW w:type="dxa" w:w="3216"/>
            <w:shd w:val="clear" w:color="auto" w:fill="F4F6F8"/>
          </w:tcPr>
          <w:p>
            <w:r/>
            <w:r>
              <w:rPr>
                <w:sz w:val="18"/>
              </w:rPr>
              <w:t>Any number of values</w:t>
            </w:r>
          </w:p>
        </w:tc>
        <w:tc>
          <w:tcPr>
            <w:tcW w:type="dxa" w:w="3216"/>
            <w:shd w:val="clear" w:color="auto" w:fill="F4F6F8"/>
          </w:tcPr>
          <w:p>
            <w:r/>
            <w:r>
              <w:rPr>
                <w:sz w:val="18"/>
              </w:rPr>
              <w:t>Narrows every panel to the selected zones.</w:t>
            </w:r>
          </w:p>
        </w:tc>
      </w:tr>
      <w:tr>
        <w:tc>
          <w:tcPr>
            <w:tcW w:type="dxa" w:w="3216"/>
          </w:tcPr>
          <w:p>
            <w:r/>
            <w:r>
              <w:rPr>
                <w:sz w:val="18"/>
              </w:rPr>
              <w:t>State</w:t>
            </w:r>
          </w:p>
        </w:tc>
        <w:tc>
          <w:tcPr>
            <w:tcW w:type="dxa" w:w="3216"/>
          </w:tcPr>
          <w:p>
            <w:r/>
            <w:r>
              <w:rPr>
                <w:sz w:val="18"/>
              </w:rPr>
              <w:t>Any number of values</w:t>
            </w:r>
          </w:p>
        </w:tc>
        <w:tc>
          <w:tcPr>
            <w:tcW w:type="dxa" w:w="3216"/>
          </w:tcPr>
          <w:p>
            <w:r/>
            <w:r>
              <w:rPr>
                <w:sz w:val="18"/>
              </w:rPr>
              <w:t>Narrows every panel to the selected states.</w:t>
            </w:r>
          </w:p>
        </w:tc>
      </w:tr>
      <w:tr>
        <w:tc>
          <w:tcPr>
            <w:tcW w:type="dxa" w:w="3216"/>
            <w:shd w:val="clear" w:color="auto" w:fill="F4F6F8"/>
          </w:tcPr>
          <w:p>
            <w:r/>
            <w:r>
              <w:rPr>
                <w:sz w:val="18"/>
              </w:rPr>
              <w:t>Plant</w:t>
            </w:r>
          </w:p>
        </w:tc>
        <w:tc>
          <w:tcPr>
            <w:tcW w:type="dxa" w:w="3216"/>
            <w:shd w:val="clear" w:color="auto" w:fill="F4F6F8"/>
          </w:tcPr>
          <w:p>
            <w:r/>
            <w:r>
              <w:rPr>
                <w:sz w:val="18"/>
              </w:rPr>
              <w:t>Any number of values</w:t>
            </w:r>
          </w:p>
        </w:tc>
        <w:tc>
          <w:tcPr>
            <w:tcW w:type="dxa" w:w="3216"/>
            <w:shd w:val="clear" w:color="auto" w:fill="F4F6F8"/>
          </w:tcPr>
          <w:p>
            <w:r/>
            <w:r>
              <w:rPr>
                <w:sz w:val="18"/>
              </w:rPr>
              <w:t>Narrows every panel, including the material panel.</w:t>
            </w:r>
          </w:p>
        </w:tc>
      </w:tr>
      <w:tr>
        <w:tc>
          <w:tcPr>
            <w:tcW w:type="dxa" w:w="3216"/>
          </w:tcPr>
          <w:p>
            <w:r/>
            <w:r>
              <w:rPr>
                <w:sz w:val="18"/>
              </w:rPr>
              <w:t>Scheme</w:t>
            </w:r>
          </w:p>
        </w:tc>
        <w:tc>
          <w:tcPr>
            <w:tcW w:type="dxa" w:w="3216"/>
          </w:tcPr>
          <w:p>
            <w:r/>
            <w:r>
              <w:rPr>
                <w:sz w:val="18"/>
              </w:rPr>
              <w:t>Any number of values</w:t>
            </w:r>
          </w:p>
        </w:tc>
        <w:tc>
          <w:tcPr>
            <w:tcW w:type="dxa" w:w="3216"/>
          </w:tcPr>
          <w:p>
            <w:r/>
            <w:r>
              <w:rPr>
                <w:sz w:val="18"/>
              </w:rPr>
              <w:t>Narrows the KPI cards, map, scheme panel and plant panel. Does NOT narrow the material panel — see 7.</w:t>
            </w:r>
          </w:p>
        </w:tc>
      </w:tr>
      <w:tr>
        <w:tc>
          <w:tcPr>
            <w:tcW w:type="dxa" w:w="3216"/>
            <w:shd w:val="clear" w:color="auto" w:fill="F4F6F8"/>
          </w:tcPr>
          <w:p>
            <w:r/>
            <w:r>
              <w:rPr>
                <w:sz w:val="18"/>
              </w:rPr>
              <w:t>Material</w:t>
            </w:r>
          </w:p>
        </w:tc>
        <w:tc>
          <w:tcPr>
            <w:tcW w:type="dxa" w:w="3216"/>
            <w:shd w:val="clear" w:color="auto" w:fill="F4F6F8"/>
          </w:tcPr>
          <w:p>
            <w:r/>
            <w:r>
              <w:rPr>
                <w:sz w:val="18"/>
              </w:rPr>
              <w:t>Any number of values</w:t>
            </w:r>
          </w:p>
        </w:tc>
        <w:tc>
          <w:tcPr>
            <w:tcW w:type="dxa" w:w="3216"/>
            <w:shd w:val="clear" w:color="auto" w:fill="F4F6F8"/>
          </w:tcPr>
          <w:p>
            <w:r/>
            <w:r>
              <w:rPr>
                <w:sz w:val="18"/>
              </w:rPr>
              <w:t>Narrows the material panel exactly, and the remaining panels as closely as the data allows — see 7.</w:t>
            </w:r>
          </w:p>
        </w:tc>
      </w:tr>
      <w:tr>
        <w:tc>
          <w:tcPr>
            <w:tcW w:type="dxa" w:w="3216"/>
          </w:tcPr>
          <w:p>
            <w:r/>
            <w:r>
              <w:rPr>
                <w:sz w:val="18"/>
              </w:rPr>
              <w:t>Period</w:t>
            </w:r>
          </w:p>
        </w:tc>
        <w:tc>
          <w:tcPr>
            <w:tcW w:type="dxa" w:w="3216"/>
          </w:tcPr>
          <w:p>
            <w:r/>
            <w:r>
              <w:rPr>
                <w:sz w:val="18"/>
              </w:rPr>
              <w:t>Any number of values, Apr–Mar</w:t>
            </w:r>
          </w:p>
        </w:tc>
        <w:tc>
          <w:tcPr>
            <w:tcW w:type="dxa" w:w="3216"/>
          </w:tcPr>
          <w:p>
            <w:r/>
            <w:r>
              <w:rPr>
                <w:sz w:val="18"/>
              </w:rPr>
              <w:t>Narrows every panel to the selected months of the fiscal year.</w:t>
            </w:r>
          </w:p>
        </w:tc>
      </w:tr>
    </w:tbl>
    <w:p/>
    <w:p>
      <w:r>
        <w:t>Every multi-value filter offers a Select all option, shows the code beside the description, and can be left empty to mean “everything”.</w:t>
      </w:r>
    </w:p>
    <w:p>
      <w:pPr>
        <w:spacing w:before="240"/>
      </w:pPr>
      <w:r>
        <w:rPr>
          <w:b/>
          <w:color w:val="5470C6"/>
          <w:sz w:val="26"/>
        </w:rPr>
        <w:t>5.2  The Go Button</w:t>
      </w:r>
    </w:p>
    <w:p>
      <w:r>
        <w:t>Changing a filter does NOT reload the dashboard. Selections are staged, and the screen keeps showing the last result until Go is pressed. While changes are staged the Go button is highlighted, so the button itself tells the user a refresh is pending.</w:t>
      </w:r>
    </w:p>
    <w:p>
      <w:r>
        <w:t>Two things behave differently: the dashboard loads the current fiscal year automatically when it is first opened, and Reset clears everything and reloads at once, because clearing is an explicit action rather than an edit in progress.</w:t>
      </w:r>
    </w:p>
    <w:p>
      <w:pPr>
        <w:spacing w:before="120" w:after="160"/>
        <w:ind w:left="216"/>
        <w:pBdr>
          <w:left w:val="single" w:sz="18" w:space="6" w:color="2E7D32"/>
        </w:pBdr>
      </w:pPr>
      <w:r>
        <w:rPr>
          <w:b/>
          <w:color w:val="2E7D32"/>
          <w:sz w:val="20"/>
        </w:rPr>
        <w:t xml:space="preserve">Clicking the map is also a filter edit:  </w:t>
      </w:r>
      <w:r>
        <w:rPr>
          <w:sz w:val="20"/>
        </w:rPr>
        <w:t>Clicking a state, a zone, a scheme row or a Top-states row adds or removes that value in the corresponding filter — and, like any other filter edit, waits for Go. Clicking the same value a second time removes it again rather than replacing the whole selection.</w:t>
      </w:r>
    </w:p>
    <w:p>
      <w:pPr>
        <w:spacing w:before="240"/>
      </w:pPr>
      <w:r>
        <w:rPr>
          <w:b/>
          <w:color w:val="5470C6"/>
          <w:sz w:val="26"/>
        </w:rPr>
        <w:t>5.3  Sales Across India</w:t>
      </w:r>
    </w:p>
    <w:p>
      <w:r>
        <w:t>An India map with two independent layers.</w:t>
      </w:r>
    </w:p>
    <w:p>
      <w:pPr>
        <w:spacing w:before="160"/>
      </w:pPr>
      <w:r>
        <w:rPr>
          <w:b/>
          <w:color w:val="22262A"/>
          <w:sz w:val="22"/>
        </w:rPr>
        <w:t>The choropleth</w:t>
      </w:r>
    </w:p>
    <w:p>
      <w:r>
        <w:t>Each state is shaded by its net value, and the panel can be switched between State and Zone granularity. The colour scale is a quantile scale — equal COUNTS of states per colour step, not equal value ranges — so a handful of very large states cannot wash the whole map into a single colour. The legend is labelled with the real value at each break, and closes with the actual largest value on the map. States with no billing at all get their own separate swatch rather than the palest colour.</w:t>
      </w:r>
    </w:p>
    <w:p>
      <w:pPr>
        <w:spacing w:before="120" w:after="160"/>
        <w:ind w:left="216"/>
        <w:pBdr>
          <w:left w:val="single" w:sz="18" w:space="6" w:color="2E7D32"/>
        </w:pBdr>
      </w:pPr>
      <w:r>
        <w:rPr>
          <w:b/>
          <w:color w:val="2E7D32"/>
          <w:sz w:val="20"/>
        </w:rPr>
        <w:t xml:space="preserve">The scale follows the layer, not the dots:  </w:t>
      </w:r>
      <w:r>
        <w:rPr>
          <w:sz w:val="20"/>
        </w:rPr>
        <w:t>In State mode the scale describes states; in Zone mode it describes zones. Neither describes the Unit dots, which are a different series entirely — so a Unit dot worth more than the scale's top break is normal, not an error.</w:t>
      </w:r>
    </w:p>
    <w:p>
      <w:pPr>
        <w:spacing w:before="160"/>
      </w:pPr>
      <w:r>
        <w:rPr>
          <w:b/>
          <w:color w:val="22262A"/>
          <w:sz w:val="22"/>
        </w:rPr>
        <w:t>The Unit dots</w:t>
      </w:r>
    </w:p>
    <w:p>
      <w:r>
        <w:t>An overlay that can be switched off. One dot per Unit, its size proportional to that Unit's net value, joined by a leader line to a label carrying the Unit code, the Unit name and the value. Labels are laid out in the margins on either side of the map and nudged apart so that no two leader lines collide. Hovering a dot or a state opens a card with the net billed value, the growth against last year, the share of India, and the number of plants or invoices behind it.</w:t>
      </w:r>
    </w:p>
    <w:p>
      <w:pPr>
        <w:spacing w:before="240"/>
      </w:pPr>
      <w:r>
        <w:rPr>
          <w:b/>
          <w:color w:val="5470C6"/>
          <w:sz w:val="26"/>
        </w:rPr>
        <w:t>5.4  Scheme Performance</w:t>
      </w:r>
    </w:p>
    <w:p>
      <w:r>
        <w:t>A ranked list rather than a chart. Each scheme shows a colour chip, its net value, a progress bar of its share, the share percentage, the invoice count and its growth against last year. Beneath a divider sits the Top-states roll-up. Every row is clickable and toggles that scheme — or that state — in the filter bar. Schemes with no net value in the current selection are not listed.</w:t>
      </w:r>
    </w:p>
    <w:p>
      <w:pPr>
        <w:spacing w:before="240"/>
      </w:pPr>
      <w:r>
        <w:rPr>
          <w:b/>
          <w:color w:val="5470C6"/>
          <w:sz w:val="26"/>
        </w:rPr>
        <w:t>5.5  Sales by Plant</w:t>
      </w:r>
    </w:p>
    <w:p>
      <w:r>
        <w:t>The top 20 plants by net value, drawn as stacked bars of net plus tax, so the full bar is the gross. The plant's city is shown beside its code.</w:t>
      </w:r>
    </w:p>
    <w:p>
      <w:pPr>
        <w:spacing w:before="120" w:after="160"/>
        <w:ind w:left="216"/>
        <w:pBdr>
          <w:left w:val="single" w:sz="18" w:space="6" w:color="2E7D32"/>
        </w:pBdr>
      </w:pPr>
      <w:r>
        <w:rPr>
          <w:b/>
          <w:color w:val="2E7D32"/>
          <w:sz w:val="20"/>
        </w:rPr>
        <w:t xml:space="preserve">Top 20 is the chart, not the filter:  </w:t>
      </w:r>
      <w:r>
        <w:rPr>
          <w:sz w:val="20"/>
        </w:rPr>
        <w:t>The panel is capped at 20 plants, but the Plant filter is not — it lists every plant that billed anything in the current scope, which in production is far more than twenty. The same applies to materials.</w:t>
      </w:r>
    </w:p>
    <w:p>
      <w:pPr>
        <w:spacing w:before="240"/>
      </w:pPr>
      <w:r>
        <w:rPr>
          <w:b/>
          <w:color w:val="5470C6"/>
          <w:sz w:val="26"/>
        </w:rPr>
        <w:t>5.6  Sales by Material</w:t>
      </w:r>
    </w:p>
    <w:p>
      <w:r>
        <w:t>The top 20 materials by net value. Each material carries its billed description, its old material number, its quantity and sales unit, and its GST split into IGST, SGST, CGST and TCS. Percentage-of-total is calculated against every material in scope, not just the twenty shown, so the listed shares correctly add up to less than 100%.</w:t>
      </w:r>
    </w:p>
    <w:p>
      <w:pPr>
        <w:spacing w:before="120" w:after="160"/>
        <w:ind w:left="216"/>
        <w:pBdr>
          <w:left w:val="single" w:sz="18" w:space="6" w:color="2E7D32"/>
        </w:pBdr>
      </w:pPr>
      <w:r>
        <w:rPr>
          <w:b/>
          <w:color w:val="2E7D32"/>
          <w:sz w:val="20"/>
        </w:rPr>
        <w:t xml:space="preserve">Credit memos:  </w:t>
      </w:r>
      <w:r>
        <w:rPr>
          <w:sz w:val="20"/>
        </w:rPr>
        <w:t>Credit memos are excluded from the material panel, so it reports invoiced material value only. The KPI cards and the other panels do not apply this exclusion — a difference worth knowing when reconciling the two.</w:t>
      </w:r>
    </w:p>
    <w:p>
      <w:pPr>
        <w:spacing w:before="320" w:after="160"/>
        <w:pBdr>
          <w:bottom w:val="single" w:sz="8" w:space="0" w:color="5470C6"/>
        </w:pBdr>
      </w:pPr>
      <w:r>
        <w:rPr>
          <w:b/>
          <w:color w:val="1B345E"/>
          <w:sz w:val="34"/>
        </w:rPr>
        <w:t>6.  Configuration Responsibilities</w:t>
      </w:r>
    </w:p>
    <w:p>
      <w:r>
        <w:t>The dashboard is configuration-driven. Nothing on the screen can be corrected from the UI — every fix is a change to one of the following.</w:t>
      </w:r>
    </w:p>
    <w:p>
      <w:pPr>
        <w:spacing w:before="240"/>
      </w:pPr>
      <w:r>
        <w:rPr>
          <w:b/>
          <w:color w:val="5470C6"/>
          <w:sz w:val="26"/>
        </w:rPr>
        <w:t>6.1  ZSD_ZONE_PLANT — Zone, Unit and Coordinates</w:t>
      </w:r>
    </w:p>
    <w:p>
      <w:r>
        <w:t>The single most important table for this dashboard. Despite its name, its WERKS column holds one row per UNIT, not per billing plant, and it is joined to the sales data on the sales office. It supplies four things at once:</w:t>
      </w:r>
    </w:p>
    <w:p>
      <w:pPr>
        <w:pStyle w:val="ListBullet"/>
      </w:pPr>
      <w:r>
        <w:t>ALM_ZONE — the zone the Unit belongs to.</w:t>
      </w:r>
    </w:p>
    <w:p>
      <w:pPr>
        <w:pStyle w:val="ListBullet"/>
      </w:pPr>
      <w:r>
        <w:t>WERKS — the Unit code itself, which the map dots are grouped on.</w:t>
      </w:r>
    </w:p>
    <w:p>
      <w:pPr>
        <w:pStyle w:val="ListBullet"/>
      </w:pPr>
      <w:r>
        <w:t>REMARKS — the Unit's descriptive name, shown on the map callouts and hover card.</w:t>
      </w:r>
    </w:p>
    <w:p>
      <w:pPr>
        <w:pStyle w:val="ListBullet"/>
      </w:pPr>
      <w:r>
        <w:t>LATITUDE / LONGITUDE — where the Unit's dot is drawn.</w:t>
      </w:r>
    </w:p>
    <w:p>
      <w:pPr>
        <w:spacing w:before="120" w:after="160"/>
        <w:ind w:left="216"/>
        <w:pBdr>
          <w:left w:val="single" w:sz="18" w:space="6" w:color="2E7D32"/>
        </w:pBdr>
      </w:pPr>
      <w:r>
        <w:rPr>
          <w:b/>
          <w:color w:val="2E7D32"/>
          <w:sz w:val="20"/>
        </w:rPr>
        <w:t xml:space="preserve">No coordinates, no dot:  </w:t>
      </w:r>
      <w:r>
        <w:rPr>
          <w:sz w:val="20"/>
        </w:rPr>
        <w:t>A Unit whose plants carry no latitude and longitude is left off the map entirely rather than plotted at a meaningless point off the coast of Africa. Its sales still count in every other panel. If a Unit is missing from the overlay, its coordinates are the first thing to check.</w:t>
      </w:r>
    </w:p>
    <w:p>
      <w:pPr>
        <w:spacing w:before="240"/>
      </w:pPr>
      <w:r>
        <w:rPr>
          <w:b/>
          <w:color w:val="5470C6"/>
          <w:sz w:val="26"/>
        </w:rPr>
        <w:t>6.2  Plant Master Region</w:t>
      </w:r>
    </w:p>
    <w:p>
      <w:r>
        <w:t>The state a sale is attributed to comes from the billing plant's own plant master region. A plant with a blank region contributes to the KPI cards and the plant ranking but cannot be placed on the map or counted in any state or zone total.</w:t>
      </w:r>
    </w:p>
    <w:p>
      <w:pPr>
        <w:spacing w:before="240"/>
      </w:pPr>
      <w:r>
        <w:rPr>
          <w:b/>
          <w:color w:val="5470C6"/>
          <w:sz w:val="26"/>
        </w:rPr>
        <w:t>6.3  Pricing Condition Types</w:t>
      </w:r>
    </w:p>
    <w:p>
      <w:r>
        <w:t>The material panel's GST split, and the material filter's effect on the rest of the screen, both depend on a fixed list of pricing condition types — IGST, SGST, and the three TCS conditions — plus the G/L account each of them posts to. A condition type used by ALIMCO but absent from that list is invisible to the dashboard.</w:t>
      </w:r>
    </w:p>
    <w:p>
      <w:pPr>
        <w:spacing w:before="120" w:after="160"/>
        <w:ind w:left="216"/>
        <w:pBdr>
          <w:left w:val="single" w:sz="18" w:space="6" w:color="2E7D32"/>
        </w:pBdr>
      </w:pPr>
      <w:r>
        <w:rPr>
          <w:b/>
          <w:color w:val="2E7D32"/>
          <w:sz w:val="20"/>
        </w:rPr>
        <w:t xml:space="preserve">The failure is silent:  </w:t>
      </w:r>
      <w:r>
        <w:rPr>
          <w:sz w:val="20"/>
        </w:rPr>
        <w:t>If the configured condition types do not match, the GST columns simply read zero rather than raising an error, and the material filter falls back to a coarser document-level match. Reconcile the GST split against a sales register report before trusting it.</w:t>
      </w:r>
    </w:p>
    <w:p>
      <w:pPr>
        <w:spacing w:before="240"/>
      </w:pPr>
      <w:r>
        <w:rPr>
          <w:b/>
          <w:color w:val="5470C6"/>
          <w:sz w:val="26"/>
        </w:rPr>
        <w:t>6.4  Configuration Checklist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w:t>
            </w:r>
          </w:p>
        </w:tc>
        <w:tc>
          <w:tcPr>
            <w:tcW w:type="dxa" w:w="3216"/>
            <w:shd w:val="clear" w:color="auto" w:fill="1B345E"/>
          </w:tcPr>
          <w:p>
            <w:r/>
            <w:r>
              <w:rPr>
                <w:b/>
                <w:color w:val="FFFFFF"/>
                <w:sz w:val="19"/>
              </w:rPr>
              <w:t>Check</w:t>
            </w:r>
          </w:p>
        </w:tc>
        <w:tc>
          <w:tcPr>
            <w:tcW w:type="dxa" w:w="3216"/>
            <w:shd w:val="clear" w:color="auto" w:fill="1B345E"/>
          </w:tcPr>
          <w:p>
            <w:r/>
            <w:r>
              <w:rPr>
                <w:b/>
                <w:color w:val="FFFFFF"/>
                <w:sz w:val="19"/>
              </w:rPr>
              <w:t>When</w:t>
            </w:r>
          </w:p>
        </w:tc>
      </w:tr>
      <w:tr>
        <w:tc>
          <w:tcPr>
            <w:tcW w:type="dxa" w:w="3216"/>
          </w:tcPr>
          <w:p>
            <w:r/>
            <w:r>
              <w:rPr>
                <w:sz w:val="18"/>
              </w:rPr>
              <w:t>1</w:t>
            </w:r>
          </w:p>
        </w:tc>
        <w:tc>
          <w:tcPr>
            <w:tcW w:type="dxa" w:w="3216"/>
          </w:tcPr>
          <w:p>
            <w:r/>
            <w:r>
              <w:rPr>
                <w:sz w:val="18"/>
              </w:rPr>
              <w:t>Every selling Unit exists in ZSD_ZONE_PLANT with ALM_ZONE and REMARKS maintained</w:t>
            </w:r>
          </w:p>
        </w:tc>
        <w:tc>
          <w:tcPr>
            <w:tcW w:type="dxa" w:w="3216"/>
          </w:tcPr>
          <w:p>
            <w:r/>
            <w:r>
              <w:rPr>
                <w:sz w:val="18"/>
              </w:rPr>
              <w:t>On Unit creation, and at year end</w:t>
            </w:r>
          </w:p>
        </w:tc>
      </w:tr>
      <w:tr>
        <w:tc>
          <w:tcPr>
            <w:tcW w:type="dxa" w:w="3216"/>
            <w:shd w:val="clear" w:color="auto" w:fill="F4F6F8"/>
          </w:tcPr>
          <w:p>
            <w:r/>
            <w:r>
              <w:rPr>
                <w:sz w:val="18"/>
              </w:rPr>
              <w:t>2</w:t>
            </w:r>
          </w:p>
        </w:tc>
        <w:tc>
          <w:tcPr>
            <w:tcW w:type="dxa" w:w="3216"/>
            <w:shd w:val="clear" w:color="auto" w:fill="F4F6F8"/>
          </w:tcPr>
          <w:p>
            <w:r/>
            <w:r>
              <w:rPr>
                <w:sz w:val="18"/>
              </w:rPr>
              <w:t>Every Unit in ZSD_ZONE_PLANT carries a latitude and longitude</w:t>
            </w:r>
          </w:p>
        </w:tc>
        <w:tc>
          <w:tcPr>
            <w:tcW w:type="dxa" w:w="3216"/>
            <w:shd w:val="clear" w:color="auto" w:fill="F4F6F8"/>
          </w:tcPr>
          <w:p>
            <w:r/>
            <w:r>
              <w:rPr>
                <w:sz w:val="18"/>
              </w:rPr>
              <w:t>On Unit creation, and whenever a dot is missing from the map</w:t>
            </w:r>
          </w:p>
        </w:tc>
      </w:tr>
      <w:tr>
        <w:tc>
          <w:tcPr>
            <w:tcW w:type="dxa" w:w="3216"/>
          </w:tcPr>
          <w:p>
            <w:r/>
            <w:r>
              <w:rPr>
                <w:sz w:val="18"/>
              </w:rPr>
              <w:t>3</w:t>
            </w:r>
          </w:p>
        </w:tc>
        <w:tc>
          <w:tcPr>
            <w:tcW w:type="dxa" w:w="3216"/>
          </w:tcPr>
          <w:p>
            <w:r/>
            <w:r>
              <w:rPr>
                <w:sz w:val="18"/>
              </w:rPr>
              <w:t>Every billing plant has a region maintained in its plant master</w:t>
            </w:r>
          </w:p>
        </w:tc>
        <w:tc>
          <w:tcPr>
            <w:tcW w:type="dxa" w:w="3216"/>
          </w:tcPr>
          <w:p>
            <w:r/>
            <w:r>
              <w:rPr>
                <w:sz w:val="18"/>
              </w:rPr>
              <w:t>On plant creation</w:t>
            </w:r>
          </w:p>
        </w:tc>
      </w:tr>
      <w:tr>
        <w:tc>
          <w:tcPr>
            <w:tcW w:type="dxa" w:w="3216"/>
            <w:shd w:val="clear" w:color="auto" w:fill="F4F6F8"/>
          </w:tcPr>
          <w:p>
            <w:r/>
            <w:r>
              <w:rPr>
                <w:sz w:val="18"/>
              </w:rPr>
              <w:t>4</w:t>
            </w:r>
          </w:p>
        </w:tc>
        <w:tc>
          <w:tcPr>
            <w:tcW w:type="dxa" w:w="3216"/>
            <w:shd w:val="clear" w:color="auto" w:fill="F4F6F8"/>
          </w:tcPr>
          <w:p>
            <w:r/>
            <w:r>
              <w:rPr>
                <w:sz w:val="18"/>
              </w:rPr>
              <w:t>Zone codes match the expected set (North, West, South, East, Central)</w:t>
            </w:r>
          </w:p>
        </w:tc>
        <w:tc>
          <w:tcPr>
            <w:tcW w:type="dxa" w:w="3216"/>
            <w:shd w:val="clear" w:color="auto" w:fill="F4F6F8"/>
          </w:tcPr>
          <w:p>
            <w:r/>
            <w:r>
              <w:rPr>
                <w:sz w:val="18"/>
              </w:rPr>
              <w:t>When a new zone is introduced</w:t>
            </w:r>
          </w:p>
        </w:tc>
      </w:tr>
      <w:tr>
        <w:tc>
          <w:tcPr>
            <w:tcW w:type="dxa" w:w="3216"/>
          </w:tcPr>
          <w:p>
            <w:r/>
            <w:r>
              <w:rPr>
                <w:sz w:val="18"/>
              </w:rPr>
              <w:t>5</w:t>
            </w:r>
          </w:p>
        </w:tc>
        <w:tc>
          <w:tcPr>
            <w:tcW w:type="dxa" w:w="3216"/>
          </w:tcPr>
          <w:p>
            <w:r/>
            <w:r>
              <w:rPr>
                <w:sz w:val="18"/>
              </w:rPr>
              <w:t>The pricing condition types used for GST and TCS match the list the dashboard reads</w:t>
            </w:r>
          </w:p>
        </w:tc>
        <w:tc>
          <w:tcPr>
            <w:tcW w:type="dxa" w:w="3216"/>
          </w:tcPr>
          <w:p>
            <w:r/>
            <w:r>
              <w:rPr>
                <w:sz w:val="18"/>
              </w:rPr>
              <w:t>After any pricing procedure change</w:t>
            </w:r>
          </w:p>
        </w:tc>
      </w:tr>
      <w:tr>
        <w:tc>
          <w:tcPr>
            <w:tcW w:type="dxa" w:w="3216"/>
            <w:shd w:val="clear" w:color="auto" w:fill="F4F6F8"/>
          </w:tcPr>
          <w:p>
            <w:r/>
            <w:r>
              <w:rPr>
                <w:sz w:val="18"/>
              </w:rPr>
              <w:t>6</w:t>
            </w:r>
          </w:p>
        </w:tc>
        <w:tc>
          <w:tcPr>
            <w:tcW w:type="dxa" w:w="3216"/>
            <w:shd w:val="clear" w:color="auto" w:fill="F4F6F8"/>
          </w:tcPr>
          <w:p>
            <w:r/>
            <w:r>
              <w:rPr>
                <w:sz w:val="18"/>
              </w:rPr>
              <w:t>The OData service ZSD_PMS_DASH_O4 is published and all nine entity sets respond</w:t>
            </w:r>
          </w:p>
        </w:tc>
        <w:tc>
          <w:tcPr>
            <w:tcW w:type="dxa" w:w="3216"/>
            <w:shd w:val="clear" w:color="auto" w:fill="F4F6F8"/>
          </w:tcPr>
          <w:p>
            <w:r/>
            <w:r>
              <w:rPr>
                <w:sz w:val="18"/>
              </w:rPr>
              <w:t>After transport to a new system</w:t>
            </w:r>
          </w:p>
        </w:tc>
      </w:tr>
    </w:tbl>
    <w:p/>
    <w:p>
      <w:pPr>
        <w:spacing w:before="320" w:after="160"/>
        <w:pBdr>
          <w:bottom w:val="single" w:sz="8" w:space="0" w:color="5470C6"/>
        </w:pBdr>
      </w:pPr>
      <w:r>
        <w:rPr>
          <w:b/>
          <w:color w:val="1B345E"/>
          <w:sz w:val="34"/>
        </w:rPr>
        <w:t>7.  Known Functional Limitations</w:t>
      </w:r>
    </w:p>
    <w:p>
      <w:r>
        <w:t>Two limitations follow directly from the two-grain design in section 3, and both are visible to users. Neither is a defect — both are documented consequences of not double-counting.</w:t>
      </w:r>
    </w:p>
    <w:p>
      <w:pPr>
        <w:spacing w:before="240"/>
      </w:pPr>
      <w:r>
        <w:rPr>
          <w:b/>
          <w:color w:val="5470C6"/>
          <w:sz w:val="26"/>
        </w:rPr>
        <w:t>7.1  The Scheme Filter Does Not Narrow the Material Panel</w:t>
      </w:r>
    </w:p>
    <w:p>
      <w:r>
        <w:t>The scheme lives on the G/L-grain sales data only; the billing items carry no scheme. Filtering on a scheme therefore narrows the KPI cards, the map, the scheme panel and the plant panel, but the Sales-by-material panel continues to show all materials in the remaining scope. A user comparing the material panel's total against the net value KPI while a Scheme filter is set will find they disagree, and that is why.</w:t>
      </w:r>
    </w:p>
    <w:p>
      <w:pPr>
        <w:spacing w:before="240"/>
      </w:pPr>
      <w:r>
        <w:rPr>
          <w:b/>
          <w:color w:val="5470C6"/>
          <w:sz w:val="26"/>
        </w:rPr>
        <w:t>7.2  The Material Filter Is Exact on Materials, Approximate Elsewhere</w:t>
      </w:r>
    </w:p>
    <w:p>
      <w:r>
        <w:t>The material panel filters exactly. For the other panels, the dashboard has to translate a material into G/L lines, which it does through the G/L account recorded on each pricing condition. Where that translation succeeds, the filter is exact. Where it does not — a fully tax-exempt line, or a plant on a differently configured pricing procedure — the dashboard falls back to including the whole billing document.</w:t>
      </w:r>
    </w:p>
    <w:p>
      <w:pPr>
        <w:spacing w:before="120" w:after="160"/>
        <w:ind w:left="216"/>
        <w:pBdr>
          <w:left w:val="single" w:sz="18" w:space="6" w:color="2E7D32"/>
        </w:pBdr>
      </w:pPr>
      <w:r>
        <w:rPr>
          <w:b/>
          <w:color w:val="2E7D32"/>
          <w:sz w:val="20"/>
        </w:rPr>
        <w:t xml:space="preserve">Which way it errs:  </w:t>
      </w:r>
      <w:r>
        <w:rPr>
          <w:sz w:val="20"/>
        </w:rPr>
        <w:t>The fallback OVER-states rather than under-states: a multi-material invoice contributes all of its lines rather than just the filtered material's. This was a deliberate choice — an earlier version dropped those documents instead, which blanked every KPI card and every panel except the material one the moment a material was picked.</w:t>
      </w:r>
    </w:p>
    <w:p>
      <w:pPr>
        <w:spacing w:before="320" w:after="160"/>
        <w:pBdr>
          <w:bottom w:val="single" w:sz="8" w:space="0" w:color="5470C6"/>
        </w:pBdr>
      </w:pPr>
      <w:r>
        <w:rPr>
          <w:b/>
          <w:color w:val="1B345E"/>
          <w:sz w:val="34"/>
        </w:rPr>
        <w:t>8.  Behaviour in Exceptional Situations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Situation</w:t>
            </w:r>
          </w:p>
        </w:tc>
        <w:tc>
          <w:tcPr>
            <w:tcW w:type="dxa" w:w="4824"/>
            <w:shd w:val="clear" w:color="auto" w:fill="1B345E"/>
          </w:tcPr>
          <w:p>
            <w:r/>
            <w:r>
              <w:rPr>
                <w:b/>
                <w:color w:val="FFFFFF"/>
                <w:sz w:val="19"/>
              </w:rPr>
              <w:t>What the dashboard does</w:t>
            </w:r>
          </w:p>
        </w:tc>
      </w:tr>
      <w:tr>
        <w:tc>
          <w:tcPr>
            <w:tcW w:type="dxa" w:w="4824"/>
          </w:tcPr>
          <w:p>
            <w:r/>
            <w:r>
              <w:rPr>
                <w:sz w:val="18"/>
              </w:rPr>
              <w:t>A filter combination returns no sales</w:t>
            </w:r>
          </w:p>
        </w:tc>
        <w:tc>
          <w:tcPr>
            <w:tcW w:type="dxa" w:w="4824"/>
          </w:tcPr>
          <w:p>
            <w:r/>
            <w:r>
              <w:rPr>
                <w:sz w:val="18"/>
              </w:rPr>
              <w:t>Each affected panel shows its own “no data” message rather than an empty canvas. This is not an error.</w:t>
            </w:r>
          </w:p>
        </w:tc>
      </w:tr>
      <w:tr>
        <w:tc>
          <w:tcPr>
            <w:tcW w:type="dxa" w:w="4824"/>
            <w:shd w:val="clear" w:color="auto" w:fill="F4F6F8"/>
          </w:tcPr>
          <w:p>
            <w:r/>
            <w:r>
              <w:rPr>
                <w:sz w:val="18"/>
              </w:rPr>
              <w:t>A Unit has no coordinates maintained</w:t>
            </w:r>
          </w:p>
        </w:tc>
        <w:tc>
          <w:tcPr>
            <w:tcW w:type="dxa" w:w="4824"/>
            <w:shd w:val="clear" w:color="auto" w:fill="F4F6F8"/>
          </w:tcPr>
          <w:p>
            <w:r/>
            <w:r>
              <w:rPr>
                <w:sz w:val="18"/>
              </w:rPr>
              <w:t>Its dot is omitted from the map overlay. Its sales still count in every other panel.</w:t>
            </w:r>
          </w:p>
        </w:tc>
      </w:tr>
      <w:tr>
        <w:tc>
          <w:tcPr>
            <w:tcW w:type="dxa" w:w="4824"/>
          </w:tcPr>
          <w:p>
            <w:r/>
            <w:r>
              <w:rPr>
                <w:sz w:val="18"/>
              </w:rPr>
              <w:t>A plant is missing from the zone mapping</w:t>
            </w:r>
          </w:p>
        </w:tc>
        <w:tc>
          <w:tcPr>
            <w:tcW w:type="dxa" w:w="4824"/>
          </w:tcPr>
          <w:p>
            <w:r/>
            <w:r>
              <w:rPr>
                <w:sz w:val="18"/>
              </w:rPr>
              <w:t>Its sales still count in the KPI cards and plant panel, but it carries no zone or Unit, so it is absent from the Unit dots and from zone-granularity views.</w:t>
            </w:r>
          </w:p>
        </w:tc>
      </w:tr>
      <w:tr>
        <w:tc>
          <w:tcPr>
            <w:tcW w:type="dxa" w:w="4824"/>
            <w:shd w:val="clear" w:color="auto" w:fill="F4F6F8"/>
          </w:tcPr>
          <w:p>
            <w:r/>
            <w:r>
              <w:rPr>
                <w:sz w:val="18"/>
              </w:rPr>
              <w:t>A state has no billing at all</w:t>
            </w:r>
          </w:p>
        </w:tc>
        <w:tc>
          <w:tcPr>
            <w:tcW w:type="dxa" w:w="4824"/>
            <w:shd w:val="clear" w:color="auto" w:fill="F4F6F8"/>
          </w:tcPr>
          <w:p>
            <w:r/>
            <w:r>
              <w:rPr>
                <w:sz w:val="18"/>
              </w:rPr>
              <w:t>It is painted in the map's separate “no billing” colour, not in the palest step of the value scale.</w:t>
            </w:r>
          </w:p>
        </w:tc>
      </w:tr>
      <w:tr>
        <w:tc>
          <w:tcPr>
            <w:tcW w:type="dxa" w:w="4824"/>
          </w:tcPr>
          <w:p>
            <w:r/>
            <w:r>
              <w:rPr>
                <w:sz w:val="18"/>
              </w:rPr>
              <w:t>There is no prior-year figure to compare against</w:t>
            </w:r>
          </w:p>
        </w:tc>
        <w:tc>
          <w:tcPr>
            <w:tcW w:type="dxa" w:w="4824"/>
          </w:tcPr>
          <w:p>
            <w:r/>
            <w:r>
              <w:rPr>
                <w:sz w:val="18"/>
              </w:rPr>
              <w:t>The growth pill reads “new” instead of a percentage.</w:t>
            </w:r>
          </w:p>
        </w:tc>
      </w:tr>
      <w:tr>
        <w:tc>
          <w:tcPr>
            <w:tcW w:type="dxa" w:w="4824"/>
            <w:shd w:val="clear" w:color="auto" w:fill="F4F6F8"/>
          </w:tcPr>
          <w:p>
            <w:r/>
            <w:r>
              <w:rPr>
                <w:sz w:val="18"/>
              </w:rPr>
              <w:t>The reference day for the daily KPI is in the future</w:t>
            </w:r>
          </w:p>
        </w:tc>
        <w:tc>
          <w:tcPr>
            <w:tcW w:type="dxa" w:w="4824"/>
            <w:shd w:val="clear" w:color="auto" w:fill="F4F6F8"/>
          </w:tcPr>
          <w:p>
            <w:r/>
            <w:r>
              <w:rPr>
                <w:sz w:val="18"/>
              </w:rPr>
              <w:t>The card reports no billing rather than a zero that looks like a collapse.</w:t>
            </w:r>
          </w:p>
        </w:tc>
      </w:tr>
      <w:tr>
        <w:tc>
          <w:tcPr>
            <w:tcW w:type="dxa" w:w="4824"/>
          </w:tcPr>
          <w:p>
            <w:r/>
            <w:r>
              <w:rPr>
                <w:sz w:val="18"/>
              </w:rPr>
              <w:t>The Plant or Material filter list cannot be loaded</w:t>
            </w:r>
          </w:p>
        </w:tc>
        <w:tc>
          <w:tcPr>
            <w:tcW w:type="dxa" w:w="4824"/>
          </w:tcPr>
          <w:p>
            <w:r/>
            <w:r>
              <w:rPr>
                <w:sz w:val="18"/>
              </w:rPr>
              <w:t>The rest of the dashboard loads normally and those two filters fall back to listing only the codes the Top-20 panels returned.</w:t>
            </w:r>
          </w:p>
        </w:tc>
      </w:tr>
      <w:tr>
        <w:tc>
          <w:tcPr>
            <w:tcW w:type="dxa" w:w="4824"/>
            <w:shd w:val="clear" w:color="auto" w:fill="F4F6F8"/>
          </w:tcPr>
          <w:p>
            <w:r/>
            <w:r>
              <w:rPr>
                <w:sz w:val="18"/>
              </w:rPr>
              <w:t>A core entity fails to load</w:t>
            </w:r>
          </w:p>
        </w:tc>
        <w:tc>
          <w:tcPr>
            <w:tcW w:type="dxa" w:w="4824"/>
            <w:shd w:val="clear" w:color="auto" w:fill="F4F6F8"/>
          </w:tcPr>
          <w:p>
            <w:r/>
            <w:r>
              <w:rPr>
                <w:sz w:val="18"/>
              </w:rPr>
              <w:t>An error strip names which one failed and gives the backend's own message; every panel is cleared rather than left showing stale figures.</w:t>
            </w:r>
          </w:p>
        </w:tc>
      </w:tr>
      <w:tr>
        <w:tc>
          <w:tcPr>
            <w:tcW w:type="dxa" w:w="4824"/>
          </w:tcPr>
          <w:p>
            <w:r/>
            <w:r>
              <w:rPr>
                <w:sz w:val="18"/>
              </w:rPr>
              <w:t>Filters have been changed but Go has not been pressed</w:t>
            </w:r>
          </w:p>
        </w:tc>
        <w:tc>
          <w:tcPr>
            <w:tcW w:type="dxa" w:w="4824"/>
          </w:tcPr>
          <w:p>
            <w:r/>
            <w:r>
              <w:rPr>
                <w:sz w:val="18"/>
              </w:rPr>
              <w:t>The screen keeps showing the previous result and the Go button is highlighted to indicate a pending refresh.</w:t>
            </w:r>
          </w:p>
        </w:tc>
      </w:tr>
    </w:tbl>
    <w:p/>
    <w:p>
      <w:pPr>
        <w:spacing w:before="320" w:after="160"/>
        <w:pBdr>
          <w:bottom w:val="single" w:sz="8" w:space="0" w:color="5470C6"/>
        </w:pBdr>
      </w:pPr>
      <w:r>
        <w:rPr>
          <w:b/>
          <w:color w:val="1B345E"/>
          <w:sz w:val="34"/>
        </w:rPr>
        <w:t>9.  Frequently Asked Questions</w:t>
      </w:r>
    </w:p>
    <w:p>
      <w:pPr>
        <w:spacing w:before="160"/>
      </w:pPr>
      <w:r>
        <w:rPr>
          <w:b/>
          <w:color w:val="22262A"/>
          <w:sz w:val="22"/>
        </w:rPr>
        <w:t>Why does the material panel's total not match the Total net value card?</w:t>
      </w:r>
    </w:p>
    <w:p>
      <w:r>
        <w:t>Three reasons, in order of likelihood. First, a Scheme filter is set — it does not narrow the material panel (see 7.1). Second, the material panel excludes credit memos and the KPI cards do not. Third, the panel shows only the top 20 materials, while the card totals everything in scope.</w:t>
      </w:r>
    </w:p>
    <w:p>
      <w:pPr>
        <w:spacing w:before="160"/>
      </w:pPr>
      <w:r>
        <w:rPr>
          <w:b/>
          <w:color w:val="22262A"/>
          <w:sz w:val="22"/>
        </w:rPr>
        <w:t>A Unit is missing from the map. Where did it go?</w:t>
      </w:r>
    </w:p>
    <w:p>
      <w:r>
        <w:t>It has no latitude and longitude maintained in the plant/zone mapping. Units with no coordinates are deliberately left off rather than plotted at an arbitrary point. Its sales are still counted everywhere else on the screen.</w:t>
      </w:r>
    </w:p>
    <w:p>
      <w:pPr>
        <w:spacing w:before="160"/>
      </w:pPr>
      <w:r>
        <w:rPr>
          <w:b/>
          <w:color w:val="22262A"/>
          <w:sz w:val="22"/>
        </w:rPr>
        <w:t>The map's colour scale tops out well below one of the dot values. Is the scale wrong?</w:t>
      </w:r>
    </w:p>
    <w:p>
      <w:r>
        <w:t>No. The scale describes the shaded layer — states, or zones — and the dots are a different series measured at Unit level. A single Unit can easily be worth more than any one state.</w:t>
      </w:r>
    </w:p>
    <w:p>
      <w:pPr>
        <w:spacing w:before="160"/>
      </w:pPr>
      <w:r>
        <w:rPr>
          <w:b/>
          <w:color w:val="22262A"/>
          <w:sz w:val="22"/>
        </w:rPr>
        <w:t>I changed a filter and nothing happened.</w:t>
      </w:r>
    </w:p>
    <w:p>
      <w:r>
        <w:t>That is intended. Filter changes are staged so that a scoping session does not trigger a full reload on every click. Press Go to apply them; the Go button is highlighted while changes are pending.</w:t>
      </w:r>
    </w:p>
    <w:p>
      <w:pPr>
        <w:spacing w:before="160"/>
      </w:pPr>
      <w:r>
        <w:rPr>
          <w:b/>
          <w:color w:val="22262A"/>
          <w:sz w:val="22"/>
        </w:rPr>
        <w:t>Growth looks impossibly good, or impossibly bad, on a single Unit or state.</w:t>
      </w:r>
    </w:p>
    <w:p>
      <w:r>
        <w:t>Check the prior year first. Where last year's figure is very small, a modest absolute movement produces an enormous percentage. Where last year's figure is zero, the pill shows “new” rather than a percentage at all.</w:t>
      </w:r>
    </w:p>
    <w:p>
      <w:pPr>
        <w:spacing w:before="160"/>
      </w:pPr>
      <w:r>
        <w:rPr>
          <w:b/>
          <w:color w:val="22262A"/>
          <w:sz w:val="22"/>
        </w:rPr>
        <w:t>Why is a state coloured when I have filtered to a different zone?</w:t>
      </w:r>
    </w:p>
    <w:p>
      <w:r>
        <w:t>It should not be. The dashboard re-checks each state's zone itself before painting the map, precisely to prevent this. If it still happens, the state-to-zone rule needs a state added or corrected — report which state and which zone.</w:t>
      </w:r>
    </w:p>
    <w:p>
      <w:pPr>
        <w:spacing w:before="160"/>
      </w:pPr>
      <w:r>
        <w:rPr>
          <w:b/>
          <w:color w:val="22262A"/>
          <w:sz w:val="22"/>
        </w:rPr>
        <w:t>The GST columns on the material panel are all zero.</w:t>
      </w:r>
    </w:p>
    <w:p>
      <w:r>
        <w:t>The pricing condition types the dashboard reads do not match the ones ALIMCO's pricing procedure actually uses. This fails silently by design rather than blocking the panel. It is a configuration check, not a data problem.</w:t>
      </w:r>
    </w:p>
    <w:p>
      <w:pPr>
        <w:spacing w:before="160"/>
      </w:pPr>
      <w:r>
        <w:rPr>
          <w:b/>
          <w:color w:val="22262A"/>
          <w:sz w:val="22"/>
        </w:rPr>
        <w:t>Can I export this to Excel?</w:t>
      </w:r>
    </w:p>
    <w:p>
      <w:r>
        <w:t>Not from this screen. The dashboard is a visual summary; for line-item detail use the standard sales register report.</w:t>
      </w:r>
    </w:p>
    <w:p>
      <w:pPr>
        <w:spacing w:before="160"/>
      </w:pPr>
      <w:r>
        <w:rPr>
          <w:b/>
          <w:color w:val="22262A"/>
          <w:sz w:val="22"/>
        </w:rPr>
        <w:t>Can I pick an arbitrary date range?</w:t>
      </w:r>
    </w:p>
    <w:p>
      <w:r>
        <w:t>No. The fiscal year always spans April 1 to March 31. Use the Period filter to narrow to particular months within it.</w:t>
      </w:r>
    </w:p>
    <w:p>
      <w:pPr>
        <w:spacing w:before="160"/>
      </w:pPr>
      <w:r>
        <w:rPr>
          <w:b/>
          <w:color w:val="22262A"/>
          <w:sz w:val="22"/>
        </w:rPr>
        <w:t>Why does the plant panel show only 20 plants when the Plant filter lists many more?</w:t>
      </w:r>
    </w:p>
    <w:p>
      <w:r>
        <w:t>The panel is deliberately capped at the top 20 by value so it stays readable. The filter is deliberately not capped, so that any plant that billed can be selected.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