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Deliverable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Ming-Han Hsieh, Wei-TSE KAO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Hypothesis d: </w:t>
      </w:r>
      <w:r w:rsidDel="00000000" w:rsidR="00000000" w:rsidRPr="00000000">
        <w:rPr>
          <w:rtl w:val="0"/>
        </w:rPr>
        <w:t xml:space="preserve">Participants' stress algorithm will be inversely correlated to their number of breaks.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dropped all the 0 stress value since we can’t confirm that the value is actually 0 or is missing.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1455260" cy="1498918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260" cy="1498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we plot the linear regression line when daily breaks in the x axis and stress in y axis.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9050" distT="19050" distL="19050" distR="19050">
            <wp:extent cx="2709863" cy="203458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03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clearly see the inverse relationship between daily breaks and stress value. However, if we take a deeper look at the data, we would find out that the data is pretty distributed. That is, the correlation is not as strong as we thought.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2786063" cy="174424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74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conclusion: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correlation between participants’ stress levels and the number of breaks is slightly inverse.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Name: Jessica Woo and Vani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Hypothesis e</w:t>
      </w:r>
      <w:r w:rsidDel="00000000" w:rsidR="00000000" w:rsidRPr="00000000">
        <w:rPr>
          <w:rtl w:val="0"/>
        </w:rPr>
        <w:t xml:space="preserve">: Based on question #15 in the  Computer Workstation Checklist (with 4 responses regarding ergonomics training), participants with lower scores will report less pain at 6-months.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Pre-processing steps: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Extracted the six month data from </w:t>
      </w:r>
      <w:r w:rsidDel="00000000" w:rsidR="00000000" w:rsidRPr="00000000">
        <w:rPr>
          <w:i w:val="1"/>
          <w:rtl w:val="0"/>
        </w:rPr>
        <w:t xml:space="preserve">Daily PM, Friday AM,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Computer Workstation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the columns that represent question 15 in </w:t>
      </w:r>
      <w:r w:rsidDel="00000000" w:rsidR="00000000" w:rsidRPr="00000000">
        <w:rPr>
          <w:i w:val="1"/>
          <w:rtl w:val="0"/>
        </w:rPr>
        <w:t xml:space="preserve">Computer Workstation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Daily PM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Categorized the entries in “OTHER_DISCOMFORT” to locations the participants experienced pain. For example, if the entry was “Stomach and chest” it would have the value True under the columns “stomach” and “chest”.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the “HOMUNCULUS” column, I extracted all of the integers into a list and got the sum of that list.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Dropped rows if all of the custom pain location categories had NaN values or if the “HOMUNCULUS” column had a NaN value.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Merged with the question-15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Friday 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Grouped the data by “mbl_cod” and calculated the mean discomfort level for each participant (since some participants had more than one entry for “DISCOMFORT”)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Dropped NaN values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Merged with the question-15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88748" cy="2671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748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The regression line shows that there is a direct relationship between scores on question 15 and average discomfort level. Therefore, participants with lower scores will report a lower discomfort level.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29518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95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The regression line shows that there is a direct relationship between question-15 scores and average homunculus scores. Therefore, participants with lower scores will report a lower homunculus score (i.e. less pain)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