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172.233.190.104 resolves to a location under ASN N/A (http://whois.domaintools.com/172.233.190.104), with reverse DNS resolution to a domain of unknown reputation. 172.233.190.104 was identified as an indicator associated with a {{INPUT COMMON VULNERABILITY CODE}} exploitation campaign targeting a specific sector. According to available threat intelligence, 172.233.190.104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172.233.190.104</w:t>
            </w:r>
          </w:p>
        </w:tc>
        <w:tc>
          <w:tcPr>
            <w:tcW w:type="dxa" w:w="1440"/>
          </w:tcPr>
          <w:p>
            <w:r>
              <w:t>Address</w:t>
            </w:r>
          </w:p>
        </w:tc>
        <w:tc>
          <w:tcPr>
            <w:tcW w:type="dxa" w:w="1440"/>
          </w:tcPr>
          <w:p>
            <w:r>
              <w:t>2025-10-07</w:t>
            </w:r>
          </w:p>
        </w:tc>
        <w:tc>
          <w:tcPr>
            <w:tcW w:type="dxa" w:w="1279"/>
          </w:tcPr>
          <w:p>
            <w:r>
              <w:t>CMS</w:t>
              <w:br/>
              <w:t>DHA</w:t>
              <w:br/>
              <w:t>HHS</w:t>
              <w:br/>
              <w:t>HRSA</w:t>
              <w:br/>
              <w:t>NIH</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https://hvs.threatconnect.com/#/details/indicators/6755399459033712</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0">
        <w:r>
          <w:rPr>
            <w:rStyle w:val="Hyperlink"/>
          </w:rPr>
          <w:t>https://hvs.threatconnect.com/#/details/indicators/6755399459033712</w:t>
        </w:r>
      </w:hyperlink>
      <w:r>
        <w:br/>
      </w:r>
      <w:hyperlink r:id="rId11">
        <w:r>
          <w:rPr>
            <w:rStyle w:val="Hyperlink"/>
          </w:rPr>
          <w:t>https://otx.alienvault.com/indicator/ip/172.233.190.104</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6755399459033712" TargetMode="External"/><Relationship Id="rId11" Type="http://schemas.openxmlformats.org/officeDocument/2006/relationships/hyperlink" Target="https://otx.alienvault.com/indicator/ip/172.233.190.104"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