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54.77.139.23 resolves to a location under ASN 16509.0 (http://whois.domaintools.com/54.77.139.23), with reverse DNS resolution to a domain of unknown reputation. 54.77.139.23 was identified as an indicator associated with a {{INPUT COMMON VULNERABILITY CODE}} exploitation campaign targeting a specific sector. According to available threat intelligence, 54.77.139.23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54.77.139.23</w:t>
            </w:r>
          </w:p>
        </w:tc>
        <w:tc>
          <w:tcPr>
            <w:tcW w:type="dxa" w:w="1440"/>
          </w:tcPr>
          <w:p>
            <w:r>
              <w:t>Address</w:t>
            </w:r>
          </w:p>
        </w:tc>
        <w:tc>
          <w:tcPr>
            <w:tcW w:type="dxa" w:w="1440"/>
          </w:tcPr>
          <w:p>
            <w:r>
              <w:t>2025-05-20</w:t>
            </w:r>
          </w:p>
        </w:tc>
        <w:tc>
          <w:tcPr>
            <w:tcW w:type="dxa" w:w="1279"/>
          </w:tcPr>
          <w:p>
            <w:r>
              <w:t>IHS</w:t>
              <w:br/>
              <w:t>NIH</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https://hvs.threatconnect.com/#/details/indicators/6755399447112731</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1">
        <w:r>
          <w:rPr>
            <w:rStyle w:val="Hyperlink"/>
          </w:rPr>
          <w:t>https://www.virustotal.com/gui/ip-address/54.77.139.23</w:t>
        </w:r>
      </w:hyperlink>
      <w:r>
        <w:br/>
      </w:r>
      <w:hyperlink r:id="rId12">
        <w:r>
          <w:rPr>
            <w:rStyle w:val="Hyperlink"/>
          </w:rPr>
          <w:t>https://otx.alienvault.com/indicator/ip/54.77.139.23</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6755399447112731" TargetMode="External"/><Relationship Id="rId11" Type="http://schemas.openxmlformats.org/officeDocument/2006/relationships/hyperlink" Target="https://www.virustotal.com/gui/ip-address/54.77.139.23" TargetMode="External"/><Relationship Id="rId12" Type="http://schemas.openxmlformats.org/officeDocument/2006/relationships/hyperlink" Target="https://otx.alienvault.com/indicator/ip/54.77.139.23"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