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159.65.152.66 resolves to a location under ASN N/A (http://whois.domaintools.com/159.65.152.66), with reverse DNS resolution to a domain of unknown reputation. 159.65.152.66 was identified as an indicator associated with a {{INPUT COMMON VULNERABILITY CODE}} exploitation campaign targeting a specific sector. According to available threat intelligence, 159.65.152.66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159.65.152.66</w:t>
            </w:r>
          </w:p>
        </w:tc>
        <w:tc>
          <w:tcPr>
            <w:tcW w:type="dxa" w:w="1440"/>
          </w:tcPr>
          <w:p>
            <w:r>
              <w:t>Address</w:t>
            </w:r>
          </w:p>
        </w:tc>
        <w:tc>
          <w:tcPr>
            <w:tcW w:type="dxa" w:w="1440"/>
          </w:tcPr>
          <w:p>
            <w:r>
              <w:t>2025-10-02</w:t>
            </w:r>
          </w:p>
        </w:tc>
        <w:tc>
          <w:tcPr>
            <w:tcW w:type="dxa" w:w="1279"/>
          </w:tcPr>
          <w:p>
            <w:r>
              <w:t>CMS</w:t>
              <w:br/>
              <w:t>HHS</w:t>
              <w:br/>
              <w:t>HRSA</w:t>
              <w:br/>
              <w:t>OS</w:t>
              <w:br/>
              <w:t>VA</w:t>
            </w:r>
          </w:p>
        </w:tc>
        <w:tc>
          <w:tcPr>
            <w:tcW w:type="dxa" w:w="2023"/>
          </w:tcPr>
          <w:p>
            <w:r/>
          </w:p>
        </w:tc>
      </w:tr>
      <w:tr>
        <w:tc>
          <w:tcPr>
            <w:tcW w:type="dxa" w:w="3055"/>
          </w:tcPr>
          <w:p>
            <w:r>
              <w:t>190.92.174.92</w:t>
            </w:r>
          </w:p>
        </w:tc>
        <w:tc>
          <w:tcPr>
            <w:tcW w:type="dxa" w:w="1440"/>
          </w:tcPr>
          <w:p>
            <w:r>
              <w:t>Address</w:t>
            </w:r>
          </w:p>
        </w:tc>
        <w:tc>
          <w:tcPr>
            <w:tcW w:type="dxa" w:w="1440"/>
          </w:tcPr>
          <w:p>
            <w:r>
              <w:t>2025-10-01</w:t>
            </w:r>
          </w:p>
        </w:tc>
        <w:tc>
          <w:tcPr>
            <w:tcW w:type="dxa" w:w="1279"/>
          </w:tcPr>
          <w:p>
            <w:r>
              <w:t>CDC</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https://hvs.threatconnect.com/#/details/indicators/5629499536034783</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https://hvs.threatconnect.com/#/details/indicators/5629499536034783</w:t>
        </w:r>
      </w:hyperlink>
      <w:r>
        <w:br/>
      </w:r>
      <w:hyperlink r:id="rId11">
        <w:r>
          <w:rPr>
            <w:rStyle w:val="Hyperlink"/>
          </w:rPr>
          <w:t>https://otx.alienvault.com/indicator/ip/159.65.152.66</w:t>
        </w:r>
      </w:hyperlink>
      <w:r>
        <w:br/>
      </w:r>
      <w:hyperlink r:id="rId12">
        <w:r>
          <w:rPr>
            <w:rStyle w:val="Hyperlink"/>
          </w:rPr>
          <w:t>https://hvs.threatconnect.com/#/details/indicators/6755399443033818</w:t>
        </w:r>
      </w:hyperlink>
      <w:r>
        <w:br/>
      </w:r>
      <w:hyperlink r:id="rId13">
        <w:r>
          <w:rPr>
            <w:rStyle w:val="Hyperlink"/>
          </w:rPr>
          <w:t>https://otx.alienvault.com/indicator/ip/190.92.174.92</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36034783" TargetMode="External"/><Relationship Id="rId11" Type="http://schemas.openxmlformats.org/officeDocument/2006/relationships/hyperlink" Target="https://otx.alienvault.com/indicator/ip/159.65.152.66" TargetMode="External"/><Relationship Id="rId12" Type="http://schemas.openxmlformats.org/officeDocument/2006/relationships/hyperlink" Target="https://hvs.threatconnect.com/#/details/indicators/6755399443033818" TargetMode="External"/><Relationship Id="rId13" Type="http://schemas.openxmlformats.org/officeDocument/2006/relationships/hyperlink" Target="https://otx.alienvault.com/indicator/ip/190.92.174.9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