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1DC91" w14:textId="77777777" w:rsidR="00CE2858" w:rsidRDefault="0062259D" w:rsidP="007C4CC6">
      <w:pPr>
        <w:pStyle w:val="Title"/>
        <w:tabs>
          <w:tab w:val="left" w:pos="1830"/>
        </w:tabs>
      </w:pPr>
      <w:r>
        <w:rPr>
          <w:noProof/>
          <w:sz w:val="56"/>
        </w:rPr>
        <mc:AlternateContent>
          <mc:Choice Requires="wps">
            <w:drawing>
              <wp:anchor distT="0" distB="0" distL="114300" distR="114300" simplePos="0" relativeHeight="251662337" behindDoc="0" locked="0" layoutInCell="1" allowOverlap="1" wp14:anchorId="0CE84385" wp14:editId="45730FB8">
                <wp:simplePos x="0" y="0"/>
                <wp:positionH relativeFrom="column">
                  <wp:posOffset>-914400</wp:posOffset>
                </wp:positionH>
                <wp:positionV relativeFrom="paragraph">
                  <wp:posOffset>-1691640</wp:posOffset>
                </wp:positionV>
                <wp:extent cx="7753985" cy="342900"/>
                <wp:effectExtent l="0" t="0" r="0" b="0"/>
                <wp:wrapNone/>
                <wp:docPr id="1944147330" name="Text Box 2"/>
                <wp:cNvGraphicFramePr/>
                <a:graphic xmlns:a="http://schemas.openxmlformats.org/drawingml/2006/main">
                  <a:graphicData uri="http://schemas.microsoft.com/office/word/2010/wordprocessingShape">
                    <wps:wsp>
                      <wps:cNvSpPr txBox="1"/>
                      <wps:spPr>
                        <a:xfrm>
                          <a:off x="0" y="0"/>
                          <a:ext cx="7753985" cy="342900"/>
                        </a:xfrm>
                        <a:prstGeom prst="rect">
                          <a:avLst/>
                        </a:prstGeom>
                        <a:noFill/>
                        <a:ln w="6350">
                          <a:noFill/>
                        </a:ln>
                      </wps:spPr>
                      <wps:txbx>
                        <w:txbxContent>
                          <w:p w14:paraId="004218B7" w14:textId="4DF24AF3" w:rsidR="0062259D" w:rsidRDefault="0062259D" w:rsidP="0062259D">
                            <w:pPr>
                              <w:jc w:val="center"/>
                            </w:pPr>
                            <w:proofErr w:type="gramStart"/>
                            <w:r w:rsidRPr="007C4CC6">
                              <w:rPr>
                                <w:rFonts w:ascii="Poppins ExtraBold" w:hAnsi="Poppins ExtraBold" w:cs="Poppins ExtraBold"/>
                                <w:color w:val="FFC000"/>
                              </w:rPr>
                              <w:t>TLP:AMBER</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E84385" id="_x0000_t202" coordsize="21600,21600" o:spt="202" path="m,l,21600r21600,l21600,xe">
                <v:stroke joinstyle="miter"/>
                <v:path gradientshapeok="t" o:connecttype="rect"/>
              </v:shapetype>
              <v:shape id="Text Box 2" o:spid="_x0000_s1026" type="#_x0000_t202" style="position:absolute;margin-left:-1in;margin-top:-133.2pt;width:610.55pt;height:27pt;z-index:251662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" filled="f" stroked="f" strokeweight=".5pt">
                <v:textbox>
                  <w:txbxContent>
                    <w:p w14:paraId="004218B7" w14:textId="4DF24AF3" w:rsidR="0062259D" w:rsidRDefault="0062259D" w:rsidP="0062259D">
                      <w:pPr>
                        <w:jc w:val="center"/>
                      </w:pPr>
                      <w:proofErr w:type="gramStart"/>
                      <w:r w:rsidRPr="007C4CC6">
                        <w:rPr>
                          <w:rFonts w:ascii="Poppins ExtraBold" w:hAnsi="Poppins ExtraBold" w:cs="Poppins ExtraBold"/>
                          <w:color w:val="FFC000"/>
                        </w:rPr>
                        <w:t>TLP:AMBER</w:t>
                      </w:r>
                      <w:proofErr w:type="gramEnd"/>
                    </w:p>
                  </w:txbxContent>
                </v:textbox>
              </v:shape>
            </w:pict>
          </mc:Fallback>
        </mc:AlternateContent>
      </w:r>
      <w:r w:rsidR="00581832">
        <w:rPr>
          <w:noProof/>
          <w:sz w:val="56"/>
        </w:rPr>
        <w:drawing>
          <wp:anchor distT="0" distB="0" distL="114300" distR="114300" simplePos="0" relativeHeight="251658241" behindDoc="0" locked="0" layoutInCell="1" allowOverlap="1" wp14:anchorId="6A2EEDD8" wp14:editId="256755CE">
            <wp:simplePos x="0" y="0"/>
            <wp:positionH relativeFrom="margin">
              <wp:posOffset>0</wp:posOffset>
            </wp:positionH>
            <wp:positionV relativeFrom="paragraph">
              <wp:posOffset>0</wp:posOffset>
            </wp:positionV>
            <wp:extent cx="2133600" cy="989330"/>
            <wp:effectExtent l="0" t="0" r="0" b="0"/>
            <wp:wrapTopAndBottom/>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2133600" cy="989330"/>
                    </a:xfrm>
                    <a:prstGeom prst="rect">
                      <a:avLst/>
                    </a:prstGeom>
                  </pic:spPr>
                </pic:pic>
              </a:graphicData>
            </a:graphic>
            <wp14:sizeRelH relativeFrom="page">
              <wp14:pctWidth>0</wp14:pctWidth>
            </wp14:sizeRelH>
            <wp14:sizeRelV relativeFrom="page">
              <wp14:pctHeight>0</wp14:pctHeight>
            </wp14:sizeRelV>
          </wp:anchor>
        </w:drawing>
      </w:r>
      <w:r w:rsidR="00CE2858" w:rsidRPr="00CE2858">
        <w:rPr>
          <w:noProof/>
          <w:color w:val="FFFFFF" w:themeColor="background1"/>
        </w:rPr>
        <mc:AlternateContent>
          <mc:Choice Requires="wps">
            <w:drawing>
              <wp:anchor distT="0" distB="0" distL="114300" distR="114300" simplePos="0" relativeHeight="251658240" behindDoc="1" locked="1" layoutInCell="1" allowOverlap="1" wp14:anchorId="08538D9D" wp14:editId="086C8858">
                <wp:simplePos x="0" y="0"/>
                <wp:positionH relativeFrom="page">
                  <wp:posOffset>0</wp:posOffset>
                </wp:positionH>
                <wp:positionV relativeFrom="page">
                  <wp:posOffset>0</wp:posOffset>
                </wp:positionV>
                <wp:extent cx="7754112" cy="10186416"/>
                <wp:effectExtent l="0" t="0" r="5715" b="0"/>
                <wp:wrapNone/>
                <wp:docPr id="7"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54112" cy="10186416"/>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353922" id="Rectangle 7" o:spid="_x0000_s1026" alt="&quot;&quot;" style="position:absolute;margin-left:0;margin-top:0;width:610.55pt;height:802.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" fillcolor="#204774 [3204]" stroked="f" strokeweight="1pt">
                <w10:wrap anchorx="page" anchory="page"/>
                <w10:anchorlock/>
              </v:rect>
            </w:pict>
          </mc:Fallback>
        </mc:AlternateContent>
      </w:r>
      <w:r w:rsidR="007C4CC6">
        <w:tab/>
      </w:r>
    </w:p>
    <w:p w14:paraId="3C277786" w14:textId="77777777" w:rsidR="00105DEF" w:rsidRDefault="00105DEF" w:rsidP="005F449A">
      <w:pPr>
        <w:spacing w:after="200" w:line="276" w:lineRule="auto"/>
        <w:rPr>
          <w:rFonts w:ascii="Nirmala UI" w:eastAsiaTheme="majorEastAsia" w:hAnsi="Nirmala UI" w:cs="Nirmala UI"/>
          <w:b/>
          <w:color w:val="FFFFFF" w:themeColor="background1"/>
          <w:sz w:val="56"/>
          <w:szCs w:val="56"/>
        </w:rPr>
      </w:pPr>
    </w:p>
    <w:p w14:paraId="51212925" w14:textId="77777777" w:rsidR="00446276" w:rsidRDefault="0091684E" w:rsidP="005F449A">
      <w:pPr>
        <w:spacing w:after="200" w:line="276" w:lineRule="auto"/>
        <w:rPr>
          <w:rFonts w:ascii="Nirmala UI" w:eastAsiaTheme="majorEastAsia" w:hAnsi="Nirmala UI" w:cs="Nirmala UI"/>
          <w:b/>
          <w:color w:val="FFFFFF" w:themeColor="background1"/>
          <w:sz w:val="56"/>
          <w:szCs w:val="56"/>
        </w:rPr>
      </w:pPr>
      <w:r w:rsidRPr="00446276">
        <w:rPr>
          <w:rFonts w:ascii="Nirmala UI" w:eastAsiaTheme="majorEastAsia" w:hAnsi="Nirmala UI" w:cs="Nirmala UI"/>
          <w:b/>
          <w:noProof/>
          <w:color w:val="FFFFFF" w:themeColor="background1"/>
          <w:sz w:val="56"/>
          <w:szCs w:val="56"/>
        </w:rPr>
        <w:drawing>
          <wp:anchor distT="0" distB="0" distL="114300" distR="114300" simplePos="0" relativeHeight="251660289" behindDoc="0" locked="0" layoutInCell="1" allowOverlap="1" wp14:anchorId="46B7564F" wp14:editId="0276F356">
            <wp:simplePos x="0" y="0"/>
            <wp:positionH relativeFrom="column">
              <wp:posOffset>104774</wp:posOffset>
            </wp:positionH>
            <wp:positionV relativeFrom="paragraph">
              <wp:posOffset>70485</wp:posOffset>
            </wp:positionV>
            <wp:extent cx="5082137" cy="1369060"/>
            <wp:effectExtent l="0" t="0" r="4445" b="2540"/>
            <wp:wrapNone/>
            <wp:docPr id="1988545845" name="Picture 6" descr="Logo&#10;&#10;AI-generated content may be incorrect.">
              <a:extLst xmlns:a="http://schemas.openxmlformats.org/drawingml/2006/main">
                <a:ext uri="{FF2B5EF4-FFF2-40B4-BE49-F238E27FC236}">
                  <a16:creationId xmlns:a16="http://schemas.microsoft.com/office/drawing/2014/main" id="{121335A2-0F33-A29A-4470-51F77D40C1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45845" name="Picture 6" descr="Logo&#10;&#10;AI-generated content may be incorrect.">
                      <a:extLst>
                        <a:ext uri="{FF2B5EF4-FFF2-40B4-BE49-F238E27FC236}">
                          <a16:creationId xmlns:a16="http://schemas.microsoft.com/office/drawing/2014/main" id="{121335A2-0F33-A29A-4470-51F77D40C1D9}"/>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33462" cy="1382886"/>
                    </a:xfrm>
                    <a:prstGeom prst="rect">
                      <a:avLst/>
                    </a:prstGeom>
                  </pic:spPr>
                </pic:pic>
              </a:graphicData>
            </a:graphic>
            <wp14:sizeRelH relativeFrom="margin">
              <wp14:pctWidth>0</wp14:pctWidth>
            </wp14:sizeRelH>
            <wp14:sizeRelV relativeFrom="margin">
              <wp14:pctHeight>0</wp14:pctHeight>
            </wp14:sizeRelV>
          </wp:anchor>
        </w:drawing>
      </w:r>
    </w:p>
    <w:p w14:paraId="003445A4" w14:textId="77777777" w:rsidR="00446276" w:rsidRDefault="0091684E" w:rsidP="005F449A">
      <w:pPr>
        <w:spacing w:after="200" w:line="276" w:lineRule="auto"/>
        <w:rPr>
          <w:rFonts w:ascii="Nirmala UI" w:eastAsiaTheme="majorEastAsia" w:hAnsi="Nirmala UI" w:cs="Nirmala UI"/>
          <w:b/>
          <w:color w:val="FFFFFF" w:themeColor="background1"/>
          <w:sz w:val="56"/>
          <w:szCs w:val="56"/>
        </w:rPr>
      </w:pPr>
      <w:r w:rsidRPr="00446276">
        <w:rPr>
          <w:rFonts w:ascii="Nirmala UI" w:eastAsiaTheme="majorEastAsia" w:hAnsi="Nirmala UI" w:cs="Nirmala UI"/>
          <w:b/>
          <w:noProof/>
          <w:color w:val="FFFFFF" w:themeColor="background1"/>
          <w:sz w:val="56"/>
          <w:szCs w:val="56"/>
        </w:rPr>
        <mc:AlternateContent>
          <mc:Choice Requires="wps">
            <w:drawing>
              <wp:anchor distT="0" distB="0" distL="114300" distR="114300" simplePos="0" relativeHeight="251661313" behindDoc="0" locked="0" layoutInCell="1" allowOverlap="1" wp14:anchorId="2861ED88" wp14:editId="4FE2323B">
                <wp:simplePos x="0" y="0"/>
                <wp:positionH relativeFrom="column">
                  <wp:posOffset>0</wp:posOffset>
                </wp:positionH>
                <wp:positionV relativeFrom="paragraph">
                  <wp:posOffset>666115</wp:posOffset>
                </wp:positionV>
                <wp:extent cx="5924550" cy="702945"/>
                <wp:effectExtent l="0" t="0" r="0" b="0"/>
                <wp:wrapNone/>
                <wp:docPr id="13" name="TextBox 12">
                  <a:extLst xmlns:a="http://schemas.openxmlformats.org/drawingml/2006/main">
                    <a:ext uri="{FF2B5EF4-FFF2-40B4-BE49-F238E27FC236}">
                      <a16:creationId xmlns:a16="http://schemas.microsoft.com/office/drawing/2014/main" id="{1FF15989-7425-7602-95CC-D55887C10F85}"/>
                    </a:ext>
                  </a:extLst>
                </wp:docPr>
                <wp:cNvGraphicFramePr/>
                <a:graphic xmlns:a="http://schemas.openxmlformats.org/drawingml/2006/main">
                  <a:graphicData uri="http://schemas.microsoft.com/office/word/2010/wordprocessingShape">
                    <wps:wsp>
                      <wps:cNvSpPr txBox="1"/>
                      <wps:spPr>
                        <a:xfrm>
                          <a:off x="0" y="0"/>
                          <a:ext cx="5924550" cy="702945"/>
                        </a:xfrm>
                        <a:prstGeom prst="rect">
                          <a:avLst/>
                        </a:prstGeom>
                        <a:noFill/>
                      </wps:spPr>
                      <wps:txbx>
                        <w:txbxContent>
                          <w:p w14:paraId="567FB238" w14:textId="77777777" w:rsidR="00446276" w:rsidRPr="0091684E" w:rsidRDefault="00446276" w:rsidP="00446276">
                            <w:pPr>
                              <w:rPr>
                                <w:rFonts w:ascii="Poppins" w:hAnsi="Poppins" w:cs="Poppins"/>
                                <w:color w:val="7BD1F6"/>
                                <w:kern w:val="24"/>
                                <w:sz w:val="40"/>
                                <w:szCs w:val="40"/>
                              </w:rPr>
                            </w:pPr>
                            <w:r w:rsidRPr="0091684E">
                              <w:rPr>
                                <w:rFonts w:ascii="Poppins" w:hAnsi="Poppins" w:cs="Poppins"/>
                                <w:color w:val="7BD1F6"/>
                                <w:kern w:val="24"/>
                                <w:sz w:val="40"/>
                                <w:szCs w:val="40"/>
                              </w:rPr>
                              <w:t>HEALTHCARE THREAT OPERATIONS CENTER</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861ED88" id="TextBox 12" o:spid="_x0000_s1027" type="#_x0000_t202" style="position:absolute;margin-left:0;margin-top:52.45pt;width:466.5pt;height:55.35pt;z-index:251661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" filled="f" stroked="f">
                <v:textbox>
                  <w:txbxContent>
                    <w:p w14:paraId="567FB238" w14:textId="77777777" w:rsidR="00446276" w:rsidRPr="0091684E" w:rsidRDefault="00446276" w:rsidP="00446276">
                      <w:pPr>
                        <w:rPr>
                          <w:rFonts w:ascii="Poppins" w:hAnsi="Poppins" w:cs="Poppins"/>
                          <w:color w:val="7BD1F6"/>
                          <w:kern w:val="24"/>
                          <w:sz w:val="40"/>
                          <w:szCs w:val="40"/>
                        </w:rPr>
                      </w:pPr>
                      <w:r w:rsidRPr="0091684E">
                        <w:rPr>
                          <w:rFonts w:ascii="Poppins" w:hAnsi="Poppins" w:cs="Poppins"/>
                          <w:color w:val="7BD1F6"/>
                          <w:kern w:val="24"/>
                          <w:sz w:val="40"/>
                          <w:szCs w:val="40"/>
                        </w:rPr>
                        <w:t>HEALTHCARE THREAT OPERATIONS CENTER</w:t>
                      </w:r>
                    </w:p>
                  </w:txbxContent>
                </v:textbox>
              </v:shape>
            </w:pict>
          </mc:Fallback>
        </mc:AlternateContent>
      </w:r>
    </w:p>
    <w:p w14:paraId="706045D8" w14:textId="77777777" w:rsidR="00446276" w:rsidRDefault="00446276" w:rsidP="005F449A">
      <w:pPr>
        <w:spacing w:after="200" w:line="276" w:lineRule="auto"/>
        <w:rPr>
          <w:rFonts w:ascii="Nirmala UI" w:eastAsiaTheme="majorEastAsia" w:hAnsi="Nirmala UI" w:cs="Nirmala UI"/>
          <w:b/>
          <w:color w:val="FFFFFF" w:themeColor="background1"/>
          <w:sz w:val="56"/>
          <w:szCs w:val="56"/>
        </w:rPr>
      </w:pPr>
    </w:p>
    <w:p w14:paraId="38646230" w14:textId="1670D64D" w:rsidR="00921D43" w:rsidRPr="00105DEF" w:rsidRDefault="00AE7FAD" w:rsidP="005F449A">
      <w:pPr>
        <w:spacing w:after="200" w:line="276" w:lineRule="auto"/>
        <w:rPr>
          <w:rFonts w:ascii="Nirmala UI" w:eastAsiaTheme="majorEastAsia" w:hAnsi="Nirmala UI" w:cs="Nirmala UI"/>
          <w:b/>
          <w:color w:val="FFFFFF" w:themeColor="background1"/>
          <w:sz w:val="56"/>
          <w:szCs w:val="56"/>
        </w:rPr>
      </w:pPr>
      <w:r>
        <w:t>Daily Partner Prediction Report Consolidation — daily_reports</w:t>
      </w:r>
    </w:p>
    <w:p w14:paraId="7E1790E4" w14:textId="77777777" w:rsidR="0015376A" w:rsidRDefault="0015376A" w:rsidP="008C7555">
      <w:pPr>
        <w:spacing w:after="200" w:line="276" w:lineRule="auto"/>
        <w:ind w:firstLine="720"/>
        <w:rPr>
          <w:rFonts w:asciiTheme="majorHAnsi" w:eastAsiaTheme="majorEastAsia" w:hAnsiTheme="majorHAnsi" w:cstheme="majorBidi"/>
          <w:b/>
          <w:color w:val="FFFFFF" w:themeColor="background1"/>
          <w:sz w:val="72"/>
          <w:szCs w:val="72"/>
        </w:rPr>
      </w:pPr>
    </w:p>
    <w:p w14:paraId="691E89A4" w14:textId="504F5FCA" w:rsidR="005F449A" w:rsidRPr="00EA5BD1" w:rsidRDefault="005F449A" w:rsidP="005F449A">
      <w:pPr>
        <w:spacing w:after="200" w:line="276" w:lineRule="auto"/>
        <w:rPr>
          <w:rFonts w:ascii="Nirmala UI" w:eastAsiaTheme="minorEastAsia" w:hAnsi="Nirmala UI" w:cs="Nirmala UI"/>
          <w:color w:val="FFFFFF" w:themeColor="background1"/>
          <w:szCs w:val="22"/>
          <w:lang w:eastAsia="zh-CN"/>
        </w:rPr>
      </w:pPr>
      <w:r>
        <w:t>Version 1.0</w:t>
        <w:br/>
        <w:t>April 2026</w:t>
      </w:r>
    </w:p>
    <w:sdt>
      <w:sdtPr>
        <w:rPr>
          <w:rFonts w:asciiTheme="minorHAnsi" w:eastAsiaTheme="minorEastAsia" w:hAnsiTheme="minorHAnsi" w:cstheme="minorBidi"/>
          <w:b w:val="0"/>
          <w:color w:val="auto"/>
          <w:sz w:val="24"/>
          <w:szCs w:val="24"/>
        </w:rPr>
        <w:id w:val="761330464"/>
        <w:docPartObj>
          <w:docPartGallery w:val="Table of Contents"/>
          <w:docPartUnique/>
        </w:docPartObj>
      </w:sdtPr>
      <w:sdtEndPr/>
      <w:sdtContent>
        <w:p w14:paraId="52387693" w14:textId="77777777" w:rsidR="000B12EA" w:rsidRPr="0082264F" w:rsidRDefault="000B12EA">
          <w:pPr>
            <w:pStyle w:val="TOCHeading"/>
            <w:rPr>
              <w:rFonts w:ascii="Nirmala UI" w:hAnsi="Nirmala UI" w:cs="Nirmala UI"/>
            </w:rPr>
          </w:pPr>
          <w:r w:rsidRPr="00F210F7">
            <w:rPr>
              <w:rFonts w:ascii="Nirmala UI" w:hAnsi="Nirmala UI" w:cs="Nirmala UI"/>
            </w:rPr>
            <w:t>Table of Conten</w:t>
          </w:r>
          <w:r w:rsidRPr="0082264F">
            <w:rPr>
              <w:rFonts w:ascii="Nirmala UI" w:hAnsi="Nirmala UI" w:cs="Nirmala UI"/>
            </w:rPr>
            <w:t>ts</w:t>
          </w:r>
        </w:p>
        <w:p w14:paraId="4C143AB8" w14:textId="1DDAA223" w:rsidR="009F1982" w:rsidRDefault="000B12EA">
          <w:pPr>
            <w:pStyle w:val="TOC2"/>
            <w:rPr>
              <w:rFonts w:asciiTheme="minorHAnsi" w:eastAsiaTheme="minorEastAsia" w:hAnsiTheme="minorHAnsi" w:cstheme="minorBidi"/>
              <w:b w:val="0"/>
              <w:i w:val="0"/>
              <w:iCs w:val="0"/>
              <w:noProof/>
              <w:color w:val="auto"/>
              <w:kern w:val="2"/>
              <w:sz w:val="24"/>
              <w:szCs w:val="24"/>
              <w14:ligatures w14:val="standardContextual"/>
            </w:rPr>
          </w:pPr>
          <w:r w:rsidRPr="0082264F">
            <w:rPr>
              <w:rFonts w:ascii="Nirmala UI" w:hAnsi="Nirmala UI" w:cs="Nirmala UI"/>
              <w:i w:val="0"/>
              <w:iCs w:val="0"/>
            </w:rPr>
            <w:fldChar w:fldCharType="begin"/>
          </w:r>
          <w:r w:rsidRPr="0082264F">
            <w:rPr>
              <w:rFonts w:ascii="Nirmala UI" w:hAnsi="Nirmala UI" w:cs="Nirmala UI"/>
              <w:i w:val="0"/>
              <w:iCs w:val="0"/>
            </w:rPr>
            <w:instrText xml:space="preserve"> TOC \o "1-3" \h \z \u </w:instrText>
          </w:r>
          <w:r w:rsidRPr="0082264F">
            <w:rPr>
              <w:rFonts w:ascii="Nirmala UI" w:hAnsi="Nirmala UI" w:cs="Nirmala UI"/>
              <w:i w:val="0"/>
              <w:iCs w:val="0"/>
            </w:rPr>
            <w:fldChar w:fldCharType="separate"/>
          </w:r>
          <w:hyperlink w:anchor="_Toc225922823" w:history="1">
            <w:r w:rsidR="009F1982" w:rsidRPr="00185C85">
              <w:rPr>
                <w:rStyle w:val="Hyperlink"/>
                <w:rFonts w:ascii="Nirmala UI" w:hAnsi="Nirmala UI" w:cs="Nirmala UI"/>
                <w:noProof/>
              </w:rPr>
              <w:t>Purpose</w:t>
            </w:r>
            <w:r w:rsidR="009F1982">
              <w:rPr>
                <w:noProof/>
                <w:webHidden/>
              </w:rPr>
              <w:tab/>
            </w:r>
            <w:r w:rsidR="009F1982">
              <w:rPr>
                <w:noProof/>
                <w:webHidden/>
              </w:rPr>
              <w:fldChar w:fldCharType="begin"/>
            </w:r>
            <w:r w:rsidR="009F1982">
              <w:rPr>
                <w:noProof/>
                <w:webHidden/>
              </w:rPr>
              <w:instrText xml:space="preserve"> PAGEREF _Toc225922823 \h </w:instrText>
            </w:r>
            <w:r w:rsidR="009F1982">
              <w:rPr>
                <w:noProof/>
                <w:webHidden/>
              </w:rPr>
            </w:r>
            <w:r w:rsidR="009F1982">
              <w:rPr>
                <w:noProof/>
                <w:webHidden/>
              </w:rPr>
              <w:fldChar w:fldCharType="separate"/>
            </w:r>
            <w:r w:rsidR="009F1982">
              <w:rPr>
                <w:noProof/>
                <w:webHidden/>
              </w:rPr>
              <w:t>3</w:t>
            </w:r>
            <w:r w:rsidR="009F1982">
              <w:rPr>
                <w:noProof/>
                <w:webHidden/>
              </w:rPr>
              <w:fldChar w:fldCharType="end"/>
            </w:r>
          </w:hyperlink>
        </w:p>
        <w:p w14:paraId="3F1D886D" w14:textId="54C7EE74" w:rsidR="009F1982" w:rsidRDefault="009F1982">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5922824" w:history="1">
            <w:r w:rsidRPr="00185C85">
              <w:rPr>
                <w:rStyle w:val="Hyperlink"/>
                <w:rFonts w:ascii="Nirmala UI" w:hAnsi="Nirmala UI" w:cs="Nirmala UI"/>
                <w:noProof/>
              </w:rPr>
              <w:t>Phase 1: Production and Initial Review</w:t>
            </w:r>
            <w:r>
              <w:rPr>
                <w:noProof/>
                <w:webHidden/>
              </w:rPr>
              <w:tab/>
            </w:r>
            <w:r>
              <w:rPr>
                <w:noProof/>
                <w:webHidden/>
              </w:rPr>
              <w:fldChar w:fldCharType="begin"/>
            </w:r>
            <w:r>
              <w:rPr>
                <w:noProof/>
                <w:webHidden/>
              </w:rPr>
              <w:instrText xml:space="preserve"> PAGEREF _Toc225922824 \h </w:instrText>
            </w:r>
            <w:r>
              <w:rPr>
                <w:noProof/>
                <w:webHidden/>
              </w:rPr>
            </w:r>
            <w:r>
              <w:rPr>
                <w:noProof/>
                <w:webHidden/>
              </w:rPr>
              <w:fldChar w:fldCharType="separate"/>
            </w:r>
            <w:r>
              <w:rPr>
                <w:noProof/>
                <w:webHidden/>
              </w:rPr>
              <w:t>3</w:t>
            </w:r>
            <w:r>
              <w:rPr>
                <w:noProof/>
                <w:webHidden/>
              </w:rPr>
              <w:fldChar w:fldCharType="end"/>
            </w:r>
          </w:hyperlink>
        </w:p>
        <w:p w14:paraId="6B07806E" w14:textId="2EDC44A7" w:rsidR="009F1982" w:rsidRDefault="009F1982">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5922825" w:history="1">
            <w:r w:rsidRPr="00185C85">
              <w:rPr>
                <w:rStyle w:val="Hyperlink"/>
                <w:rFonts w:ascii="Nirmala UI" w:hAnsi="Nirmala UI" w:cs="Nirmala UI"/>
                <w:noProof/>
              </w:rPr>
              <w:t>Phase 2: Finalization and Conversion</w:t>
            </w:r>
            <w:r>
              <w:rPr>
                <w:noProof/>
                <w:webHidden/>
              </w:rPr>
              <w:tab/>
            </w:r>
            <w:r>
              <w:rPr>
                <w:noProof/>
                <w:webHidden/>
              </w:rPr>
              <w:fldChar w:fldCharType="begin"/>
            </w:r>
            <w:r>
              <w:rPr>
                <w:noProof/>
                <w:webHidden/>
              </w:rPr>
              <w:instrText xml:space="preserve"> PAGEREF _Toc225922825 \h </w:instrText>
            </w:r>
            <w:r>
              <w:rPr>
                <w:noProof/>
                <w:webHidden/>
              </w:rPr>
            </w:r>
            <w:r>
              <w:rPr>
                <w:noProof/>
                <w:webHidden/>
              </w:rPr>
              <w:fldChar w:fldCharType="separate"/>
            </w:r>
            <w:r>
              <w:rPr>
                <w:noProof/>
                <w:webHidden/>
              </w:rPr>
              <w:t>3</w:t>
            </w:r>
            <w:r>
              <w:rPr>
                <w:noProof/>
                <w:webHidden/>
              </w:rPr>
              <w:fldChar w:fldCharType="end"/>
            </w:r>
          </w:hyperlink>
        </w:p>
        <w:p w14:paraId="19D6FD11" w14:textId="38377FB7" w:rsidR="009F1982" w:rsidRDefault="009F1982">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5922826" w:history="1">
            <w:r w:rsidRPr="00185C85">
              <w:rPr>
                <w:rStyle w:val="Hyperlink"/>
                <w:rFonts w:ascii="Nirmala UI" w:hAnsi="Nirmala UI" w:cs="Nirmala UI"/>
                <w:noProof/>
              </w:rPr>
              <w:t>Phase 3: Peer Review and Email Distribution</w:t>
            </w:r>
            <w:r>
              <w:rPr>
                <w:noProof/>
                <w:webHidden/>
              </w:rPr>
              <w:tab/>
            </w:r>
            <w:r>
              <w:rPr>
                <w:noProof/>
                <w:webHidden/>
              </w:rPr>
              <w:fldChar w:fldCharType="begin"/>
            </w:r>
            <w:r>
              <w:rPr>
                <w:noProof/>
                <w:webHidden/>
              </w:rPr>
              <w:instrText xml:space="preserve"> PAGEREF _Toc225922826 \h </w:instrText>
            </w:r>
            <w:r>
              <w:rPr>
                <w:noProof/>
                <w:webHidden/>
              </w:rPr>
            </w:r>
            <w:r>
              <w:rPr>
                <w:noProof/>
                <w:webHidden/>
              </w:rPr>
              <w:fldChar w:fldCharType="separate"/>
            </w:r>
            <w:r>
              <w:rPr>
                <w:noProof/>
                <w:webHidden/>
              </w:rPr>
              <w:t>3</w:t>
            </w:r>
            <w:r>
              <w:rPr>
                <w:noProof/>
                <w:webHidden/>
              </w:rPr>
              <w:fldChar w:fldCharType="end"/>
            </w:r>
          </w:hyperlink>
        </w:p>
        <w:p w14:paraId="67B72773" w14:textId="4FBC48BD" w:rsidR="009F1982" w:rsidRDefault="009F1982">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5922827" w:history="1">
            <w:r w:rsidRPr="00185C85">
              <w:rPr>
                <w:rStyle w:val="Hyperlink"/>
                <w:rFonts w:ascii="Nirmala UI" w:hAnsi="Nirmala UI" w:cs="Nirmala UI"/>
                <w:noProof/>
              </w:rPr>
              <w:t>Maintenance: Master Recipient List</w:t>
            </w:r>
            <w:r>
              <w:rPr>
                <w:noProof/>
                <w:webHidden/>
              </w:rPr>
              <w:tab/>
            </w:r>
            <w:r>
              <w:rPr>
                <w:noProof/>
                <w:webHidden/>
              </w:rPr>
              <w:fldChar w:fldCharType="begin"/>
            </w:r>
            <w:r>
              <w:rPr>
                <w:noProof/>
                <w:webHidden/>
              </w:rPr>
              <w:instrText xml:space="preserve"> PAGEREF _Toc225922827 \h </w:instrText>
            </w:r>
            <w:r>
              <w:rPr>
                <w:noProof/>
                <w:webHidden/>
              </w:rPr>
            </w:r>
            <w:r>
              <w:rPr>
                <w:noProof/>
                <w:webHidden/>
              </w:rPr>
              <w:fldChar w:fldCharType="separate"/>
            </w:r>
            <w:r>
              <w:rPr>
                <w:noProof/>
                <w:webHidden/>
              </w:rPr>
              <w:t>5</w:t>
            </w:r>
            <w:r>
              <w:rPr>
                <w:noProof/>
                <w:webHidden/>
              </w:rPr>
              <w:fldChar w:fldCharType="end"/>
            </w:r>
          </w:hyperlink>
        </w:p>
        <w:p w14:paraId="78716268" w14:textId="68D04D39" w:rsidR="009F1982" w:rsidRDefault="009F1982">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5922828" w:history="1">
            <w:r w:rsidRPr="00185C85">
              <w:rPr>
                <w:rStyle w:val="Hyperlink"/>
                <w:rFonts w:ascii="Nirmala UI" w:hAnsi="Nirmala UI" w:cs="Nirmala UI"/>
                <w:noProof/>
              </w:rPr>
              <w:t>Overview of Steps, Requirements, and Responsible Party</w:t>
            </w:r>
            <w:r>
              <w:rPr>
                <w:noProof/>
                <w:webHidden/>
              </w:rPr>
              <w:tab/>
            </w:r>
            <w:r>
              <w:rPr>
                <w:noProof/>
                <w:webHidden/>
              </w:rPr>
              <w:fldChar w:fldCharType="begin"/>
            </w:r>
            <w:r>
              <w:rPr>
                <w:noProof/>
                <w:webHidden/>
              </w:rPr>
              <w:instrText xml:space="preserve"> PAGEREF _Toc225922828 \h </w:instrText>
            </w:r>
            <w:r>
              <w:rPr>
                <w:noProof/>
                <w:webHidden/>
              </w:rPr>
            </w:r>
            <w:r>
              <w:rPr>
                <w:noProof/>
                <w:webHidden/>
              </w:rPr>
              <w:fldChar w:fldCharType="separate"/>
            </w:r>
            <w:r>
              <w:rPr>
                <w:noProof/>
                <w:webHidden/>
              </w:rPr>
              <w:t>5</w:t>
            </w:r>
            <w:r>
              <w:rPr>
                <w:noProof/>
                <w:webHidden/>
              </w:rPr>
              <w:fldChar w:fldCharType="end"/>
            </w:r>
          </w:hyperlink>
        </w:p>
        <w:p w14:paraId="221730AA" w14:textId="30D924BF" w:rsidR="000B12EA" w:rsidRPr="00C42D86" w:rsidRDefault="000B12EA">
          <w:r w:rsidRPr="0082264F">
            <w:rPr>
              <w:rFonts w:ascii="Nirmala UI" w:hAnsi="Nirmala UI" w:cs="Nirmala UI"/>
              <w:b/>
              <w:bCs/>
              <w:noProof/>
            </w:rPr>
            <w:fldChar w:fldCharType="end"/>
          </w:r>
        </w:p>
      </w:sdtContent>
    </w:sdt>
    <w:p>
      <w:r>
        <w:br w:type="page"/>
      </w:r>
    </w:p>
    <w:p>
      <w:pPr>
        <w:pStyle w:val="Heading1"/>
      </w:pPr>
      <w:r>
        <w:t>Table of Contents</w:t>
      </w:r>
    </w:p>
    <w:p>
      <w:r>
        <w:fldChar w:fldCharType="begin"/>
      </w:r>
      <w:r>
        <w:instrText xml:space="preserve">TOC \o "1-3" \h \z \u</w:instrText>
      </w:r>
      <w:r>
        <w:fldChar w:fldCharType="separate"/>
      </w:r>
      <w:r>
        <w:t>Right-click and update field.</w:t>
      </w:r>
      <w:r>
        <w:fldChar w:fldCharType="end"/>
      </w:r>
    </w:p>
    <w:p>
      <w:r>
        <w:br w:type="page"/>
      </w:r>
    </w:p>
    <w:p/>
    <w:p>
      <w:pPr>
        <w:pStyle w:val="Heading2"/>
      </w:pPr>
      <w:r>
        <w:t>1. Purpose</w:t>
      </w:r>
    </w:p>
    <w:p/>
    <w:p>
      <w:r>
        <w:t xml:space="preserve">This SOP describes the daily consolidation of per-partner NOI (Next Observed Indicator) prediction CSVs into a single full daily report. Each day, partner-specific prediction files are written to subfolders under the </w:t>
      </w:r>
      <w:r>
        <w:rPr>
          <w:rFonts w:ascii="Consolas" w:hAnsi="Consolas"/>
          <w:sz w:val="18"/>
        </w:rPr>
        <w:t>OpDiv_Predictions</w:t>
      </w:r>
      <w:r>
        <w:t xml:space="preserve"> directory. This process discovers those files, merges them into one consolidated dataset, and writes a dated output CSV to the </w:t>
      </w:r>
      <w:r>
        <w:rPr>
          <w:rFonts w:ascii="Consolas" w:hAnsi="Consolas"/>
          <w:sz w:val="18"/>
        </w:rPr>
        <w:t>Full Daily Reports</w:t>
      </w:r>
      <w:r>
        <w:t xml:space="preserve"> folder.</w:t>
      </w:r>
    </w:p>
    <w:p/>
    <w:p>
      <w:r>
        <w:t>This process has two execution paths:</w:t>
      </w:r>
    </w:p>
    <w:p>
      <w:pPr>
        <w:keepNext/>
      </w:pPr>
    </w:p>
    <w:tbl>
      <w:tblPr>
        <w:tblStyle w:val="TableGrid"/>
        <w:tblW w:type="auto" w:w="0"/>
        <w:tblLook w:firstColumn="1" w:firstRow="1" w:lastColumn="0" w:lastRow="0" w:noHBand="0" w:noVBand="1" w:val="04A0"/>
      </w:tblPr>
      <w:tblGrid>
        <w:gridCol w:w="4680"/>
        <w:gridCol w:w="4680"/>
      </w:tblGrid>
      <w:tr>
        <w:trPr>
          <w:cantSplit/>
          <w:tblHeader/>
        </w:trPr>
        <w:tc>
          <w:tcPr>
            <w:tcW w:type="dxa" w:w="4680"/>
          </w:tcPr>
          <w:p>
            <w:r>
              <w:t>Path</w:t>
            </w:r>
          </w:p>
        </w:tc>
        <w:tc>
          <w:tcPr>
            <w:tcW w:type="dxa" w:w="4680"/>
          </w:tcPr>
          <w:p>
            <w:r>
              <w:t>Use When</w:t>
            </w:r>
          </w:p>
        </w:tc>
      </w:tr>
      <w:tr>
        <w:trPr>
          <w:cantSplit/>
        </w:trPr>
        <w:tc>
          <w:tcPr>
            <w:tcW w:type="dxa" w:w="4680"/>
          </w:tcPr>
          <w:p>
            <w:r>
              <w:t>**Automated batch script** (`main.py`)</w:t>
            </w:r>
          </w:p>
        </w:tc>
        <w:tc>
          <w:tcPr>
            <w:tcW w:type="dxa" w:w="4680"/>
          </w:tcPr>
          <w:p>
            <w:r>
              <w:t>Normal daily operations — runs automatically on a schedule</w:t>
            </w:r>
          </w:p>
        </w:tc>
      </w:tr>
      <w:tr>
        <w:trPr>
          <w:cantSplit/>
        </w:trPr>
        <w:tc>
          <w:tcPr>
            <w:tcW w:type="dxa" w:w="4680"/>
          </w:tcPr>
          <w:p>
            <w:r>
              <w:t>**Interactive notebook** (`daily_reports.ipynb`)</w:t>
            </w:r>
          </w:p>
        </w:tc>
        <w:tc>
          <w:tcPr>
            <w:tcW w:type="dxa" w:w="4680"/>
          </w:tcPr>
          <w:p>
            <w:r>
              <w:t>Manual runs, troubleshooting, or backfilling historical dates</w:t>
            </w:r>
          </w:p>
        </w:tc>
      </w:tr>
    </w:tbl>
    <w:p/>
    <w:p>
      <w:r>
        <w:t>-</w:t>
      </w:r>
    </w:p>
    <w:p/>
    <w:p>
      <w:pPr>
        <w:pStyle w:val="Heading2"/>
      </w:pPr>
      <w:r>
        <w:t>2. Scope</w:t>
      </w:r>
    </w:p>
    <w:p/>
    <w:p>
      <w:r>
        <w:t>This procedure applies to HTOC analysts and data engineers who run, monitor, or troubleshoot the daily prediction report consolidation. It covers both the automated script path and the interactive notebook path.</w:t>
      </w:r>
    </w:p>
    <w:p/>
    <w:p>
      <w:r>
        <w:t>-</w:t>
      </w:r>
    </w:p>
    <w:p/>
    <w:p>
      <w:pPr>
        <w:pStyle w:val="Heading2"/>
      </w:pPr>
      <w:r>
        <w:t>3. Prerequisites</w:t>
      </w:r>
    </w:p>
    <w:p/>
    <w:p>
      <w:pPr>
        <w:pStyle w:val="Heading3"/>
      </w:pPr>
      <w:r>
        <w:t>3.1 Environment</w:t>
      </w:r>
    </w:p>
    <w:p>
      <w:pPr>
        <w:keepNext/>
      </w:pPr>
    </w:p>
    <w:tbl>
      <w:tblPr>
        <w:tblStyle w:val="TableGrid"/>
        <w:tblW w:type="auto" w:w="0"/>
        <w:tblLook w:firstColumn="1" w:firstRow="1" w:lastColumn="0" w:lastRow="0" w:noHBand="0" w:noVBand="1" w:val="04A0"/>
      </w:tblPr>
      <w:tblGrid>
        <w:gridCol w:w="4680"/>
        <w:gridCol w:w="4680"/>
      </w:tblGrid>
      <w:tr>
        <w:trPr>
          <w:cantSplit/>
          <w:tblHeader/>
        </w:trPr>
        <w:tc>
          <w:tcPr>
            <w:tcW w:type="dxa" w:w="4680"/>
          </w:tcPr>
          <w:p>
            <w:r>
              <w:t>Requirement</w:t>
            </w:r>
          </w:p>
        </w:tc>
        <w:tc>
          <w:tcPr>
            <w:tcW w:type="dxa" w:w="4680"/>
          </w:tcPr>
          <w:p>
            <w:r>
              <w:t>Notes</w:t>
            </w:r>
          </w:p>
        </w:tc>
      </w:tr>
      <w:tr>
        <w:trPr>
          <w:cantSplit/>
        </w:trPr>
        <w:tc>
          <w:tcPr>
            <w:tcW w:type="dxa" w:w="4680"/>
          </w:tcPr>
          <w:p>
            <w:r>
              <w:t>Python 3.x</w:t>
            </w:r>
          </w:p>
        </w:tc>
        <w:tc>
          <w:tcPr>
            <w:tcW w:type="dxa" w:w="4680"/>
          </w:tcPr>
          <w:p>
            <w:r>
              <w:t>Must be available in the environment where `main.py` executes</w:t>
            </w:r>
          </w:p>
        </w:tc>
      </w:tr>
      <w:tr>
        <w:trPr>
          <w:cantSplit/>
        </w:trPr>
        <w:tc>
          <w:tcPr>
            <w:tcW w:type="dxa" w:w="4680"/>
          </w:tcPr>
          <w:p>
            <w:r>
              <w:t>pandas</w:t>
            </w:r>
          </w:p>
        </w:tc>
        <w:tc>
          <w:tcPr>
            <w:tcW w:type="dxa" w:w="4680"/>
          </w:tcPr>
          <w:p>
            <w:r>
              <w:t>CSV loading and concatenation</w:t>
            </w:r>
          </w:p>
        </w:tc>
      </w:tr>
      <w:tr>
        <w:trPr>
          <w:cantSplit/>
        </w:trPr>
        <w:tc>
          <w:tcPr>
            <w:tcW w:type="dxa" w:w="4680"/>
          </w:tcPr>
          <w:p>
            <w:r>
              <w:t>numpy</w:t>
            </w:r>
          </w:p>
        </w:tc>
        <w:tc>
          <w:tcPr>
            <w:tcW w:type="dxa" w:w="4680"/>
          </w:tcPr>
          <w:p>
            <w:r>
              <w:t>Indirect dependency</w:t>
            </w:r>
          </w:p>
        </w:tc>
      </w:tr>
      <w:tr>
        <w:trPr>
          <w:cantSplit/>
        </w:trPr>
        <w:tc>
          <w:tcPr>
            <w:tcW w:type="dxa" w:w="4680"/>
          </w:tcPr>
          <w:p>
            <w:r>
              <w:t>Access to `Z:\HTOC\Data_Analytics\`</w:t>
            </w:r>
          </w:p>
        </w:tc>
        <w:tc>
          <w:tcPr>
            <w:tcW w:type="dxa" w:w="4680"/>
          </w:tcPr>
          <w:p>
            <w:r>
              <w:t>All input and output paths are on this share</w:t>
            </w:r>
          </w:p>
        </w:tc>
      </w:tr>
    </w:tbl>
    <w:p/>
    <w:p>
      <w:r>
        <w:t>Example dependency install command:</w:t>
      </w:r>
    </w:p>
    <w:p>
      <w:pPr>
        <w:pStyle w:val="NoSpacing"/>
      </w:pPr>
      <w:r>
        <w:rPr>
          <w:rFonts w:ascii="Consolas" w:hAnsi="Consolas"/>
          <w:sz w:val="18"/>
        </w:rPr>
        <w:t>pip install pandas</w:t>
      </w:r>
    </w:p>
    <w:p/>
    <w:p>
      <w:pPr>
        <w:pStyle w:val="Heading3"/>
      </w:pPr>
      <w:r>
        <w:t>3.2 Input Data</w:t>
      </w:r>
    </w:p>
    <w:p/>
    <w:p>
      <w:r>
        <w:t xml:space="preserve">Partner prediction CSVs must be present under the </w:t>
      </w:r>
      <w:r>
        <w:rPr>
          <w:rFonts w:ascii="Consolas" w:hAnsi="Consolas"/>
          <w:sz w:val="18"/>
        </w:rPr>
        <w:t>OpDiv_Predictions</w:t>
      </w:r>
      <w:r>
        <w:t xml:space="preserve"> directory tree </w:t>
      </w:r>
      <w:r>
        <w:rPr>
          <w:b/>
        </w:rPr>
        <w:t>before</w:t>
      </w:r>
      <w:r>
        <w:t xml:space="preserve"> this process runs. These files are produced by the NOI forecasting pipeline (</w:t>
      </w:r>
      <w:r>
        <w:rPr>
          <w:rFonts w:ascii="Consolas" w:hAnsi="Consolas"/>
          <w:sz w:val="18"/>
        </w:rPr>
        <w:t>NextObservedIndicatorV3.0.ipynb</w:t>
      </w:r>
      <w:r>
        <w:t xml:space="preserve"> / its scheduled batch equivalent). See </w:t>
      </w:r>
      <w:r>
        <w:rPr>
          <w:rFonts w:ascii="Consolas" w:hAnsi="Consolas"/>
          <w:sz w:val="18"/>
        </w:rPr>
        <w:t>SOP_NextObservedIndicator_Forecasting.md</w:t>
      </w:r>
      <w:r>
        <w:t xml:space="preserve"> for details on that upstream process.</w:t>
      </w:r>
    </w:p>
    <w:p/>
    <w:p>
      <w:r>
        <w:t>Expected input file naming convention:</w:t>
      </w:r>
    </w:p>
    <w:p>
      <w:pPr>
        <w:pStyle w:val="NoSpacing"/>
      </w:pPr>
      <w:r>
        <w:rPr>
          <w:rFonts w:ascii="Consolas" w:hAnsi="Consolas"/>
          <w:sz w:val="18"/>
        </w:rPr>
        <w:t>Z:\HTOC\Data_Analytics\Data\OpDiv_Predictions\{PartnerName}\{YYYYMMDD}.csv</w:t>
      </w:r>
    </w:p>
    <w:p/>
    <w:p>
      <w:r>
        <w:t>-</w:t>
      </w:r>
    </w:p>
    <w:p/>
    <w:p>
      <w:pPr>
        <w:pStyle w:val="Heading2"/>
      </w:pPr>
      <w:r>
        <w:t>4. Key Configuration</w:t>
      </w:r>
    </w:p>
    <w:p/>
    <w:p>
      <w:r>
        <w:t xml:space="preserve">Both the notebook and </w:t>
      </w:r>
      <w:r>
        <w:rPr>
          <w:rFonts w:ascii="Consolas" w:hAnsi="Consolas"/>
          <w:sz w:val="18"/>
        </w:rPr>
        <w:t>main.py</w:t>
      </w:r>
      <w:r>
        <w:t xml:space="preserve"> share the same path constants:</w:t>
      </w:r>
    </w:p>
    <w:p>
      <w:pPr>
        <w:keepNext/>
      </w:pPr>
    </w:p>
    <w:tbl>
      <w:tblPr>
        <w:tblStyle w:val="TableGrid"/>
        <w:tblW w:type="auto" w:w="0"/>
        <w:tblLook w:firstColumn="1" w:firstRow="1" w:lastColumn="0" w:lastRow="0" w:noHBand="0" w:noVBand="1" w:val="04A0"/>
      </w:tblPr>
      <w:tblGrid>
        <w:gridCol w:w="4680"/>
        <w:gridCol w:w="4680"/>
      </w:tblGrid>
      <w:tr>
        <w:trPr>
          <w:cantSplit/>
          <w:tblHeader/>
        </w:trPr>
        <w:tc>
          <w:tcPr>
            <w:tcW w:type="dxa" w:w="4680"/>
          </w:tcPr>
          <w:p>
            <w:r>
              <w:t>Constant</w:t>
            </w:r>
          </w:p>
        </w:tc>
        <w:tc>
          <w:tcPr>
            <w:tcW w:type="dxa" w:w="4680"/>
          </w:tcPr>
          <w:p>
            <w:r>
              <w:t>Value</w:t>
            </w:r>
          </w:p>
        </w:tc>
      </w:tr>
      <w:tr>
        <w:trPr>
          <w:cantSplit/>
        </w:trPr>
        <w:tc>
          <w:tcPr>
            <w:tcW w:type="dxa" w:w="4680"/>
          </w:tcPr>
          <w:p>
            <w:r>
              <w:t>`DATA_PATH`</w:t>
            </w:r>
          </w:p>
        </w:tc>
        <w:tc>
          <w:tcPr>
            <w:tcW w:type="dxa" w:w="4680"/>
          </w:tcPr>
          <w:p>
            <w:r>
              <w:t>`Z:\HTOC\Data_Analytics\Data\OpDiv_Predictions`</w:t>
            </w:r>
          </w:p>
        </w:tc>
      </w:tr>
      <w:tr>
        <w:trPr>
          <w:cantSplit/>
        </w:trPr>
        <w:tc>
          <w:tcPr>
            <w:tcW w:type="dxa" w:w="4680"/>
          </w:tcPr>
          <w:p>
            <w:r>
              <w:t>`SAVE_PATH`</w:t>
            </w:r>
          </w:p>
        </w:tc>
        <w:tc>
          <w:tcPr>
            <w:tcW w:type="dxa" w:w="4680"/>
          </w:tcPr>
          <w:p>
            <w:r>
              <w:t>`Z:\HTOC\Data_Analytics\Data\OpDiv_Predictions\Full Daily Reports`</w:t>
            </w:r>
          </w:p>
        </w:tc>
      </w:tr>
      <w:tr>
        <w:trPr>
          <w:cantSplit/>
        </w:trPr>
        <w:tc>
          <w:tcPr>
            <w:tcW w:type="dxa" w:w="4680"/>
          </w:tcPr>
          <w:p>
            <w:r>
              <w:t>`EXCLUDE_FOLDERS`</w:t>
            </w:r>
          </w:p>
        </w:tc>
        <w:tc>
          <w:tcPr>
            <w:tcW w:type="dxa" w:w="4680"/>
          </w:tcPr>
          <w:p>
            <w:r>
              <w:t>`automation scripts`, `Logs`, `LogsBackup`, `Full Daily Reports`</w:t>
            </w:r>
          </w:p>
        </w:tc>
      </w:tr>
    </w:tbl>
    <w:p/>
    <w:p>
      <w:r>
        <w:t xml:space="preserve">The </w:t>
      </w:r>
      <w:r>
        <w:rPr>
          <w:rFonts w:ascii="Consolas" w:hAnsi="Consolas"/>
          <w:sz w:val="18"/>
        </w:rPr>
        <w:t>EXCLUDE_FOLDERS</w:t>
      </w:r>
      <w:r>
        <w:t xml:space="preserve"> set prevents the loader from reading its own output or log directories during the folder walk.</w:t>
      </w:r>
    </w:p>
    <w:p/>
    <w:p>
      <w:r>
        <w:t>-</w:t>
      </w:r>
    </w:p>
    <w:p/>
    <w:p>
      <w:pPr>
        <w:pStyle w:val="Heading2"/>
      </w:pPr>
      <w:r>
        <w:t>5. How the Process Works</w:t>
      </w:r>
    </w:p>
    <w:p/>
    <w:p>
      <w:pPr>
        <w:pStyle w:val="Heading3"/>
      </w:pPr>
      <w:r>
        <w:t>5.1 File Discovery</w:t>
      </w:r>
    </w:p>
    <w:p/>
    <w:p>
      <w:r>
        <w:t xml:space="preserve">The loader uses </w:t>
      </w:r>
      <w:r>
        <w:rPr>
          <w:rFonts w:ascii="Consolas" w:hAnsi="Consolas"/>
          <w:sz w:val="18"/>
        </w:rPr>
        <w:t>os.walk</w:t>
      </w:r>
      <w:r>
        <w:t xml:space="preserve"> to recursively traverse all subfolders under </w:t>
      </w:r>
      <w:r>
        <w:rPr>
          <w:rFonts w:ascii="Consolas" w:hAnsi="Consolas"/>
          <w:sz w:val="18"/>
        </w:rPr>
        <w:t>DATA_PATH</w:t>
      </w:r>
      <w:r>
        <w:t>. For each directory, it:</w:t>
      </w:r>
    </w:p>
    <w:p/>
    <w:p>
      <w:pPr/>
      <w:r>
        <w:t xml:space="preserve">Skips any path containing a folder name in </w:t>
      </w:r>
      <w:r>
        <w:rPr>
          <w:rFonts w:ascii="Consolas" w:hAnsi="Consolas"/>
          <w:sz w:val="18"/>
        </w:rPr>
        <w:t>EXCLUDE_FOLDERS</w:t>
      </w:r>
      <w:r>
        <w:t>.</w:t>
      </w:r>
    </w:p>
    <w:p>
      <w:pPr/>
      <w:r>
        <w:t xml:space="preserve">Treats the </w:t>
      </w:r>
      <w:r>
        <w:rPr>
          <w:b/>
        </w:rPr>
        <w:t>immediate folder name</w:t>
      </w:r>
      <w:r>
        <w:t xml:space="preserve"> as the </w:t>
      </w:r>
      <w:r>
        <w:rPr>
          <w:rFonts w:ascii="Consolas" w:hAnsi="Consolas"/>
          <w:sz w:val="18"/>
        </w:rPr>
        <w:t>Partner</w:t>
      </w:r>
      <w:r>
        <w:t xml:space="preserve"> value.</w:t>
      </w:r>
    </w:p>
    <w:p>
      <w:pPr/>
      <w:r>
        <w:t xml:space="preserve">Matches files whose names end with </w:t>
      </w:r>
      <w:r>
        <w:rPr>
          <w:rFonts w:ascii="Consolas" w:hAnsi="Consolas"/>
          <w:sz w:val="18"/>
        </w:rPr>
        <w:t>{YYYYMMDD}.csv</w:t>
      </w:r>
      <w:r>
        <w:t xml:space="preserve"> — in the automated path, only </w:t>
      </w:r>
      <w:r>
        <w:rPr>
          <w:b/>
        </w:rPr>
        <w:t>today's</w:t>
      </w:r>
      <w:r>
        <w:t xml:space="preserve"> date is matched.</w:t>
      </w:r>
    </w:p>
    <w:p/>
    <w:p>
      <w:pPr>
        <w:pStyle w:val="Heading3"/>
      </w:pPr>
      <w:r>
        <w:t>5.2 Consolidation</w:t>
      </w:r>
    </w:p>
    <w:p/>
    <w:p>
      <w:r>
        <w:t>For each matched file:</w:t>
      </w:r>
    </w:p>
    <w:p>
      <w:pPr/>
      <w:r>
        <w:t>The CSV is read into a DataFrame.</w:t>
      </w:r>
    </w:p>
    <w:p>
      <w:pPr/>
      <w:r>
        <w:t xml:space="preserve">Two columns are added: </w:t>
      </w:r>
      <w:r>
        <w:rPr>
          <w:rFonts w:ascii="Consolas" w:hAnsi="Consolas"/>
          <w:sz w:val="18"/>
        </w:rPr>
        <w:t>Partner</w:t>
      </w:r>
      <w:r>
        <w:t xml:space="preserve"> (from the folder name) and </w:t>
      </w:r>
      <w:r>
        <w:rPr>
          <w:rFonts w:ascii="Consolas" w:hAnsi="Consolas"/>
          <w:sz w:val="18"/>
        </w:rPr>
        <w:t>FileDate</w:t>
      </w:r>
      <w:r>
        <w:t xml:space="preserve"> (from the filename date string).</w:t>
      </w:r>
    </w:p>
    <w:p>
      <w:pPr/>
      <w:r>
        <w:t xml:space="preserve">All per-partner DataFrames are concatenated into a single </w:t>
      </w:r>
      <w:r>
        <w:rPr>
          <w:rFonts w:ascii="Consolas" w:hAnsi="Consolas"/>
          <w:sz w:val="18"/>
        </w:rPr>
        <w:t>daily_search</w:t>
      </w:r>
      <w:r>
        <w:t xml:space="preserve"> DataFrame.</w:t>
      </w:r>
    </w:p>
    <w:p/>
    <w:p>
      <w:r>
        <w:t xml:space="preserve">If no files are found, the process prints </w:t>
      </w:r>
      <w:r>
        <w:rPr>
          <w:rFonts w:ascii="Consolas" w:hAnsi="Consolas"/>
          <w:sz w:val="18"/>
        </w:rPr>
        <w:t>"No CSV files found for today."</w:t>
      </w:r>
      <w:r>
        <w:t xml:space="preserve"> and exits without writing an output file.</w:t>
      </w:r>
    </w:p>
    <w:p/>
    <w:p>
      <w:pPr>
        <w:pStyle w:val="Heading3"/>
      </w:pPr>
      <w:r>
        <w:t>5.3 Output</w:t>
      </w:r>
    </w:p>
    <w:p/>
    <w:p>
      <w:r>
        <w:t>The consolidated DataFrame is written to:</w:t>
      </w:r>
    </w:p>
    <w:p>
      <w:pPr>
        <w:pStyle w:val="NoSpacing"/>
      </w:pPr>
      <w:r>
        <w:rPr>
          <w:rFonts w:ascii="Consolas" w:hAnsi="Consolas"/>
          <w:sz w:val="18"/>
        </w:rPr>
        <w:t>Z:\HTOC\Data_Analytics\Data\OpDiv_Predictions\Full Daily Reports\full_daily_report_{YYYYMMDD}.csv</w:t>
      </w:r>
    </w:p>
    <w:p/>
    <w:p>
      <w:r>
        <w:t xml:space="preserve">The output file is </w:t>
      </w:r>
      <w:r>
        <w:rPr>
          <w:b/>
        </w:rPr>
        <w:t>never overwritten</w:t>
      </w:r>
      <w:r>
        <w:t xml:space="preserve"> — if it already exists for today's date, the process prints </w:t>
      </w:r>
      <w:r>
        <w:rPr>
          <w:rFonts w:ascii="Consolas" w:hAnsi="Consolas"/>
          <w:sz w:val="18"/>
        </w:rPr>
        <w:t>"File already exists: …"</w:t>
      </w:r>
      <w:r>
        <w:t xml:space="preserve"> and skips the write. This prevents duplicate runs from corrupting the report.</w:t>
      </w:r>
    </w:p>
    <w:p/>
    <w:p>
      <w:r>
        <w:t>-</w:t>
      </w:r>
    </w:p>
    <w:p/>
    <w:p>
      <w:pPr>
        <w:pStyle w:val="Heading2"/>
      </w:pPr>
      <w:r>
        <w:t>6. Automated Execution (main.py)</w:t>
      </w:r>
    </w:p>
    <w:p/>
    <w:p>
      <w:pPr>
        <w:pStyle w:val="Heading3"/>
      </w:pPr>
      <w:r>
        <w:t>6.1 Schedule</w:t>
      </w:r>
    </w:p>
    <w:p/>
    <w:p>
      <w:r>
        <w:rPr>
          <w:rFonts w:ascii="Consolas" w:hAnsi="Consolas"/>
          <w:sz w:val="18"/>
        </w:rPr>
        <w:t>main.py</w:t>
      </w:r>
      <w:r>
        <w:t xml:space="preserve"> runs automatically every day at </w:t>
      </w:r>
      <w:r>
        <w:rPr>
          <w:b/>
        </w:rPr>
        <w:t>8:15 AM</w:t>
      </w:r>
      <w:r>
        <w:t xml:space="preserve"> via </w:t>
      </w:r>
      <w:r>
        <w:rPr>
          <w:b/>
        </w:rPr>
        <w:t>Windows Task Scheduler</w:t>
      </w:r>
      <w:r>
        <w:t xml:space="preserve"> on </w:t>
      </w:r>
      <w:r>
        <w:rPr>
          <w:b/>
        </w:rPr>
        <w:t>F.R.E.D</w:t>
      </w:r>
      <w:r>
        <w:t xml:space="preserve">. It executes the </w:t>
      </w:r>
      <w:r>
        <w:rPr>
          <w:b/>
        </w:rPr>
        <w:t>today-only</w:t>
      </w:r>
      <w:r>
        <w:t xml:space="preserve"> consolidation flow: load today's partner CSVs → merge → save single consolidated report.</w:t>
      </w:r>
    </w:p>
    <w:p/>
    <w:p>
      <w:r>
        <w:t>Manual execution (Section 7) is only necessary when troubleshooting a failed scheduled run, backfilling historical dates, or testing changes to the notebook before deployment.</w:t>
      </w:r>
    </w:p>
    <w:p/>
    <w:p>
      <w:pPr>
        <w:pStyle w:val="Heading3"/>
      </w:pPr>
      <w:r>
        <w:t>6.2 Script Logic</w:t>
      </w:r>
    </w:p>
    <w:p/>
    <w:p>
      <w:pPr>
        <w:pStyle w:val="NoSpacing"/>
      </w:pPr>
      <w:r>
        <w:rPr>
          <w:rFonts w:ascii="Consolas" w:hAnsi="Consolas"/>
          <w:sz w:val="18"/>
        </w:rPr>
        <w:t>main()</w:t>
      </w:r>
    </w:p>
    <w:p>
      <w:pPr>
        <w:pStyle w:val="NoSpacing"/>
      </w:pPr>
      <w:r>
        <w:rPr>
          <w:rFonts w:ascii="Consolas" w:hAnsi="Consolas"/>
          <w:sz w:val="18"/>
        </w:rPr>
        <w:t xml:space="preserve">  ├── Compute today_str (YYYYMMDD)</w:t>
      </w:r>
    </w:p>
    <w:p>
      <w:pPr>
        <w:pStyle w:val="NoSpacing"/>
      </w:pPr>
      <w:r>
        <w:rPr>
          <w:rFonts w:ascii="Consolas" w:hAnsi="Consolas"/>
          <w:sz w:val="18"/>
        </w:rPr>
        <w:t xml:space="preserve">  ├── load_all_csvs_from_folders(DATA_PATH, today_only=True)</w:t>
      </w:r>
    </w:p>
    <w:p>
      <w:pPr>
        <w:pStyle w:val="NoSpacing"/>
      </w:pPr>
      <w:r>
        <w:rPr>
          <w:rFonts w:ascii="Consolas" w:hAnsi="Consolas"/>
          <w:sz w:val="18"/>
        </w:rPr>
        <w:t xml:space="preserve">  │     ├── Walk DATA_PATH, skip EXCLUDE_FOLDERS</w:t>
      </w:r>
    </w:p>
    <w:p>
      <w:pPr>
        <w:pStyle w:val="NoSpacing"/>
      </w:pPr>
      <w:r>
        <w:rPr>
          <w:rFonts w:ascii="Consolas" w:hAnsi="Consolas"/>
          <w:sz w:val="18"/>
        </w:rPr>
        <w:t xml:space="preserve">  │     ├── Match files: {today_str}.csv only</w:t>
      </w:r>
    </w:p>
    <w:p>
      <w:pPr>
        <w:pStyle w:val="NoSpacing"/>
      </w:pPr>
      <w:r>
        <w:rPr>
          <w:rFonts w:ascii="Consolas" w:hAnsi="Consolas"/>
          <w:sz w:val="18"/>
        </w:rPr>
        <w:t xml:space="preserve">  │     ├── Add Partner and FileDate columns</w:t>
      </w:r>
    </w:p>
    <w:p>
      <w:pPr>
        <w:pStyle w:val="NoSpacing"/>
      </w:pPr>
      <w:r>
        <w:rPr>
          <w:rFonts w:ascii="Consolas" w:hAnsi="Consolas"/>
          <w:sz w:val="18"/>
        </w:rPr>
        <w:t xml:space="preserve">  │     └── Return concatenated DataFrame (or empty if none found)</w:t>
      </w:r>
    </w:p>
    <w:p>
      <w:pPr>
        <w:pStyle w:val="NoSpacing"/>
      </w:pPr>
      <w:r>
        <w:rPr>
          <w:rFonts w:ascii="Consolas" w:hAnsi="Consolas"/>
          <w:sz w:val="18"/>
        </w:rPr>
        <w:t xml:space="preserve">  └── If DataFrame is non-empty:</w:t>
      </w:r>
    </w:p>
    <w:p>
      <w:pPr>
        <w:pStyle w:val="NoSpacing"/>
      </w:pPr>
      <w:r>
        <w:rPr>
          <w:rFonts w:ascii="Consolas" w:hAnsi="Consolas"/>
          <w:sz w:val="18"/>
        </w:rPr>
        <w:t xml:space="preserve">        └── save_daily_report(df, SAVE_PATH, today_str)</w:t>
      </w:r>
    </w:p>
    <w:p>
      <w:pPr>
        <w:pStyle w:val="NoSpacing"/>
      </w:pPr>
      <w:r>
        <w:rPr>
          <w:rFonts w:ascii="Consolas" w:hAnsi="Consolas"/>
          <w:sz w:val="18"/>
        </w:rPr>
        <w:t xml:space="preserve">              ├── Build output path: full_daily_report_{today_str}.csv</w:t>
      </w:r>
    </w:p>
    <w:p>
      <w:pPr>
        <w:pStyle w:val="NoSpacing"/>
      </w:pPr>
      <w:r>
        <w:rPr>
          <w:rFonts w:ascii="Consolas" w:hAnsi="Consolas"/>
          <w:sz w:val="18"/>
        </w:rPr>
        <w:t xml:space="preserve">              ├── If file exists → print and skip</w:t>
      </w:r>
    </w:p>
    <w:p>
      <w:pPr>
        <w:pStyle w:val="NoSpacing"/>
      </w:pPr>
      <w:r>
        <w:rPr>
          <w:rFonts w:ascii="Consolas" w:hAnsi="Consolas"/>
          <w:sz w:val="18"/>
        </w:rPr>
        <w:t xml:space="preserve">              └── Else → makedirs + to_csv + print path</w:t>
      </w:r>
    </w:p>
    <w:p/>
    <w:p>
      <w:pPr>
        <w:pStyle w:val="Heading3"/>
      </w:pPr>
      <w:r>
        <w:t>6.3 Verifying a Successful Automated Run</w:t>
      </w:r>
    </w:p>
    <w:p/>
    <w:p>
      <w:r>
        <w:t>Confirm the run succeeded by checking that:</w:t>
      </w:r>
    </w:p>
    <w:p>
      <w:pPr/>
      <w:r>
        <w:t xml:space="preserve">The file </w:t>
      </w:r>
      <w:r>
        <w:rPr>
          <w:rFonts w:ascii="Consolas" w:hAnsi="Consolas"/>
          <w:sz w:val="18"/>
        </w:rPr>
        <w:t>full_daily_report_{YYYYMMDD}.csv</w:t>
      </w:r>
      <w:r>
        <w:t xml:space="preserve"> exists in </w:t>
      </w:r>
      <w:r>
        <w:rPr>
          <w:rFonts w:ascii="Consolas" w:hAnsi="Consolas"/>
          <w:sz w:val="18"/>
        </w:rPr>
        <w:t>Full Daily Reports</w:t>
      </w:r>
      <w:r>
        <w:t xml:space="preserve"> for today's date.</w:t>
      </w:r>
    </w:p>
    <w:p>
      <w:pPr/>
      <w:r>
        <w:t xml:space="preserve">The file is non-empty and contains the expected </w:t>
      </w:r>
      <w:r>
        <w:rPr>
          <w:rFonts w:ascii="Consolas" w:hAnsi="Consolas"/>
          <w:sz w:val="18"/>
        </w:rPr>
        <w:t>Partner</w:t>
      </w:r>
      <w:r>
        <w:t xml:space="preserve"> and </w:t>
      </w:r>
      <w:r>
        <w:rPr>
          <w:rFonts w:ascii="Consolas" w:hAnsi="Consolas"/>
          <w:sz w:val="18"/>
        </w:rPr>
        <w:t>FileDate</w:t>
      </w:r>
      <w:r>
        <w:t xml:space="preserve"> columns.</w:t>
      </w:r>
    </w:p>
    <w:p/>
    <w:p>
      <w:r>
        <w:t>-</w:t>
      </w:r>
    </w:p>
    <w:p/>
    <w:p>
      <w:pPr>
        <w:pStyle w:val="Heading2"/>
      </w:pPr>
      <w:r>
        <w:t>7. Manual / Interactive Execution (Notebook)</w:t>
      </w:r>
    </w:p>
    <w:p/>
    <w:p>
      <w:r>
        <w:t xml:space="preserve">Use </w:t>
      </w:r>
      <w:r>
        <w:rPr>
          <w:rFonts w:ascii="Consolas" w:hAnsi="Consolas"/>
          <w:sz w:val="18"/>
        </w:rPr>
        <w:t>daily_reports.ipynb</w:t>
      </w:r>
      <w:r>
        <w:t xml:space="preserve"> when you need to run the consolidation manually, troubleshoot a failed automated run, or backfill reports for historical dates.</w:t>
      </w:r>
    </w:p>
    <w:p/>
    <w:p>
      <w:pPr>
        <w:pStyle w:val="Heading3"/>
      </w:pPr>
      <w:r>
        <w:t>7.1 Open the Notebook</w:t>
      </w:r>
    </w:p>
    <w:p/>
    <w:p>
      <w:pPr/>
      <w:r>
        <w:t xml:space="preserve">Open </w:t>
      </w:r>
      <w:r>
        <w:rPr>
          <w:b/>
        </w:rPr>
        <w:t>Cursor</w:t>
      </w:r>
      <w:r>
        <w:t xml:space="preserve"> (or VS Code / JupyterLab).</w:t>
      </w:r>
    </w:p>
    <w:p>
      <w:pPr/>
      <w:r>
        <w:t xml:space="preserve">Navigate to </w:t>
      </w:r>
      <w:r>
        <w:rPr>
          <w:rFonts w:ascii="Consolas" w:hAnsi="Consolas"/>
          <w:b/>
          <w:color w:val="003366"/>
          <w:sz w:val="18"/>
          <w:u w:val="single"/>
        </w:rPr>
        <w:t>H:\HTOC\notebooks\observationEventForecasting\</w:t>
      </w:r>
      <w:r>
        <w:t>.</w:t>
      </w:r>
    </w:p>
    <w:p>
      <w:pPr/>
      <w:r>
        <w:t xml:space="preserve">Open </w:t>
      </w:r>
      <w:r>
        <w:rPr>
          <w:rFonts w:ascii="Consolas" w:hAnsi="Consolas"/>
          <w:sz w:val="18"/>
        </w:rPr>
        <w:t>daily_reports.ipynb</w:t>
      </w:r>
      <w:r>
        <w:t>.</w:t>
      </w:r>
    </w:p>
    <w:p/>
    <w:p>
      <w:pPr>
        <w:pStyle w:val="Heading3"/>
      </w:pPr>
      <w:r>
        <w:t>7.2 Verify Prerequisites</w:t>
      </w:r>
    </w:p>
    <w:p/>
    <w:p>
      <w:pPr/>
      <w:r>
        <w:t xml:space="preserve">[ ] </w:t>
      </w:r>
      <w:r>
        <w:rPr>
          <w:rFonts w:ascii="Consolas" w:hAnsi="Consolas"/>
          <w:b/>
          <w:color w:val="003366"/>
          <w:sz w:val="18"/>
          <w:u w:val="single"/>
        </w:rPr>
        <w:t>Z:\HTOC\Data_Analytics\</w:t>
      </w:r>
      <w:r>
        <w:t xml:space="preserve"> is accessible and mapped.</w:t>
      </w:r>
    </w:p>
    <w:p>
      <w:pPr/>
      <w:r>
        <w:t xml:space="preserve">[ ] Partner prediction CSVs for the target date exist under </w:t>
      </w:r>
      <w:r>
        <w:rPr>
          <w:rFonts w:ascii="Consolas" w:hAnsi="Consolas"/>
          <w:b/>
          <w:color w:val="003366"/>
          <w:sz w:val="18"/>
          <w:u w:val="single"/>
        </w:rPr>
        <w:t>Z:\HTOC\Data_Analytics\Data\OpDiv_Predictions\</w:t>
      </w:r>
      <w:r>
        <w:t>.</w:t>
      </w:r>
    </w:p>
    <w:p/>
    <w:p>
      <w:pPr>
        <w:pStyle w:val="Heading3"/>
      </w:pPr>
      <w:r>
        <w:t>7.3 Standard Run — Today's Report</w:t>
      </w:r>
    </w:p>
    <w:p/>
    <w:p>
      <w:r>
        <w:t xml:space="preserve">Run </w:t>
      </w:r>
      <w:r>
        <w:rPr>
          <w:b/>
        </w:rPr>
        <w:t>Cell 0</w:t>
      </w:r>
      <w:r>
        <w:t xml:space="preserve"> and </w:t>
      </w:r>
      <w:r>
        <w:rPr>
          <w:b/>
        </w:rPr>
        <w:t>Cell 1</w:t>
      </w:r>
      <w:r>
        <w:t xml:space="preserve"> in order:</w:t>
      </w:r>
    </w:p>
    <w:p/>
    <w:p>
      <w:pPr/>
      <w:r>
        <w:rPr>
          <w:b/>
        </w:rPr>
        <w:t>Cell 0</w:t>
      </w:r>
      <w:r>
        <w:t xml:space="preserve"> loads today's partner CSVs and displays the consolidated </w:t>
      </w:r>
      <w:r>
        <w:rPr>
          <w:rFonts w:ascii="Consolas" w:hAnsi="Consolas"/>
          <w:sz w:val="18"/>
        </w:rPr>
        <w:t>daily_search</w:t>
      </w:r>
      <w:r>
        <w:t xml:space="preserve"> DataFrame.</w:t>
      </w:r>
    </w:p>
    <w:p>
      <w:pPr/>
      <w:r>
        <w:rPr>
          <w:b/>
        </w:rPr>
        <w:t>Cell 1</w:t>
      </w:r>
      <w:r>
        <w:t xml:space="preserve"> saves </w:t>
      </w:r>
      <w:r>
        <w:rPr>
          <w:rFonts w:ascii="Consolas" w:hAnsi="Consolas"/>
          <w:sz w:val="18"/>
        </w:rPr>
        <w:t>full_daily_report_{today_str}.csv</w:t>
      </w:r>
      <w:r>
        <w:t xml:space="preserve"> to the </w:t>
      </w:r>
      <w:r>
        <w:rPr>
          <w:rFonts w:ascii="Consolas" w:hAnsi="Consolas"/>
          <w:sz w:val="18"/>
        </w:rPr>
        <w:t>Full Daily Reports</w:t>
      </w:r>
      <w:r>
        <w:t xml:space="preserve"> folder (skips if already exists).</w:t>
      </w:r>
    </w:p>
    <w:p/>
    <w:p>
      <w:r>
        <w:rPr>
          <w:b/>
        </w:rPr>
        <w:t>Verify:</w:t>
      </w:r>
      <w:r>
        <w:t xml:space="preserve"> After Cell 0, </w:t>
      </w:r>
      <w:r>
        <w:rPr>
          <w:rFonts w:ascii="Consolas" w:hAnsi="Consolas"/>
          <w:sz w:val="18"/>
        </w:rPr>
        <w:t>daily_search</w:t>
      </w:r>
      <w:r>
        <w:t xml:space="preserve"> should be non-empty and display rows from multiple partners. After Cell 1, confirm the output path is printed.</w:t>
      </w:r>
    </w:p>
    <w:p/>
    <w:p>
      <w:pPr>
        <w:pStyle w:val="Heading3"/>
      </w:pPr>
      <w:r>
        <w:t>7.4 Backfill Run — All Historical Dates</w:t>
      </w:r>
    </w:p>
    <w:p/>
    <w:p>
      <w:r>
        <w:t xml:space="preserve">&gt; </w:t>
      </w:r>
      <w:r>
        <w:rPr>
          <w:b/>
        </w:rPr>
        <w:t>Note:</w:t>
      </w:r>
      <w:r>
        <w:t xml:space="preserve"> Cells 2 and 3 contain valid Python code but are currently stored as </w:t>
      </w:r>
      <w:r>
        <w:rPr>
          <w:b/>
        </w:rPr>
        <w:t>markdown cells</w:t>
      </w:r>
      <w:r>
        <w:t xml:space="preserve"> in the notebook. To use them, convert each to a code cell first (</w:t>
      </w:r>
      <w:r>
        <w:rPr>
          <w:rFonts w:ascii="Consolas" w:hAnsi="Consolas"/>
          <w:sz w:val="18"/>
        </w:rPr>
        <w:t>Cell</w:t>
      </w:r>
      <w:r>
        <w:t xml:space="preserve"> → </w:t>
      </w:r>
      <w:r>
        <w:rPr>
          <w:rFonts w:ascii="Consolas" w:hAnsi="Consolas"/>
          <w:sz w:val="18"/>
        </w:rPr>
        <w:t>Cell Type</w:t>
      </w:r>
      <w:r>
        <w:t xml:space="preserve"> → </w:t>
      </w:r>
      <w:r>
        <w:rPr>
          <w:rFonts w:ascii="Consolas" w:hAnsi="Consolas"/>
          <w:sz w:val="18"/>
        </w:rPr>
        <w:t>Code</w:t>
      </w:r>
      <w:r>
        <w:t xml:space="preserve"> in JupyterLab, or click the cell type selector in VS Code).</w:t>
      </w:r>
    </w:p>
    <w:p/>
    <w:p>
      <w:pPr/>
      <w:r>
        <w:rPr>
          <w:b/>
        </w:rPr>
        <w:t>Cell 2</w:t>
      </w:r>
      <w:r>
        <w:t xml:space="preserve"> redefines </w:t>
      </w:r>
      <w:r>
        <w:rPr>
          <w:rFonts w:ascii="Consolas" w:hAnsi="Consolas"/>
          <w:sz w:val="18"/>
        </w:rPr>
        <w:t>load_all_csvs_from_folders</w:t>
      </w:r>
      <w:r>
        <w:t xml:space="preserve"> to match </w:t>
      </w:r>
      <w:r>
        <w:rPr>
          <w:b/>
        </w:rPr>
        <w:t>all</w:t>
      </w:r>
      <w:r>
        <w:t xml:space="preserve"> dated CSVs (not just today's) and reloads </w:t>
      </w:r>
      <w:r>
        <w:rPr>
          <w:rFonts w:ascii="Consolas" w:hAnsi="Consolas"/>
          <w:sz w:val="18"/>
        </w:rPr>
        <w:t>daily_search</w:t>
      </w:r>
      <w:r>
        <w:t xml:space="preserve"> with the full history.</w:t>
      </w:r>
    </w:p>
    <w:p>
      <w:pPr/>
      <w:r>
        <w:rPr>
          <w:b/>
        </w:rPr>
        <w:t>Cell 3</w:t>
      </w:r>
      <w:r>
        <w:t xml:space="preserve"> loops over each unique </w:t>
      </w:r>
      <w:r>
        <w:rPr>
          <w:rFonts w:ascii="Consolas" w:hAnsi="Consolas"/>
          <w:sz w:val="18"/>
        </w:rPr>
        <w:t>FileDate</w:t>
      </w:r>
      <w:r>
        <w:t xml:space="preserve"> in </w:t>
      </w:r>
      <w:r>
        <w:rPr>
          <w:rFonts w:ascii="Consolas" w:hAnsi="Consolas"/>
          <w:sz w:val="18"/>
        </w:rPr>
        <w:t>daily_search</w:t>
      </w:r>
      <w:r>
        <w:t xml:space="preserve"> and writes a separate </w:t>
      </w:r>
      <w:r>
        <w:rPr>
          <w:rFonts w:ascii="Consolas" w:hAnsi="Consolas"/>
          <w:sz w:val="18"/>
        </w:rPr>
        <w:t>full_daily_report_{FileDate}.csv</w:t>
      </w:r>
      <w:r>
        <w:t xml:space="preserve"> for each date.</w:t>
      </w:r>
    </w:p>
    <w:p/>
    <w:p>
      <w:r>
        <w:t xml:space="preserve">Use this path when catching up after missed days or rebuilding the </w:t>
      </w:r>
      <w:r>
        <w:rPr>
          <w:rFonts w:ascii="Consolas" w:hAnsi="Consolas"/>
          <w:sz w:val="18"/>
        </w:rPr>
        <w:t>Full Daily Reports</w:t>
      </w:r>
      <w:r>
        <w:t xml:space="preserve"> archive.</w:t>
      </w:r>
    </w:p>
    <w:p/>
    <w:p>
      <w:r>
        <w:t>-</w:t>
      </w:r>
    </w:p>
    <w:p/>
    <w:p>
      <w:pPr>
        <w:pStyle w:val="Heading2"/>
      </w:pPr>
      <w:r>
        <w:t>8. Output File</w:t>
      </w:r>
    </w:p>
    <w:p>
      <w:pPr>
        <w:keepNext/>
      </w:pPr>
    </w:p>
    <w:tbl>
      <w:tblPr>
        <w:tblStyle w:val="TableGrid"/>
        <w:tblW w:type="auto" w:w="0"/>
        <w:tblLook w:firstColumn="1" w:firstRow="1" w:lastColumn="0" w:lastRow="0" w:noHBand="0" w:noVBand="1" w:val="04A0"/>
      </w:tblPr>
      <w:tblGrid>
        <w:gridCol w:w="4680"/>
        <w:gridCol w:w="4680"/>
      </w:tblGrid>
      <w:tr>
        <w:trPr>
          <w:cantSplit/>
          <w:tblHeader/>
        </w:trPr>
        <w:tc>
          <w:tcPr>
            <w:tcW w:type="dxa" w:w="4680"/>
          </w:tcPr>
          <w:p>
            <w:r>
              <w:t>Detail</w:t>
            </w:r>
          </w:p>
        </w:tc>
        <w:tc>
          <w:tcPr>
            <w:tcW w:type="dxa" w:w="4680"/>
          </w:tcPr>
          <w:p>
            <w:r>
              <w:t>Value</w:t>
            </w:r>
          </w:p>
        </w:tc>
      </w:tr>
      <w:tr>
        <w:trPr>
          <w:cantSplit/>
        </w:trPr>
        <w:tc>
          <w:tcPr>
            <w:tcW w:type="dxa" w:w="4680"/>
          </w:tcPr>
          <w:p>
            <w:r>
              <w:t>Location</w:t>
            </w:r>
          </w:p>
        </w:tc>
        <w:tc>
          <w:tcPr>
            <w:tcW w:type="dxa" w:w="4680"/>
          </w:tcPr>
          <w:p>
            <w:r>
              <w:t>`Z:\HTOC\Data_Analytics\Data\OpDiv_Predictions\Full Daily Reports\`</w:t>
            </w:r>
          </w:p>
        </w:tc>
      </w:tr>
      <w:tr>
        <w:trPr>
          <w:cantSplit/>
        </w:trPr>
        <w:tc>
          <w:tcPr>
            <w:tcW w:type="dxa" w:w="4680"/>
          </w:tcPr>
          <w:p>
            <w:r>
              <w:t>Filename</w:t>
            </w:r>
          </w:p>
        </w:tc>
        <w:tc>
          <w:tcPr>
            <w:tcW w:type="dxa" w:w="4680"/>
          </w:tcPr>
          <w:p>
            <w:r>
              <w:t>`full_daily_report_{YYYYMMDD}.csv`</w:t>
            </w:r>
          </w:p>
        </w:tc>
      </w:tr>
      <w:tr>
        <w:trPr>
          <w:cantSplit/>
        </w:trPr>
        <w:tc>
          <w:tcPr>
            <w:tcW w:type="dxa" w:w="4680"/>
          </w:tcPr>
          <w:p>
            <w:r>
              <w:t>Overwrite behavior</w:t>
            </w:r>
          </w:p>
        </w:tc>
        <w:tc>
          <w:tcPr>
            <w:tcW w:type="dxa" w:w="4680"/>
          </w:tcPr>
          <w:p>
            <w:r>
              <w:t>Never overwritten — skipped if already exists</w:t>
            </w:r>
          </w:p>
        </w:tc>
      </w:tr>
      <w:tr>
        <w:trPr>
          <w:cantSplit/>
        </w:trPr>
        <w:tc>
          <w:tcPr>
            <w:tcW w:type="dxa" w:w="4680"/>
          </w:tcPr>
          <w:p>
            <w:r>
              <w:t>Key added columns</w:t>
            </w:r>
          </w:p>
        </w:tc>
        <w:tc>
          <w:tcPr>
            <w:tcW w:type="dxa" w:w="4680"/>
          </w:tcPr>
          <w:p>
            <w:r>
              <w:t>`Partner` (source folder name), `FileDate` (from filename)</w:t>
            </w:r>
          </w:p>
        </w:tc>
      </w:tr>
    </w:tbl>
    <w:p/>
    <w:p>
      <w:r>
        <w:t xml:space="preserve">The output file contains all prediction columns from the upstream NOI forecasting output, with </w:t>
      </w:r>
      <w:r>
        <w:rPr>
          <w:rFonts w:ascii="Consolas" w:hAnsi="Consolas"/>
          <w:sz w:val="18"/>
        </w:rPr>
        <w:t>Partner</w:t>
      </w:r>
      <w:r>
        <w:t xml:space="preserve"> and </w:t>
      </w:r>
      <w:r>
        <w:rPr>
          <w:rFonts w:ascii="Consolas" w:hAnsi="Consolas"/>
          <w:sz w:val="18"/>
        </w:rPr>
        <w:t>FileDate</w:t>
      </w:r>
      <w:r>
        <w:t xml:space="preserve"> appended for traceability.</w:t>
      </w:r>
    </w:p>
    <w:p/>
    <w:p>
      <w:r>
        <w:t>-</w:t>
      </w:r>
    </w:p>
    <w:p/>
    <w:p>
      <w:pPr>
        <w:pStyle w:val="Heading2"/>
      </w:pPr>
      <w:r>
        <w:t>9. Troubleshooting</w:t>
      </w:r>
    </w:p>
    <w:p>
      <w:pPr>
        <w:keepNext/>
      </w:pPr>
    </w:p>
    <w:tbl>
      <w:tblPr>
        <w:tblStyle w:val="TableGrid"/>
        <w:tblW w:type="auto" w:w="0"/>
        <w:tblLook w:firstColumn="1" w:firstRow="1" w:lastColumn="0" w:lastRow="0" w:noHBand="0" w:noVBand="1" w:val="04A0"/>
      </w:tblPr>
      <w:tblGrid>
        <w:gridCol w:w="3120"/>
        <w:gridCol w:w="3120"/>
        <w:gridCol w:w="3120"/>
      </w:tblGrid>
      <w:tr>
        <w:trPr>
          <w:cantSplit/>
          <w:tblHeader/>
        </w:trPr>
        <w:tc>
          <w:tcPr>
            <w:tcW w:type="dxa" w:w="3120"/>
          </w:tcPr>
          <w:p>
            <w:r>
              <w:t>Symptom</w:t>
            </w:r>
          </w:p>
        </w:tc>
        <w:tc>
          <w:tcPr>
            <w:tcW w:type="dxa" w:w="3120"/>
          </w:tcPr>
          <w:p>
            <w:r>
              <w:t>Likely Cause</w:t>
            </w:r>
          </w:p>
        </w:tc>
        <w:tc>
          <w:tcPr>
            <w:tcW w:type="dxa" w:w="3120"/>
          </w:tcPr>
          <w:p>
            <w:r>
              <w:t>Resolution</w:t>
            </w:r>
          </w:p>
        </w:tc>
      </w:tr>
      <w:tr>
        <w:trPr>
          <w:cantSplit/>
        </w:trPr>
        <w:tc>
          <w:tcPr>
            <w:tcW w:type="dxa" w:w="3120"/>
          </w:tcPr>
          <w:p>
            <w:r>
              <w:t>`"No CSV files found for today."`</w:t>
            </w:r>
          </w:p>
        </w:tc>
        <w:tc>
          <w:tcPr>
            <w:tcW w:type="dxa" w:w="3120"/>
          </w:tcPr>
          <w:p>
            <w:r>
              <w:t>Partner prediction CSVs not yet written for today</w:t>
            </w:r>
          </w:p>
        </w:tc>
        <w:tc>
          <w:tcPr>
            <w:tcW w:type="dxa" w:w="3120"/>
          </w:tcPr>
          <w:p>
            <w:r>
              <w:t>Verify the NOI forecasting pipeline ran successfully; check `Z:\HTOC\Data_Analytics\Data\OpDiv_Predictions\` for today's files</w:t>
            </w:r>
          </w:p>
        </w:tc>
      </w:tr>
      <w:tr>
        <w:trPr>
          <w:cantSplit/>
        </w:trPr>
        <w:tc>
          <w:tcPr>
            <w:tcW w:type="dxa" w:w="3120"/>
          </w:tcPr>
          <w:p>
            <w:r>
              <w:t>`"File already exists: …"`</w:t>
            </w:r>
          </w:p>
        </w:tc>
        <w:tc>
          <w:tcPr>
            <w:tcW w:type="dxa" w:w="3120"/>
          </w:tcPr>
          <w:p>
            <w:r>
              <w:t>Automated run already completed successfully</w:t>
            </w:r>
          </w:p>
        </w:tc>
        <w:tc>
          <w:tcPr>
            <w:tcW w:type="dxa" w:w="3120"/>
          </w:tcPr>
          <w:p>
            <w:r>
              <w:t>No action needed; this is the expected idempotency guard</w:t>
            </w:r>
          </w:p>
        </w:tc>
      </w:tr>
      <w:tr>
        <w:trPr>
          <w:cantSplit/>
        </w:trPr>
        <w:tc>
          <w:tcPr>
            <w:tcW w:type="dxa" w:w="3120"/>
          </w:tcPr>
          <w:p>
            <w:r>
              <w:t>`"No data to save."`</w:t>
            </w:r>
          </w:p>
        </w:tc>
        <w:tc>
          <w:tcPr>
            <w:tcW w:type="dxa" w:w="3120"/>
          </w:tcPr>
          <w:p>
            <w:r>
              <w:t>`daily_search` is empty after loading</w:t>
            </w:r>
          </w:p>
        </w:tc>
        <w:tc>
          <w:tcPr>
            <w:tcW w:type="dxa" w:w="3120"/>
          </w:tcPr>
          <w:p>
            <w:r>
              <w:t>Same as above — check upstream prediction files</w:t>
            </w:r>
          </w:p>
        </w:tc>
      </w:tr>
      <w:tr>
        <w:trPr>
          <w:cantSplit/>
        </w:trPr>
        <w:tc>
          <w:tcPr>
            <w:tcW w:type="dxa" w:w="3120"/>
          </w:tcPr>
          <w:p>
            <w:r>
              <w:t>Output file is missing partners</w:t>
            </w:r>
          </w:p>
        </w:tc>
        <w:tc>
          <w:tcPr>
            <w:tcW w:type="dxa" w:w="3120"/>
          </w:tcPr>
          <w:p>
            <w:r>
              <w:t>One or more partner subfolders had no matching file</w:t>
            </w:r>
          </w:p>
        </w:tc>
        <w:tc>
          <w:tcPr>
            <w:tcW w:type="dxa" w:w="3120"/>
          </w:tcPr>
          <w:p>
            <w:r>
              <w:t>Check the partner's subfolder for a `{YYYYMMDD}.csv` file; the loader skips unreadable files but prints a skip message</w:t>
            </w:r>
          </w:p>
        </w:tc>
      </w:tr>
      <w:tr>
        <w:trPr>
          <w:cantSplit/>
        </w:trPr>
        <w:tc>
          <w:tcPr>
            <w:tcW w:type="dxa" w:w="3120"/>
          </w:tcPr>
          <w:p>
            <w:r>
              <w:t>`Skipping {path}: …` printed</w:t>
            </w:r>
          </w:p>
        </w:tc>
        <w:tc>
          <w:tcPr>
            <w:tcW w:type="dxa" w:w="3120"/>
          </w:tcPr>
          <w:p>
            <w:r>
              <w:t>A CSV file could not be read (encoding, permissions, corruption)</w:t>
            </w:r>
          </w:p>
        </w:tc>
        <w:tc>
          <w:tcPr>
            <w:tcW w:type="dxa" w:w="3120"/>
          </w:tcPr>
          <w:p>
            <w:r>
              <w:t>Inspect the file at the printed path; re-run after fixing or removing the corrupt file</w:t>
            </w:r>
          </w:p>
        </w:tc>
      </w:tr>
      <w:tr>
        <w:trPr>
          <w:cantSplit/>
        </w:trPr>
        <w:tc>
          <w:tcPr>
            <w:tcW w:type="dxa" w:w="3120"/>
          </w:tcPr>
          <w:p>
            <w:r>
              <w:t>Backfill cells (2 &amp; 3) don't execute</w:t>
            </w:r>
          </w:p>
        </w:tc>
        <w:tc>
          <w:tcPr>
            <w:tcW w:type="dxa" w:w="3120"/>
          </w:tcPr>
          <w:p>
            <w:r>
              <w:t>Cells are stored as markdown type</w:t>
            </w:r>
          </w:p>
        </w:tc>
        <w:tc>
          <w:tcPr>
            <w:tcW w:type="dxa" w:w="3120"/>
          </w:tcPr>
          <w:p>
            <w:r>
              <w:t>Convert cells 2 and 3 to code cells before running</w:t>
            </w:r>
          </w:p>
        </w:tc>
      </w:tr>
      <w:tr>
        <w:trPr>
          <w:cantSplit/>
        </w:trPr>
        <w:tc>
          <w:tcPr>
            <w:tcW w:type="dxa" w:w="3120"/>
          </w:tcPr>
          <w:p>
            <w:r>
              <w:t>`Z:\` path not found</w:t>
            </w:r>
          </w:p>
        </w:tc>
        <w:tc>
          <w:tcPr>
            <w:tcW w:type="dxa" w:w="3120"/>
          </w:tcPr>
          <w:p>
            <w:r>
              <w:t>Network drive not mapped</w:t>
            </w:r>
          </w:p>
        </w:tc>
        <w:tc>
          <w:tcPr>
            <w:tcW w:type="dxa" w:w="3120"/>
          </w:tcPr>
          <w:p>
            <w:r>
              <w:t>Map the `Z:\` drive to `\\cscso1fsappv01\...` and re-run</w:t>
            </w:r>
          </w:p>
        </w:tc>
      </w:tr>
    </w:tbl>
    <w:p/>
    <w:p>
      <w:r>
        <w:t>-</w:t>
      </w:r>
    </w:p>
    <w:p/>
    <w:p>
      <w:pPr>
        <w:pStyle w:val="Heading2"/>
      </w:pPr>
      <w:r>
        <w:t>10. Relationship to Other Processes</w:t>
      </w:r>
    </w:p>
    <w:p/>
    <w:p>
      <w:r>
        <w:t xml:space="preserve">This process sits </w:t>
      </w:r>
      <w:r>
        <w:rPr>
          <w:b/>
        </w:rPr>
        <w:t>downstream</w:t>
      </w:r>
      <w:r>
        <w:t xml:space="preserve"> of the NOI forecasting pipeline and </w:t>
      </w:r>
      <w:r>
        <w:rPr>
          <w:b/>
        </w:rPr>
        <w:t>upstream</w:t>
      </w:r>
      <w:r>
        <w:t xml:space="preserve"> of any reporting or distribution that consumes the consolidated daily file.</w:t>
      </w:r>
    </w:p>
    <w:p>
      <w:pPr>
        <w:keepNext/>
      </w:pPr>
    </w:p>
    <w:tbl>
      <w:tblPr>
        <w:tblStyle w:val="TableGrid"/>
        <w:tblW w:type="auto" w:w="0"/>
        <w:tblLook w:firstColumn="1" w:firstRow="1" w:lastColumn="0" w:lastRow="0" w:noHBand="0" w:noVBand="1" w:val="04A0"/>
      </w:tblPr>
      <w:tblGrid>
        <w:gridCol w:w="3120"/>
        <w:gridCol w:w="3120"/>
        <w:gridCol w:w="3120"/>
      </w:tblGrid>
      <w:tr>
        <w:trPr>
          <w:cantSplit/>
          <w:tblHeader/>
        </w:trPr>
        <w:tc>
          <w:tcPr>
            <w:tcW w:type="dxa" w:w="3120"/>
          </w:tcPr>
          <w:p>
            <w:r>
              <w:t>Step</w:t>
            </w:r>
          </w:p>
        </w:tc>
        <w:tc>
          <w:tcPr>
            <w:tcW w:type="dxa" w:w="3120"/>
          </w:tcPr>
          <w:p>
            <w:r>
              <w:t>Process</w:t>
            </w:r>
          </w:p>
        </w:tc>
        <w:tc>
          <w:tcPr>
            <w:tcW w:type="dxa" w:w="3120"/>
          </w:tcPr>
          <w:p>
            <w:r>
              <w:t>Output</w:t>
            </w:r>
          </w:p>
        </w:tc>
      </w:tr>
      <w:tr>
        <w:trPr>
          <w:cantSplit/>
        </w:trPr>
        <w:tc>
          <w:tcPr>
            <w:tcW w:type="dxa" w:w="3120"/>
          </w:tcPr>
          <w:p>
            <w:r>
              <w:t>1</w:t>
            </w:r>
          </w:p>
        </w:tc>
        <w:tc>
          <w:tcPr>
            <w:tcW w:type="dxa" w:w="3120"/>
          </w:tcPr>
          <w:p>
            <w:r>
              <w:t>NOI forecasting pipeline (`NextObservedIndicatorV3.0.ipynb` or batch equivalent) runs first</w:t>
            </w:r>
          </w:p>
        </w:tc>
        <w:tc>
          <w:tcPr>
            <w:tcW w:type="dxa" w:w="3120"/>
          </w:tcPr>
          <w:p>
            <w:r>
              <w:t>Partner-level daily files: `Z:\HTOC\Data_Analytics\Data\OpDiv_Predictions\{PartnerName}\{YYYYMMDD}.csv`</w:t>
            </w:r>
          </w:p>
        </w:tc>
      </w:tr>
      <w:tr>
        <w:trPr>
          <w:cantSplit/>
        </w:trPr>
        <w:tc>
          <w:tcPr>
            <w:tcW w:type="dxa" w:w="3120"/>
          </w:tcPr>
          <w:p>
            <w:r>
              <w:t>2</w:t>
            </w:r>
          </w:p>
        </w:tc>
        <w:tc>
          <w:tcPr>
            <w:tcW w:type="dxa" w:w="3120"/>
          </w:tcPr>
          <w:p>
            <w:r>
              <w:t>Daily reports consolidation process (`main.py` or `daily_reports.ipynb`) runs second</w:t>
            </w:r>
          </w:p>
        </w:tc>
        <w:tc>
          <w:tcPr>
            <w:tcW w:type="dxa" w:w="3120"/>
          </w:tcPr>
          <w:p>
            <w:r>
              <w:t>Consolidated daily file: `Z:\HTOC\Data_Analytics\Data\OpDiv_Predictions\Full Daily Reports\full_daily_report_{YYYYMMDD}.csv`</w:t>
            </w:r>
          </w:p>
        </w:tc>
      </w:tr>
      <w:tr>
        <w:trPr>
          <w:cantSplit/>
        </w:trPr>
        <w:tc>
          <w:tcPr>
            <w:tcW w:type="dxa" w:w="3120"/>
          </w:tcPr>
          <w:p>
            <w:r>
              <w:t>3</w:t>
            </w:r>
          </w:p>
        </w:tc>
        <w:tc>
          <w:tcPr>
            <w:tcW w:type="dxa" w:w="3120"/>
          </w:tcPr>
          <w:p>
            <w:r>
              <w:t>Downstream reporting/distribution jobs consume the consolidated file</w:t>
            </w:r>
          </w:p>
        </w:tc>
        <w:tc>
          <w:tcPr>
            <w:tcW w:type="dxa" w:w="3120"/>
          </w:tcPr>
          <w:p>
            <w:r>
              <w:t>Partner distribution products and operational reports</w:t>
            </w:r>
          </w:p>
        </w:tc>
      </w:tr>
    </w:tbl>
    <w:p/>
    <w:p>
      <w:r>
        <w:t>If the daily report is missing or incomplete, check the NOI forecasting step first before rerunning this process.</w:t>
      </w:r>
    </w:p>
    <w:p/>
    <w:p>
      <w:r>
        <w:t>-</w:t>
      </w:r>
    </w:p>
    <w:p/>
    <w:p>
      <w:pPr>
        <w:pStyle w:val="Heading2"/>
      </w:pPr>
      <w:r>
        <w:t>11. Appendix - Standalone Python Script</w:t>
      </w:r>
    </w:p>
    <w:p/>
    <w:p>
      <w:r>
        <w:t>The complete standalone script extracted from the notebook is attached at:</w:t>
      </w:r>
    </w:p>
    <w:p/>
    <w:p>
      <w:r>
        <w:rPr>
          <w:rFonts w:ascii="Consolas" w:hAnsi="Consolas"/>
          <w:b/>
          <w:color w:val="003366"/>
          <w:sz w:val="18"/>
          <w:u w:val="single"/>
        </w:rPr>
        <w:t>H:\HTOC\documentation\SOP\Appendix Scripts\daily_reports_standalone.py</w:t>
      </w:r>
    </w:p>
    <w:p/>
    <w:p>
      <w:r>
        <w:t>Run with:</w:t>
      </w:r>
    </w:p>
    <w:p/>
    <w:p>
      <w:pPr>
        <w:pStyle w:val="NoSpacing"/>
      </w:pPr>
      <w:r>
        <w:rPr>
          <w:rFonts w:ascii="Consolas" w:hAnsi="Consolas"/>
          <w:sz w:val="18"/>
        </w:rPr>
        <w:t>&amp;"C:\Program Files\Python313\python.exe" "H:\HTOC\documentation\SOP\Appendix Scripts\daily_reports_standalone.py"</w:t>
      </w:r>
    </w:p>
    <w:p/>
    <w:p>
      <w:r>
        <w:t>-</w:t>
      </w:r>
    </w:p>
    <w:p/>
    <w:p>
      <w:pPr>
        <w:pStyle w:val="Heading2"/>
      </w:pPr>
      <w:r>
        <w:t>12. Related Documents</w:t>
      </w:r>
    </w:p>
    <w:p/>
    <w:p>
      <w:pPr/>
      <w:r>
        <w:rPr>
          <w:rFonts w:ascii="Consolas" w:hAnsi="Consolas"/>
          <w:sz w:val="18"/>
        </w:rPr>
        <w:t>SOP_NextObservedIndicator_Forecasting.md</w:t>
      </w:r>
      <w:r>
        <w:t xml:space="preserve"> — upstream process that generates the per-partner input CSVs</w:t>
      </w:r>
    </w:p>
    <w:p>
      <w:pPr/>
      <w:r>
        <w:rPr>
          <w:rFonts w:ascii="Consolas" w:hAnsi="Consolas"/>
          <w:b/>
          <w:color w:val="003366"/>
          <w:sz w:val="18"/>
          <w:u w:val="single"/>
        </w:rPr>
        <w:t>Z:\HTOC\Data_Analytics\Data\OpDiv_Predictions\</w:t>
      </w:r>
      <w:r>
        <w:t xml:space="preserve"> (input data location)</w:t>
      </w:r>
    </w:p>
    <w:p>
      <w:pPr/>
      <w:r>
        <w:rPr>
          <w:rFonts w:ascii="Consolas" w:hAnsi="Consolas"/>
          <w:b/>
          <w:color w:val="003366"/>
          <w:sz w:val="18"/>
          <w:u w:val="single"/>
        </w:rPr>
        <w:t>Z:\HTOC\Data_Analytics\Data\OpDiv_Predictions\Full Daily Reports\</w:t>
      </w:r>
      <w:r>
        <w:t xml:space="preserve"> (output location)</w:t>
      </w:r>
    </w:p>
    <w:p>
      <w:pPr/>
      <w:r>
        <w:rPr>
          <w:rFonts w:ascii="Consolas" w:hAnsi="Consolas"/>
          <w:b/>
          <w:color w:val="003366"/>
          <w:sz w:val="18"/>
          <w:u w:val="single"/>
        </w:rPr>
        <w:t>scripts/batch-processing-script/Next_Obs_Daily/src/main.py</w:t>
      </w:r>
      <w:r>
        <w:t xml:space="preserve"> — production batch script</w:t>
      </w:r>
    </w:p>
    <w:sectPr w:rsidR="00072B10" w:rsidRPr="00DE2C5A" w:rsidSect="00235E9B">
      <w:headerReference w:type="default" r:id="rId13"/>
      <w:footerReference w:type="even" r:id="rId14"/>
      <w:footerReference w:type="default" r:id="rId15"/>
      <w:headerReference w:type="first" r:id="rId16"/>
      <w:footerReference w:type="first" r:id="rId17"/>
      <w:pgSz w:w="12240" w:h="15840"/>
      <w:pgMar w:top="2215" w:right="1440" w:bottom="1440" w:left="1440" w:header="597"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CD62E" w14:textId="77777777" w:rsidR="0028203C" w:rsidRDefault="0028203C" w:rsidP="00196D5F">
      <w:r>
        <w:separator/>
      </w:r>
    </w:p>
  </w:endnote>
  <w:endnote w:type="continuationSeparator" w:id="0">
    <w:p w14:paraId="4F99FAB3" w14:textId="77777777" w:rsidR="0028203C" w:rsidRDefault="0028203C" w:rsidP="00196D5F">
      <w:r>
        <w:continuationSeparator/>
      </w:r>
    </w:p>
  </w:endnote>
  <w:endnote w:type="continuationNotice" w:id="1">
    <w:p w14:paraId="101276C3" w14:textId="77777777" w:rsidR="0028203C" w:rsidRDefault="0028203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imes New Roman (Headings CS)">
    <w:altName w:val="Times New Roman"/>
    <w:charset w:val="00"/>
    <w:family w:val="roman"/>
    <w:pitch w:val="default"/>
  </w:font>
  <w:font w:name="MS PMincho">
    <w:charset w:val="80"/>
    <w:family w:val="roman"/>
    <w:pitch w:val="variable"/>
    <w:sig w:usb0="E00002FF" w:usb1="6AC7FDFB" w:usb2="08000012" w:usb3="00000000" w:csb0="0002009F" w:csb1="00000000"/>
  </w:font>
  <w:font w:name="Poppins ExtraBold">
    <w:charset w:val="00"/>
    <w:family w:val="auto"/>
    <w:pitch w:val="variable"/>
    <w:sig w:usb0="00008007" w:usb1="00000000" w:usb2="00000000" w:usb3="00000000" w:csb0="00000093" w:csb1="00000000"/>
  </w:font>
  <w:font w:name="Nirmala UI">
    <w:panose1 w:val="020B0502040204020203"/>
    <w:charset w:val="00"/>
    <w:family w:val="swiss"/>
    <w:pitch w:val="variable"/>
    <w:sig w:usb0="80FF8023" w:usb1="0200004A" w:usb2="00000200" w:usb3="00000000" w:csb0="00000001" w:csb1="00000000"/>
  </w:font>
  <w:font w:name="Poppins">
    <w:charset w:val="00"/>
    <w:family w:val="auto"/>
    <w:pitch w:val="variable"/>
    <w:sig w:usb0="00008007" w:usb1="00000000" w:usb2="00000000" w:usb3="00000000" w:csb0="00000093" w:csb1="00000000"/>
  </w:font>
  <w:font w:name="Nirmala Text">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5691195"/>
      <w:docPartObj>
        <w:docPartGallery w:val="Page Numbers (Bottom of Page)"/>
        <w:docPartUnique/>
      </w:docPartObj>
    </w:sdtPr>
    <w:sdtEndPr>
      <w:rPr>
        <w:rStyle w:val="PageNumber"/>
      </w:rPr>
    </w:sdtEndPr>
    <w:sdtContent>
      <w:p w14:paraId="6DE8480D" w14:textId="77777777" w:rsidR="0003206E" w:rsidRDefault="0003206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320FE3B" w14:textId="77777777" w:rsidR="0003206E" w:rsidRDefault="0003206E" w:rsidP="0003206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E3DD5" w14:textId="77777777" w:rsidR="00660397" w:rsidRDefault="0066039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5"/>
      <w:gridCol w:w="535"/>
    </w:tblGrid>
    <w:tr w:rsidR="00B40E35" w14:paraId="7A50D1AE" w14:textId="77777777" w:rsidTr="695F0CDE">
      <w:tc>
        <w:tcPr>
          <w:tcW w:w="8815" w:type="dxa"/>
          <w:shd w:val="clear" w:color="auto" w:fill="FFFFFF" w:themeFill="background1"/>
          <w:vAlign w:val="center"/>
        </w:tcPr>
        <w:p w14:paraId="21070393" w14:textId="77777777" w:rsidR="00F210F7" w:rsidRPr="00F210F7" w:rsidRDefault="001E691C" w:rsidP="00F210F7">
          <w:pPr>
            <w:pStyle w:val="NoSpacing"/>
            <w:jc w:val="center"/>
            <w:rPr>
              <w:rFonts w:ascii="Nirmala Text" w:hAnsi="Nirmala Text" w:cs="Nirmala Text"/>
              <w:sz w:val="18"/>
              <w:szCs w:val="18"/>
            </w:rPr>
          </w:pPr>
          <w:r>
            <w:rPr>
              <w:rFonts w:ascii="Nirmala Text" w:hAnsi="Nirmala Text" w:cs="Nirmala Text"/>
              <w:sz w:val="18"/>
              <w:szCs w:val="18"/>
            </w:rPr>
            <w:t xml:space="preserve">               </w:t>
          </w:r>
          <w:r w:rsidR="0091684E">
            <w:rPr>
              <w:noProof/>
            </w:rPr>
            <w:drawing>
              <wp:inline distT="0" distB="0" distL="0" distR="0" wp14:anchorId="72DEBE38" wp14:editId="66345231">
                <wp:extent cx="957532" cy="444240"/>
                <wp:effectExtent l="0" t="0" r="0" b="0"/>
                <wp:docPr id="1601952155" name="Picture 1601952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52155" name="Picture 1601952155"/>
                        <pic:cNvPicPr/>
                      </pic:nvPicPr>
                      <pic:blipFill>
                        <a:blip r:embed="rId1">
                          <a:extLst>
                            <a:ext uri="{28A0092B-C50C-407E-A947-70E740481C1C}">
                              <a14:useLocalDpi xmlns:a14="http://schemas.microsoft.com/office/drawing/2010/main" val="0"/>
                            </a:ext>
                          </a:extLst>
                        </a:blip>
                        <a:stretch>
                          <a:fillRect/>
                        </a:stretch>
                      </pic:blipFill>
                      <pic:spPr>
                        <a:xfrm>
                          <a:off x="0" y="0"/>
                          <a:ext cx="966666" cy="448478"/>
                        </a:xfrm>
                        <a:prstGeom prst="rect">
                          <a:avLst/>
                        </a:prstGeom>
                      </pic:spPr>
                    </pic:pic>
                  </a:graphicData>
                </a:graphic>
              </wp:inline>
            </w:drawing>
          </w:r>
        </w:p>
      </w:tc>
      <w:tc>
        <w:tcPr>
          <w:tcW w:w="535" w:type="dxa"/>
          <w:vAlign w:val="center"/>
        </w:tcPr>
        <w:sdt>
          <w:sdtPr>
            <w:rPr>
              <w:rStyle w:val="PageNumber"/>
            </w:rPr>
            <w:id w:val="501165908"/>
            <w:docPartObj>
              <w:docPartGallery w:val="Page Numbers (Bottom of Page)"/>
              <w:docPartUnique/>
            </w:docPartObj>
          </w:sdtPr>
          <w:sdtEndPr>
            <w:rPr>
              <w:rStyle w:val="PageNumber"/>
              <w:rFonts w:asciiTheme="majorHAnsi" w:hAnsiTheme="majorHAnsi" w:cstheme="majorBidi"/>
            </w:rPr>
          </w:sdtEndPr>
          <w:sdtContent>
            <w:p w14:paraId="2520E729" w14:textId="77777777" w:rsidR="00B40E35" w:rsidRDefault="00B40E35" w:rsidP="00B40E35">
              <w:pPr>
                <w:pStyle w:val="Footer"/>
                <w:jc w:val="right"/>
              </w:pPr>
              <w:r w:rsidRPr="009F53FD">
                <w:rPr>
                  <w:rStyle w:val="PageNumber"/>
                  <w:rFonts w:asciiTheme="majorHAnsi" w:hAnsiTheme="majorHAnsi" w:cstheme="majorHAnsi"/>
                </w:rPr>
                <w:fldChar w:fldCharType="begin"/>
              </w:r>
              <w:r w:rsidRPr="009F53FD">
                <w:rPr>
                  <w:rStyle w:val="PageNumber"/>
                  <w:rFonts w:asciiTheme="majorHAnsi" w:hAnsiTheme="majorHAnsi" w:cstheme="majorHAnsi"/>
                </w:rPr>
                <w:instrText xml:space="preserve"> PAGE </w:instrText>
              </w:r>
              <w:r w:rsidRPr="009F53FD">
                <w:rPr>
                  <w:rStyle w:val="PageNumber"/>
                  <w:rFonts w:asciiTheme="majorHAnsi" w:hAnsiTheme="majorHAnsi" w:cstheme="majorHAnsi"/>
                </w:rPr>
                <w:fldChar w:fldCharType="separate"/>
              </w:r>
              <w:r w:rsidRPr="009F53FD">
                <w:rPr>
                  <w:rStyle w:val="PageNumber"/>
                  <w:rFonts w:asciiTheme="majorHAnsi" w:hAnsiTheme="majorHAnsi" w:cstheme="majorHAnsi"/>
                </w:rPr>
                <w:t>2</w:t>
              </w:r>
              <w:r w:rsidRPr="009F53FD">
                <w:rPr>
                  <w:rStyle w:val="PageNumber"/>
                  <w:rFonts w:asciiTheme="majorHAnsi" w:hAnsiTheme="majorHAnsi" w:cstheme="majorHAnsi"/>
                </w:rPr>
                <w:fldChar w:fldCharType="end"/>
              </w:r>
            </w:p>
          </w:sdtContent>
        </w:sdt>
      </w:tc>
    </w:tr>
  </w:tbl>
  <w:p w14:paraId="0988EC7C" w14:textId="1539560D" w:rsidR="0003206E" w:rsidRPr="00B15B59" w:rsidRDefault="007C4CC6" w:rsidP="00C86EA7">
    <w:pPr>
      <w:pStyle w:val="Footer"/>
      <w:jc w:val="center"/>
      <w:rPr>
        <w:sz w:val="18"/>
        <w:szCs w:val="18"/>
      </w:rPr>
    </w:pPr>
    <w:proofErr w:type="gramStart"/>
    <w:r w:rsidRPr="007C4CC6">
      <w:rPr>
        <w:rFonts w:ascii="Poppins ExtraBold" w:hAnsi="Poppins ExtraBold" w:cs="Poppins ExtraBold"/>
        <w:color w:val="FFC000"/>
      </w:rPr>
      <w:t>TLP:AMBER</w:t>
    </w:r>
    <w:proofErr w:type="gram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5"/>
      <w:gridCol w:w="535"/>
    </w:tblGrid>
    <w:tr w:rsidR="000C36E3" w14:paraId="7AF05DDC" w14:textId="77777777">
      <w:tc>
        <w:tcPr>
          <w:tcW w:w="8815" w:type="dxa"/>
          <w:vAlign w:val="center"/>
        </w:tcPr>
        <w:p w14:paraId="4BEA8165" w14:textId="77777777" w:rsidR="000C36E3" w:rsidRPr="00B32CF9" w:rsidRDefault="000C36E3" w:rsidP="000C36E3">
          <w:pPr>
            <w:pStyle w:val="Footer"/>
            <w:rPr>
              <w:color w:val="204774" w:themeColor="accent1"/>
              <w:sz w:val="18"/>
              <w:szCs w:val="18"/>
            </w:rPr>
          </w:pPr>
          <w:r w:rsidRPr="00B32CF9">
            <w:rPr>
              <w:color w:val="204774" w:themeColor="accent1"/>
              <w:sz w:val="18"/>
              <w:szCs w:val="18"/>
            </w:rPr>
            <w:t>U.S. Department of Health and Human Services</w:t>
          </w:r>
        </w:p>
        <w:p w14:paraId="7E72CC6A" w14:textId="77777777" w:rsidR="000C36E3" w:rsidRPr="00B32CF9" w:rsidRDefault="000C36E3" w:rsidP="000C36E3">
          <w:pPr>
            <w:pStyle w:val="Footer"/>
            <w:rPr>
              <w:color w:val="204774" w:themeColor="accent1"/>
              <w:sz w:val="18"/>
              <w:szCs w:val="18"/>
            </w:rPr>
          </w:pPr>
          <w:r w:rsidRPr="00B32CF9">
            <w:rPr>
              <w:color w:val="204774" w:themeColor="accent1"/>
              <w:sz w:val="18"/>
              <w:szCs w:val="18"/>
            </w:rPr>
            <w:t>Office of the Chief Information Officer (OCIO)/Office of Information Security and Privacy (OIS</w:t>
          </w:r>
          <w:r>
            <w:rPr>
              <w:color w:val="204774" w:themeColor="accent1"/>
              <w:sz w:val="18"/>
              <w:szCs w:val="18"/>
            </w:rPr>
            <w:t>P</w:t>
          </w:r>
          <w:r w:rsidRPr="00B32CF9">
            <w:rPr>
              <w:color w:val="204774" w:themeColor="accent1"/>
              <w:sz w:val="18"/>
              <w:szCs w:val="18"/>
            </w:rPr>
            <w:t>)</w:t>
          </w:r>
        </w:p>
      </w:tc>
      <w:tc>
        <w:tcPr>
          <w:tcW w:w="535" w:type="dxa"/>
          <w:vAlign w:val="center"/>
        </w:tcPr>
        <w:p w14:paraId="1518FEB7" w14:textId="77777777" w:rsidR="000C36E3" w:rsidRDefault="000C36E3" w:rsidP="000C36E3">
          <w:pPr>
            <w:pStyle w:val="Footer"/>
            <w:jc w:val="right"/>
          </w:pPr>
        </w:p>
      </w:tc>
    </w:tr>
  </w:tbl>
  <w:p w14:paraId="724DC7A4" w14:textId="77777777" w:rsidR="00B32CF9" w:rsidRPr="00B32CF9" w:rsidRDefault="00B32CF9">
    <w:pPr>
      <w:pStyle w:val="Footer"/>
      <w:rPr>
        <w:color w:val="204774" w:themeColor="accent1"/>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C2616" w14:textId="77777777" w:rsidR="0028203C" w:rsidRDefault="0028203C" w:rsidP="00196D5F">
      <w:r>
        <w:separator/>
      </w:r>
    </w:p>
  </w:footnote>
  <w:footnote w:type="continuationSeparator" w:id="0">
    <w:p w14:paraId="7F2DC5EA" w14:textId="77777777" w:rsidR="0028203C" w:rsidRDefault="0028203C" w:rsidP="00196D5F">
      <w:r>
        <w:continuationSeparator/>
      </w:r>
    </w:p>
  </w:footnote>
  <w:footnote w:type="continuationNotice" w:id="1">
    <w:p w14:paraId="3E356628" w14:textId="77777777" w:rsidR="0028203C" w:rsidRDefault="0028203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20" w:firstRow="1" w:lastRow="0" w:firstColumn="0" w:lastColumn="0" w:noHBand="1" w:noVBand="1"/>
      <w:tblCaption w:val="Header Table"/>
      <w:tblDescription w:val="Document Title and Date"/>
    </w:tblPr>
    <w:tblGrid>
      <w:gridCol w:w="6570"/>
      <w:gridCol w:w="3420"/>
    </w:tblGrid>
    <w:tr w:rsidR="00A32B84" w14:paraId="06E53D06" w14:textId="77777777" w:rsidTr="007C4CC6">
      <w:trPr>
        <w:trHeight w:val="720"/>
      </w:trPr>
      <w:tc>
        <w:tcPr>
          <w:tcW w:w="6570" w:type="dxa"/>
          <w:vAlign w:val="center"/>
        </w:tcPr>
        <w:p>
          <w:r>
            <w:t>TLP:AMBER</w:t>
            <w:br/>
            <w:t>Daily Partner Prediction Report Consolidation — daily_reports</w:t>
            <w:br/>
            <w:t>April 2026</w:t>
          </w:r>
        </w:p>
      </w:tc>
      <w:tc>
        <w:tcPr>
          <w:tcW w:w="3420" w:type="dxa"/>
          <w:vAlign w:val="center"/>
        </w:tcPr>
        <w:p w14:paraId="2B66194C" w14:textId="77777777" w:rsidR="00A32B84" w:rsidRPr="00A32B84" w:rsidRDefault="00446276" w:rsidP="00A32B84">
          <w:pPr>
            <w:pStyle w:val="Header"/>
            <w:jc w:val="right"/>
            <w:rPr>
              <w:rFonts w:asciiTheme="majorHAnsi" w:hAnsiTheme="majorHAnsi"/>
              <w:sz w:val="28"/>
              <w:szCs w:val="28"/>
            </w:rPr>
          </w:pPr>
          <w:r>
            <w:rPr>
              <w:noProof/>
            </w:rPr>
            <w:drawing>
              <wp:inline distT="0" distB="0" distL="0" distR="0" wp14:anchorId="7971F684" wp14:editId="240B1539">
                <wp:extent cx="1524000" cy="482851"/>
                <wp:effectExtent l="0" t="0" r="0" b="0"/>
                <wp:docPr id="40272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5492" cy="486492"/>
                        </a:xfrm>
                        <a:prstGeom prst="rect">
                          <a:avLst/>
                        </a:prstGeom>
                        <a:noFill/>
                      </pic:spPr>
                    </pic:pic>
                  </a:graphicData>
                </a:graphic>
              </wp:inline>
            </w:drawing>
          </w:r>
        </w:p>
      </w:tc>
    </w:tr>
  </w:tbl>
  <w:p w14:paraId="2362BC70" w14:textId="77777777" w:rsidR="695F0CDE" w:rsidRDefault="00DD0193">
    <w:r>
      <w:rPr>
        <w:noProof/>
      </w:rPr>
      <mc:AlternateContent>
        <mc:Choice Requires="wps">
          <w:drawing>
            <wp:anchor distT="0" distB="0" distL="114300" distR="114300" simplePos="0" relativeHeight="251658240" behindDoc="0" locked="0" layoutInCell="1" allowOverlap="1" wp14:anchorId="5839FB81" wp14:editId="43726EDC">
              <wp:simplePos x="0" y="0"/>
              <wp:positionH relativeFrom="column">
                <wp:posOffset>-946150</wp:posOffset>
              </wp:positionH>
              <wp:positionV relativeFrom="paragraph">
                <wp:posOffset>175680</wp:posOffset>
              </wp:positionV>
              <wp:extent cx="4795284" cy="0"/>
              <wp:effectExtent l="0" t="0" r="5715" b="12700"/>
              <wp:wrapNone/>
              <wp:docPr id="2" name="Straight Connector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a:off x="0" y="0"/>
                        <a:ext cx="4795284"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D74879" id="Straight Connector 2" o:spid="_x0000_s1026" alt="&quot;&quot;" style="position:absolute;flip:x;z-index:251658240;visibility:visible;mso-wrap-style:square;mso-wrap-distance-left:9pt;mso-wrap-distance-top:0;mso-wrap-distance-right:9pt;mso-wrap-distance-bottom:0;mso-position-horizontal:absolute;mso-position-horizontal-relative:text;mso-position-vertical:absolute;mso-position-vertical-relative:text" from="-74.5pt,13.85pt" to="303.1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" strokecolor="#204774 [3204]" strokeweight="1pt">
              <v:stroke joinstyle="miter"/>
            </v:line>
          </w:pict>
        </mc:Fallback>
      </mc:AlternateContent>
    </w:r>
    <w:r w:rsidR="0062259D" w:rsidRPr="0062259D">
      <w:rPr>
        <w:rFonts w:ascii="Nirmala UI" w:hAnsi="Nirmala UI" w:cs="Nirmala UI"/>
        <w:b/>
        <w:bCs/>
        <w:noProof/>
        <w:color w:val="000000" w:themeColor="text1"/>
        <w:sz w:val="22"/>
        <w:szCs w:val="22"/>
      </w:rPr>
      <w:drawing>
        <wp:anchor distT="0" distB="0" distL="114300" distR="114300" simplePos="0" relativeHeight="251661312" behindDoc="0" locked="0" layoutInCell="1" allowOverlap="1" wp14:anchorId="1813D673" wp14:editId="4C16BC2A">
          <wp:simplePos x="0" y="0"/>
          <wp:positionH relativeFrom="column">
            <wp:posOffset>9591675</wp:posOffset>
          </wp:positionH>
          <wp:positionV relativeFrom="paragraph">
            <wp:posOffset>-1068070</wp:posOffset>
          </wp:positionV>
          <wp:extent cx="1689772" cy="1243965"/>
          <wp:effectExtent l="0" t="0" r="5715" b="0"/>
          <wp:wrapNone/>
          <wp:docPr id="9" name="Picture 8">
            <a:extLst xmlns:a="http://schemas.openxmlformats.org/drawingml/2006/main">
              <a:ext uri="{FF2B5EF4-FFF2-40B4-BE49-F238E27FC236}">
                <a16:creationId xmlns:a16="http://schemas.microsoft.com/office/drawing/2014/main" id="{D1C4F4EC-7509-28D0-3A43-5FC9275CE1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D1C4F4EC-7509-28D0-3A43-5FC9275CE1B7}"/>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779752" cy="1310206"/>
                  </a:xfrm>
                  <a:prstGeom prst="rect">
                    <a:avLst/>
                  </a:prstGeom>
                </pic:spPr>
              </pic:pic>
            </a:graphicData>
          </a:graphic>
          <wp14:sizeRelH relativeFrom="margin">
            <wp14:pctWidth>0</wp14:pctWidth>
          </wp14:sizeRelH>
          <wp14:sizeRelV relativeFrom="margin">
            <wp14:pctHeight>0</wp14:pctHeight>
          </wp14:sizeRelV>
        </wp:anchor>
      </w:drawing>
    </w:r>
    <w:r w:rsidR="0062259D" w:rsidRPr="0062259D">
      <w:rPr>
        <w:rFonts w:ascii="Nirmala UI" w:hAnsi="Nirmala UI" w:cs="Nirmala UI"/>
        <w:b/>
        <w:bCs/>
        <w:noProof/>
        <w:color w:val="000000" w:themeColor="text1"/>
        <w:sz w:val="22"/>
        <w:szCs w:val="22"/>
      </w:rPr>
      <mc:AlternateContent>
        <mc:Choice Requires="wps">
          <w:drawing>
            <wp:anchor distT="0" distB="0" distL="114300" distR="114300" simplePos="0" relativeHeight="251662336" behindDoc="0" locked="0" layoutInCell="1" allowOverlap="1" wp14:anchorId="1F3D6E8D" wp14:editId="12C6E227">
              <wp:simplePos x="0" y="0"/>
              <wp:positionH relativeFrom="column">
                <wp:posOffset>8305800</wp:posOffset>
              </wp:positionH>
              <wp:positionV relativeFrom="paragraph">
                <wp:posOffset>-763270</wp:posOffset>
              </wp:positionV>
              <wp:extent cx="2596530" cy="1244872"/>
              <wp:effectExtent l="0" t="0" r="0" b="0"/>
              <wp:wrapNone/>
              <wp:docPr id="6" name="Slide Number Placeholder 5">
                <a:extLst xmlns:a="http://schemas.openxmlformats.org/drawingml/2006/main">
                  <a:ext uri="{FF2B5EF4-FFF2-40B4-BE49-F238E27FC236}">
                    <a16:creationId xmlns:a16="http://schemas.microsoft.com/office/drawing/2014/main" id="{74078398-1CA4-F0A3-CECD-FF7C0DBAF36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6530" cy="1244872"/>
                      </a:xfrm>
                      <a:prstGeom prst="rect">
                        <a:avLst/>
                      </a:prstGeom>
                    </wps:spPr>
                    <wps:txbx>
                      <w:txbxContent>
                        <w:p w14:paraId="47D023A0" w14:textId="77777777" w:rsidR="0062259D" w:rsidRDefault="0062259D" w:rsidP="0062259D">
                          <w:pPr>
                            <w:jc w:val="right"/>
                            <w:rPr>
                              <w:rFonts w:ascii="Nirmala Text" w:eastAsia="Nirmala Text" w:hAnsi="Nirmala Text" w:cs="Nirmala Text"/>
                              <w:b/>
                              <w:bCs/>
                              <w:color w:val="F6DD23"/>
                              <w:kern w:val="24"/>
                            </w:rPr>
                          </w:pPr>
                          <w:proofErr w:type="gramStart"/>
                          <w:r>
                            <w:rPr>
                              <w:rFonts w:ascii="Nirmala Text" w:eastAsia="Nirmala Text" w:hAnsi="Nirmala Text" w:cs="Nirmala Text"/>
                              <w:b/>
                              <w:bCs/>
                              <w:color w:val="F6DD23"/>
                              <w:kern w:val="24"/>
                            </w:rPr>
                            <w:t>TLP:AMBER</w:t>
                          </w:r>
                          <w:proofErr w:type="gramEnd"/>
                          <w:r>
                            <w:rPr>
                              <w:rFonts w:ascii="Nirmala Text" w:eastAsia="Nirmala Text" w:hAnsi="Nirmala Text" w:cs="Nirmala Text"/>
                              <w:b/>
                              <w:bCs/>
                              <w:color w:val="F6DD23"/>
                              <w:kern w:val="24"/>
                            </w:rPr>
                            <w:t>+STRICT</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type w14:anchorId="1F3D6E8D" id="_x0000_t202" coordsize="21600,21600" o:spt="202" path="m,l,21600r21600,l21600,xe">
              <v:stroke joinstyle="miter"/>
              <v:path gradientshapeok="t" o:connecttype="rect"/>
            </v:shapetype>
            <v:shape id="Slide Number Placeholder 5" o:spid="_x0000_s1030" type="#_x0000_t202" style="position:absolute;margin-left:654pt;margin-top:-60.1pt;width:204.45pt;height:9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" filled="f" stroked="f">
              <v:textbox>
                <w:txbxContent>
                  <w:p w14:paraId="47D023A0" w14:textId="77777777" w:rsidR="0062259D" w:rsidRDefault="0062259D" w:rsidP="0062259D">
                    <w:pPr>
                      <w:jc w:val="right"/>
                      <w:rPr>
                        <w:rFonts w:ascii="Nirmala Text" w:eastAsia="Nirmala Text" w:hAnsi="Nirmala Text" w:cs="Nirmala Text"/>
                        <w:b/>
                        <w:bCs/>
                        <w:color w:val="F6DD23"/>
                        <w:kern w:val="24"/>
                      </w:rPr>
                    </w:pPr>
                    <w:proofErr w:type="gramStart"/>
                    <w:r>
                      <w:rPr>
                        <w:rFonts w:ascii="Nirmala Text" w:eastAsia="Nirmala Text" w:hAnsi="Nirmala Text" w:cs="Nirmala Text"/>
                        <w:b/>
                        <w:bCs/>
                        <w:color w:val="F6DD23"/>
                        <w:kern w:val="24"/>
                      </w:rPr>
                      <w:t>TLP:AMBER</w:t>
                    </w:r>
                    <w:proofErr w:type="gramEnd"/>
                    <w:r>
                      <w:rPr>
                        <w:rFonts w:ascii="Nirmala Text" w:eastAsia="Nirmala Text" w:hAnsi="Nirmala Text" w:cs="Nirmala Text"/>
                        <w:b/>
                        <w:bCs/>
                        <w:color w:val="F6DD23"/>
                        <w:kern w:val="24"/>
                      </w:rPr>
                      <w:t>+STRICT</w:t>
                    </w:r>
                  </w:p>
                </w:txbxContent>
              </v:textbox>
            </v:shape>
          </w:pict>
        </mc:Fallback>
      </mc:AlternateContent>
    </w:r>
  </w:p>
  <w:p w14:paraId="1DE3E371" w14:textId="77777777" w:rsidR="00196D5F" w:rsidRDefault="00196D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2FB0E" w14:textId="77777777" w:rsidR="00472608" w:rsidRDefault="00472608">
    <w:pPr>
      <w:pStyle w:val="Header"/>
    </w:pPr>
  </w:p>
  <w:p w14:paraId="5E8621A0" w14:textId="77777777" w:rsidR="00472608" w:rsidRDefault="004726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906B9"/>
    <w:multiLevelType w:val="multilevel"/>
    <w:tmpl w:val="3848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A4A88"/>
    <w:multiLevelType w:val="multilevel"/>
    <w:tmpl w:val="07406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35339"/>
    <w:multiLevelType w:val="multilevel"/>
    <w:tmpl w:val="F08C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A37DC"/>
    <w:multiLevelType w:val="hybridMultilevel"/>
    <w:tmpl w:val="5F9EA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360CEC"/>
    <w:multiLevelType w:val="hybridMultilevel"/>
    <w:tmpl w:val="D17AEF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F244AE"/>
    <w:multiLevelType w:val="hybridMultilevel"/>
    <w:tmpl w:val="7214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6E2C21"/>
    <w:multiLevelType w:val="hybridMultilevel"/>
    <w:tmpl w:val="4DF8A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7B58C8"/>
    <w:multiLevelType w:val="hybridMultilevel"/>
    <w:tmpl w:val="77A2F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212972"/>
    <w:multiLevelType w:val="hybridMultilevel"/>
    <w:tmpl w:val="77A2FB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B8D79A5"/>
    <w:multiLevelType w:val="hybridMultilevel"/>
    <w:tmpl w:val="1C1A9A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833EAD"/>
    <w:multiLevelType w:val="hybridMultilevel"/>
    <w:tmpl w:val="67C8FF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6E3620"/>
    <w:multiLevelType w:val="multilevel"/>
    <w:tmpl w:val="6ACE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FE4D8E"/>
    <w:multiLevelType w:val="hybridMultilevel"/>
    <w:tmpl w:val="D0142E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D510673"/>
    <w:multiLevelType w:val="multilevel"/>
    <w:tmpl w:val="27C6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610D00"/>
    <w:multiLevelType w:val="multilevel"/>
    <w:tmpl w:val="C57E0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ED5D08"/>
    <w:multiLevelType w:val="hybridMultilevel"/>
    <w:tmpl w:val="213072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F1B7C0F"/>
    <w:multiLevelType w:val="hybridMultilevel"/>
    <w:tmpl w:val="D5CC778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4FB65082"/>
    <w:multiLevelType w:val="multilevel"/>
    <w:tmpl w:val="AD60CC7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0F361B"/>
    <w:multiLevelType w:val="hybridMultilevel"/>
    <w:tmpl w:val="D1DC72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DC5A0F"/>
    <w:multiLevelType w:val="hybridMultilevel"/>
    <w:tmpl w:val="D2F47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5D208F"/>
    <w:multiLevelType w:val="hybridMultilevel"/>
    <w:tmpl w:val="56A0C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13841AA"/>
    <w:multiLevelType w:val="hybridMultilevel"/>
    <w:tmpl w:val="692652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18254F0"/>
    <w:multiLevelType w:val="multilevel"/>
    <w:tmpl w:val="88046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C36BDD"/>
    <w:multiLevelType w:val="hybridMultilevel"/>
    <w:tmpl w:val="BC64F9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512007"/>
    <w:multiLevelType w:val="multilevel"/>
    <w:tmpl w:val="CB06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421835"/>
    <w:multiLevelType w:val="multilevel"/>
    <w:tmpl w:val="E250C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732628">
    <w:abstractNumId w:val="3"/>
  </w:num>
  <w:num w:numId="2" w16cid:durableId="1010062569">
    <w:abstractNumId w:val="7"/>
  </w:num>
  <w:num w:numId="3" w16cid:durableId="862745281">
    <w:abstractNumId w:val="10"/>
  </w:num>
  <w:num w:numId="4" w16cid:durableId="1282613973">
    <w:abstractNumId w:val="20"/>
  </w:num>
  <w:num w:numId="5" w16cid:durableId="2047215258">
    <w:abstractNumId w:val="21"/>
  </w:num>
  <w:num w:numId="6" w16cid:durableId="1027175540">
    <w:abstractNumId w:val="15"/>
  </w:num>
  <w:num w:numId="7" w16cid:durableId="796338963">
    <w:abstractNumId w:val="9"/>
  </w:num>
  <w:num w:numId="8" w16cid:durableId="1173298111">
    <w:abstractNumId w:val="8"/>
  </w:num>
  <w:num w:numId="9" w16cid:durableId="1372461074">
    <w:abstractNumId w:val="4"/>
  </w:num>
  <w:num w:numId="10" w16cid:durableId="1997609508">
    <w:abstractNumId w:val="12"/>
  </w:num>
  <w:num w:numId="11" w16cid:durableId="1532570134">
    <w:abstractNumId w:val="18"/>
  </w:num>
  <w:num w:numId="12" w16cid:durableId="748313279">
    <w:abstractNumId w:val="16"/>
  </w:num>
  <w:num w:numId="13" w16cid:durableId="1307319293">
    <w:abstractNumId w:val="23"/>
  </w:num>
  <w:num w:numId="14" w16cid:durableId="1161699667">
    <w:abstractNumId w:val="5"/>
  </w:num>
  <w:num w:numId="15" w16cid:durableId="300425086">
    <w:abstractNumId w:val="19"/>
  </w:num>
  <w:num w:numId="16" w16cid:durableId="1881821316">
    <w:abstractNumId w:val="6"/>
  </w:num>
  <w:num w:numId="17" w16cid:durableId="875193400">
    <w:abstractNumId w:val="11"/>
  </w:num>
  <w:num w:numId="18" w16cid:durableId="788933985">
    <w:abstractNumId w:val="24"/>
  </w:num>
  <w:num w:numId="19" w16cid:durableId="474104906">
    <w:abstractNumId w:val="2"/>
  </w:num>
  <w:num w:numId="20" w16cid:durableId="284510180">
    <w:abstractNumId w:val="0"/>
  </w:num>
  <w:num w:numId="21" w16cid:durableId="1210336629">
    <w:abstractNumId w:val="17"/>
  </w:num>
  <w:num w:numId="22" w16cid:durableId="1105886355">
    <w:abstractNumId w:val="13"/>
  </w:num>
  <w:num w:numId="23" w16cid:durableId="1427772093">
    <w:abstractNumId w:val="22"/>
  </w:num>
  <w:num w:numId="24" w16cid:durableId="242763953">
    <w:abstractNumId w:val="1"/>
  </w:num>
  <w:num w:numId="25" w16cid:durableId="1504662645">
    <w:abstractNumId w:val="25"/>
  </w:num>
  <w:num w:numId="26" w16cid:durableId="11928363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61E"/>
    <w:rsid w:val="000039B0"/>
    <w:rsid w:val="0000477B"/>
    <w:rsid w:val="00005009"/>
    <w:rsid w:val="00011C71"/>
    <w:rsid w:val="00015078"/>
    <w:rsid w:val="00023CE1"/>
    <w:rsid w:val="000245A1"/>
    <w:rsid w:val="0003206E"/>
    <w:rsid w:val="00032646"/>
    <w:rsid w:val="0003499E"/>
    <w:rsid w:val="00035746"/>
    <w:rsid w:val="00040ECE"/>
    <w:rsid w:val="00044DD4"/>
    <w:rsid w:val="00052C3C"/>
    <w:rsid w:val="000677C6"/>
    <w:rsid w:val="00072B10"/>
    <w:rsid w:val="00077B68"/>
    <w:rsid w:val="00083A23"/>
    <w:rsid w:val="000A0893"/>
    <w:rsid w:val="000A1B52"/>
    <w:rsid w:val="000A27A2"/>
    <w:rsid w:val="000B10BE"/>
    <w:rsid w:val="000B12EA"/>
    <w:rsid w:val="000B42C6"/>
    <w:rsid w:val="000C179A"/>
    <w:rsid w:val="000C36E3"/>
    <w:rsid w:val="000C55E3"/>
    <w:rsid w:val="000D2829"/>
    <w:rsid w:val="000E06B6"/>
    <w:rsid w:val="000E14F1"/>
    <w:rsid w:val="000E2C30"/>
    <w:rsid w:val="000F5415"/>
    <w:rsid w:val="000F5F62"/>
    <w:rsid w:val="00101F0B"/>
    <w:rsid w:val="00105DEF"/>
    <w:rsid w:val="001100D2"/>
    <w:rsid w:val="0011031D"/>
    <w:rsid w:val="00111D7E"/>
    <w:rsid w:val="00113A9D"/>
    <w:rsid w:val="00116368"/>
    <w:rsid w:val="00117681"/>
    <w:rsid w:val="001409F6"/>
    <w:rsid w:val="001470FC"/>
    <w:rsid w:val="00147EA8"/>
    <w:rsid w:val="00150224"/>
    <w:rsid w:val="0015376A"/>
    <w:rsid w:val="001549BE"/>
    <w:rsid w:val="001568C8"/>
    <w:rsid w:val="00161402"/>
    <w:rsid w:val="001637F8"/>
    <w:rsid w:val="001716CB"/>
    <w:rsid w:val="00171F0D"/>
    <w:rsid w:val="001746B5"/>
    <w:rsid w:val="00196D5F"/>
    <w:rsid w:val="001A3E9D"/>
    <w:rsid w:val="001B1852"/>
    <w:rsid w:val="001B6106"/>
    <w:rsid w:val="001B66EC"/>
    <w:rsid w:val="001D66FB"/>
    <w:rsid w:val="001E4C38"/>
    <w:rsid w:val="001E691C"/>
    <w:rsid w:val="001E7309"/>
    <w:rsid w:val="001F0991"/>
    <w:rsid w:val="001F1394"/>
    <w:rsid w:val="001F29ED"/>
    <w:rsid w:val="001F3B07"/>
    <w:rsid w:val="001F5138"/>
    <w:rsid w:val="001F5FD9"/>
    <w:rsid w:val="00202B3B"/>
    <w:rsid w:val="00207A02"/>
    <w:rsid w:val="00207E50"/>
    <w:rsid w:val="002132DC"/>
    <w:rsid w:val="00224474"/>
    <w:rsid w:val="002320C3"/>
    <w:rsid w:val="002336E6"/>
    <w:rsid w:val="002337EC"/>
    <w:rsid w:val="00235E9B"/>
    <w:rsid w:val="00242AC5"/>
    <w:rsid w:val="00242C58"/>
    <w:rsid w:val="00244562"/>
    <w:rsid w:val="002467B4"/>
    <w:rsid w:val="002551FC"/>
    <w:rsid w:val="00261F34"/>
    <w:rsid w:val="00271117"/>
    <w:rsid w:val="002717B5"/>
    <w:rsid w:val="0027394F"/>
    <w:rsid w:val="0028203C"/>
    <w:rsid w:val="002822F6"/>
    <w:rsid w:val="00286370"/>
    <w:rsid w:val="002907E1"/>
    <w:rsid w:val="00291F8D"/>
    <w:rsid w:val="002C01FE"/>
    <w:rsid w:val="002C54C5"/>
    <w:rsid w:val="002C551A"/>
    <w:rsid w:val="002D1E94"/>
    <w:rsid w:val="002D3C86"/>
    <w:rsid w:val="002D723D"/>
    <w:rsid w:val="002E19A3"/>
    <w:rsid w:val="002E274F"/>
    <w:rsid w:val="002E3A5F"/>
    <w:rsid w:val="002F5E30"/>
    <w:rsid w:val="003026FE"/>
    <w:rsid w:val="00303787"/>
    <w:rsid w:val="00303F46"/>
    <w:rsid w:val="00313438"/>
    <w:rsid w:val="00315E6D"/>
    <w:rsid w:val="003224E0"/>
    <w:rsid w:val="003375DA"/>
    <w:rsid w:val="00351661"/>
    <w:rsid w:val="00356469"/>
    <w:rsid w:val="00360421"/>
    <w:rsid w:val="00371ACA"/>
    <w:rsid w:val="00371DD9"/>
    <w:rsid w:val="00383CE9"/>
    <w:rsid w:val="00392D89"/>
    <w:rsid w:val="00393C26"/>
    <w:rsid w:val="0039552B"/>
    <w:rsid w:val="003A1889"/>
    <w:rsid w:val="003A229C"/>
    <w:rsid w:val="003A4FAD"/>
    <w:rsid w:val="003B3F1D"/>
    <w:rsid w:val="003B44B8"/>
    <w:rsid w:val="003B5DF4"/>
    <w:rsid w:val="003C1D7F"/>
    <w:rsid w:val="003E37F1"/>
    <w:rsid w:val="003E3A52"/>
    <w:rsid w:val="003F0660"/>
    <w:rsid w:val="003F1075"/>
    <w:rsid w:val="003F20A0"/>
    <w:rsid w:val="003F3F08"/>
    <w:rsid w:val="0040289E"/>
    <w:rsid w:val="004058BA"/>
    <w:rsid w:val="00415C42"/>
    <w:rsid w:val="0042628F"/>
    <w:rsid w:val="00431C4F"/>
    <w:rsid w:val="00432F0E"/>
    <w:rsid w:val="004331A6"/>
    <w:rsid w:val="004371B1"/>
    <w:rsid w:val="00441A69"/>
    <w:rsid w:val="0044207D"/>
    <w:rsid w:val="00443F30"/>
    <w:rsid w:val="004450BD"/>
    <w:rsid w:val="00446276"/>
    <w:rsid w:val="00462E5C"/>
    <w:rsid w:val="00463FD3"/>
    <w:rsid w:val="004664CA"/>
    <w:rsid w:val="00471586"/>
    <w:rsid w:val="00472608"/>
    <w:rsid w:val="004732C4"/>
    <w:rsid w:val="0049422B"/>
    <w:rsid w:val="004A19BD"/>
    <w:rsid w:val="004A31A4"/>
    <w:rsid w:val="004A3FF7"/>
    <w:rsid w:val="004B6DF0"/>
    <w:rsid w:val="004D4783"/>
    <w:rsid w:val="004E6D11"/>
    <w:rsid w:val="004F615A"/>
    <w:rsid w:val="004F72AA"/>
    <w:rsid w:val="004F73B6"/>
    <w:rsid w:val="0050107E"/>
    <w:rsid w:val="0050119D"/>
    <w:rsid w:val="00503175"/>
    <w:rsid w:val="00506292"/>
    <w:rsid w:val="00506321"/>
    <w:rsid w:val="00510208"/>
    <w:rsid w:val="005103D1"/>
    <w:rsid w:val="005134A3"/>
    <w:rsid w:val="005160B6"/>
    <w:rsid w:val="0052191F"/>
    <w:rsid w:val="00524C9D"/>
    <w:rsid w:val="00530547"/>
    <w:rsid w:val="00534D4A"/>
    <w:rsid w:val="00544D4C"/>
    <w:rsid w:val="0055058E"/>
    <w:rsid w:val="0055297C"/>
    <w:rsid w:val="005544CF"/>
    <w:rsid w:val="00555900"/>
    <w:rsid w:val="005559C4"/>
    <w:rsid w:val="00560765"/>
    <w:rsid w:val="0056574D"/>
    <w:rsid w:val="00572CB3"/>
    <w:rsid w:val="00573263"/>
    <w:rsid w:val="00576F3B"/>
    <w:rsid w:val="005807C8"/>
    <w:rsid w:val="00581832"/>
    <w:rsid w:val="00583D1D"/>
    <w:rsid w:val="005852A2"/>
    <w:rsid w:val="00590156"/>
    <w:rsid w:val="0059361F"/>
    <w:rsid w:val="00596CA4"/>
    <w:rsid w:val="005A3033"/>
    <w:rsid w:val="005A3EAE"/>
    <w:rsid w:val="005B5D17"/>
    <w:rsid w:val="005C114E"/>
    <w:rsid w:val="005C2379"/>
    <w:rsid w:val="005C5707"/>
    <w:rsid w:val="005D531A"/>
    <w:rsid w:val="005D53BD"/>
    <w:rsid w:val="005D5E71"/>
    <w:rsid w:val="005D7146"/>
    <w:rsid w:val="005E0938"/>
    <w:rsid w:val="005E4D3E"/>
    <w:rsid w:val="005E545A"/>
    <w:rsid w:val="005F36BB"/>
    <w:rsid w:val="005F439A"/>
    <w:rsid w:val="005F449A"/>
    <w:rsid w:val="00600834"/>
    <w:rsid w:val="0061088B"/>
    <w:rsid w:val="00617293"/>
    <w:rsid w:val="00620FA2"/>
    <w:rsid w:val="0062259D"/>
    <w:rsid w:val="00624328"/>
    <w:rsid w:val="006255B6"/>
    <w:rsid w:val="0064490E"/>
    <w:rsid w:val="006523D2"/>
    <w:rsid w:val="00660397"/>
    <w:rsid w:val="0067609E"/>
    <w:rsid w:val="006836B6"/>
    <w:rsid w:val="00691204"/>
    <w:rsid w:val="00692DD4"/>
    <w:rsid w:val="00695B3A"/>
    <w:rsid w:val="00697A90"/>
    <w:rsid w:val="006B072D"/>
    <w:rsid w:val="006B33B7"/>
    <w:rsid w:val="006B49F6"/>
    <w:rsid w:val="006C79C3"/>
    <w:rsid w:val="006C7C2C"/>
    <w:rsid w:val="006D2A6A"/>
    <w:rsid w:val="006D2C4E"/>
    <w:rsid w:val="006D2C69"/>
    <w:rsid w:val="006D5330"/>
    <w:rsid w:val="006D67AC"/>
    <w:rsid w:val="006E27A4"/>
    <w:rsid w:val="006E4352"/>
    <w:rsid w:val="006E70E9"/>
    <w:rsid w:val="006E7657"/>
    <w:rsid w:val="006F4E99"/>
    <w:rsid w:val="00701273"/>
    <w:rsid w:val="00711F82"/>
    <w:rsid w:val="007163A7"/>
    <w:rsid w:val="0072289E"/>
    <w:rsid w:val="00727ED9"/>
    <w:rsid w:val="007322F4"/>
    <w:rsid w:val="00733E68"/>
    <w:rsid w:val="0074255F"/>
    <w:rsid w:val="00743656"/>
    <w:rsid w:val="0074721A"/>
    <w:rsid w:val="00747BCD"/>
    <w:rsid w:val="00753C94"/>
    <w:rsid w:val="00755C49"/>
    <w:rsid w:val="00761BE9"/>
    <w:rsid w:val="00762640"/>
    <w:rsid w:val="0077130B"/>
    <w:rsid w:val="0077344A"/>
    <w:rsid w:val="00797104"/>
    <w:rsid w:val="007A5189"/>
    <w:rsid w:val="007B5B4E"/>
    <w:rsid w:val="007C4A7B"/>
    <w:rsid w:val="007C4CC6"/>
    <w:rsid w:val="007D47A0"/>
    <w:rsid w:val="007D66EB"/>
    <w:rsid w:val="007E1B3B"/>
    <w:rsid w:val="007E25E6"/>
    <w:rsid w:val="007E43D9"/>
    <w:rsid w:val="007E48DD"/>
    <w:rsid w:val="007E50B3"/>
    <w:rsid w:val="007F45E3"/>
    <w:rsid w:val="007F716B"/>
    <w:rsid w:val="00803A9B"/>
    <w:rsid w:val="00803E7C"/>
    <w:rsid w:val="0080559B"/>
    <w:rsid w:val="00814E7C"/>
    <w:rsid w:val="00816348"/>
    <w:rsid w:val="00816C03"/>
    <w:rsid w:val="00822067"/>
    <w:rsid w:val="0082264F"/>
    <w:rsid w:val="00825EBC"/>
    <w:rsid w:val="00836D3B"/>
    <w:rsid w:val="00852F65"/>
    <w:rsid w:val="008566CE"/>
    <w:rsid w:val="0085749C"/>
    <w:rsid w:val="00862069"/>
    <w:rsid w:val="008700E3"/>
    <w:rsid w:val="00874586"/>
    <w:rsid w:val="00875D9F"/>
    <w:rsid w:val="00885206"/>
    <w:rsid w:val="00887D13"/>
    <w:rsid w:val="008924A0"/>
    <w:rsid w:val="00894763"/>
    <w:rsid w:val="00895AEF"/>
    <w:rsid w:val="00896773"/>
    <w:rsid w:val="00896C53"/>
    <w:rsid w:val="008A261E"/>
    <w:rsid w:val="008A3032"/>
    <w:rsid w:val="008B1CF7"/>
    <w:rsid w:val="008B3767"/>
    <w:rsid w:val="008B762A"/>
    <w:rsid w:val="008C34AC"/>
    <w:rsid w:val="008C56C2"/>
    <w:rsid w:val="008C59B6"/>
    <w:rsid w:val="008C6E13"/>
    <w:rsid w:val="008C7555"/>
    <w:rsid w:val="008D5307"/>
    <w:rsid w:val="008D6FB8"/>
    <w:rsid w:val="008E1DF4"/>
    <w:rsid w:val="008E227F"/>
    <w:rsid w:val="008E4FAD"/>
    <w:rsid w:val="008F381B"/>
    <w:rsid w:val="008F6633"/>
    <w:rsid w:val="0090688E"/>
    <w:rsid w:val="009167BA"/>
    <w:rsid w:val="0091684E"/>
    <w:rsid w:val="00921D43"/>
    <w:rsid w:val="009279C1"/>
    <w:rsid w:val="0093171F"/>
    <w:rsid w:val="009371F5"/>
    <w:rsid w:val="00944681"/>
    <w:rsid w:val="0094798A"/>
    <w:rsid w:val="009516A1"/>
    <w:rsid w:val="009532E2"/>
    <w:rsid w:val="009559B6"/>
    <w:rsid w:val="009721B0"/>
    <w:rsid w:val="0097274C"/>
    <w:rsid w:val="0097506C"/>
    <w:rsid w:val="00977A9D"/>
    <w:rsid w:val="00977D50"/>
    <w:rsid w:val="00982403"/>
    <w:rsid w:val="00996A59"/>
    <w:rsid w:val="009970A1"/>
    <w:rsid w:val="009A630A"/>
    <w:rsid w:val="009B2006"/>
    <w:rsid w:val="009C77AE"/>
    <w:rsid w:val="009D0CE6"/>
    <w:rsid w:val="009D100B"/>
    <w:rsid w:val="009E5A85"/>
    <w:rsid w:val="009F08B6"/>
    <w:rsid w:val="009F0F2A"/>
    <w:rsid w:val="009F1982"/>
    <w:rsid w:val="009F53FD"/>
    <w:rsid w:val="00A006EC"/>
    <w:rsid w:val="00A022D6"/>
    <w:rsid w:val="00A075FE"/>
    <w:rsid w:val="00A11B03"/>
    <w:rsid w:val="00A12EF0"/>
    <w:rsid w:val="00A13FA3"/>
    <w:rsid w:val="00A1579F"/>
    <w:rsid w:val="00A22C5A"/>
    <w:rsid w:val="00A24F1E"/>
    <w:rsid w:val="00A2596F"/>
    <w:rsid w:val="00A31110"/>
    <w:rsid w:val="00A32B84"/>
    <w:rsid w:val="00A36A1D"/>
    <w:rsid w:val="00A37E06"/>
    <w:rsid w:val="00A6525A"/>
    <w:rsid w:val="00A656C1"/>
    <w:rsid w:val="00A66EAD"/>
    <w:rsid w:val="00A71B48"/>
    <w:rsid w:val="00A72B78"/>
    <w:rsid w:val="00A77527"/>
    <w:rsid w:val="00A80E63"/>
    <w:rsid w:val="00A82FC8"/>
    <w:rsid w:val="00A91864"/>
    <w:rsid w:val="00A95BCA"/>
    <w:rsid w:val="00AA26DE"/>
    <w:rsid w:val="00AA7FF2"/>
    <w:rsid w:val="00AB1F72"/>
    <w:rsid w:val="00AB2272"/>
    <w:rsid w:val="00AB370A"/>
    <w:rsid w:val="00AB4024"/>
    <w:rsid w:val="00AB45B7"/>
    <w:rsid w:val="00AB46FA"/>
    <w:rsid w:val="00AB496C"/>
    <w:rsid w:val="00AB51D1"/>
    <w:rsid w:val="00AC2807"/>
    <w:rsid w:val="00AD2CC6"/>
    <w:rsid w:val="00AE762E"/>
    <w:rsid w:val="00AE7FAD"/>
    <w:rsid w:val="00AF4074"/>
    <w:rsid w:val="00B04ABB"/>
    <w:rsid w:val="00B06BDB"/>
    <w:rsid w:val="00B15B59"/>
    <w:rsid w:val="00B17C09"/>
    <w:rsid w:val="00B20131"/>
    <w:rsid w:val="00B21FBB"/>
    <w:rsid w:val="00B266A6"/>
    <w:rsid w:val="00B32CF9"/>
    <w:rsid w:val="00B343E3"/>
    <w:rsid w:val="00B36F5E"/>
    <w:rsid w:val="00B40E35"/>
    <w:rsid w:val="00B46585"/>
    <w:rsid w:val="00B53EE8"/>
    <w:rsid w:val="00B71D7F"/>
    <w:rsid w:val="00B768F3"/>
    <w:rsid w:val="00B77F22"/>
    <w:rsid w:val="00B8385B"/>
    <w:rsid w:val="00B8751B"/>
    <w:rsid w:val="00BC02CB"/>
    <w:rsid w:val="00BC36AB"/>
    <w:rsid w:val="00BC7C67"/>
    <w:rsid w:val="00BD11B6"/>
    <w:rsid w:val="00BD313F"/>
    <w:rsid w:val="00BD4DC5"/>
    <w:rsid w:val="00BE5555"/>
    <w:rsid w:val="00BE5CE9"/>
    <w:rsid w:val="00BF03AF"/>
    <w:rsid w:val="00BF137C"/>
    <w:rsid w:val="00BF7635"/>
    <w:rsid w:val="00C0062F"/>
    <w:rsid w:val="00C031C3"/>
    <w:rsid w:val="00C0438D"/>
    <w:rsid w:val="00C1169C"/>
    <w:rsid w:val="00C130FC"/>
    <w:rsid w:val="00C1535E"/>
    <w:rsid w:val="00C1585E"/>
    <w:rsid w:val="00C246C7"/>
    <w:rsid w:val="00C27AB5"/>
    <w:rsid w:val="00C3110E"/>
    <w:rsid w:val="00C40CF4"/>
    <w:rsid w:val="00C42D86"/>
    <w:rsid w:val="00C43317"/>
    <w:rsid w:val="00C44522"/>
    <w:rsid w:val="00C4514A"/>
    <w:rsid w:val="00C46A81"/>
    <w:rsid w:val="00C47E26"/>
    <w:rsid w:val="00C544AA"/>
    <w:rsid w:val="00C57A09"/>
    <w:rsid w:val="00C66F40"/>
    <w:rsid w:val="00C72DF1"/>
    <w:rsid w:val="00C76C64"/>
    <w:rsid w:val="00C77B8B"/>
    <w:rsid w:val="00C85C37"/>
    <w:rsid w:val="00C86718"/>
    <w:rsid w:val="00C86AF2"/>
    <w:rsid w:val="00C86EA7"/>
    <w:rsid w:val="00C9080B"/>
    <w:rsid w:val="00CA02FC"/>
    <w:rsid w:val="00CA0A3D"/>
    <w:rsid w:val="00CA40B1"/>
    <w:rsid w:val="00CA4CD0"/>
    <w:rsid w:val="00CA5999"/>
    <w:rsid w:val="00CA71A0"/>
    <w:rsid w:val="00CB481F"/>
    <w:rsid w:val="00CB52F0"/>
    <w:rsid w:val="00CB5DC6"/>
    <w:rsid w:val="00CC097E"/>
    <w:rsid w:val="00CC1383"/>
    <w:rsid w:val="00CC1FED"/>
    <w:rsid w:val="00CC3D9A"/>
    <w:rsid w:val="00CC7A38"/>
    <w:rsid w:val="00CD1170"/>
    <w:rsid w:val="00CD6886"/>
    <w:rsid w:val="00CE0455"/>
    <w:rsid w:val="00CE2858"/>
    <w:rsid w:val="00CE48DF"/>
    <w:rsid w:val="00CE7120"/>
    <w:rsid w:val="00D01464"/>
    <w:rsid w:val="00D03BF8"/>
    <w:rsid w:val="00D06546"/>
    <w:rsid w:val="00D17BF9"/>
    <w:rsid w:val="00D21D8E"/>
    <w:rsid w:val="00D2510D"/>
    <w:rsid w:val="00D32B69"/>
    <w:rsid w:val="00D3732E"/>
    <w:rsid w:val="00D40098"/>
    <w:rsid w:val="00D420C7"/>
    <w:rsid w:val="00D42BF7"/>
    <w:rsid w:val="00D57272"/>
    <w:rsid w:val="00D7189E"/>
    <w:rsid w:val="00D723CC"/>
    <w:rsid w:val="00D737D4"/>
    <w:rsid w:val="00D7483E"/>
    <w:rsid w:val="00D82BF1"/>
    <w:rsid w:val="00D90ABB"/>
    <w:rsid w:val="00D91B3E"/>
    <w:rsid w:val="00D93CA5"/>
    <w:rsid w:val="00D97B77"/>
    <w:rsid w:val="00DA3EDB"/>
    <w:rsid w:val="00DB4484"/>
    <w:rsid w:val="00DB4737"/>
    <w:rsid w:val="00DB6C03"/>
    <w:rsid w:val="00DD0193"/>
    <w:rsid w:val="00DE2C5A"/>
    <w:rsid w:val="00DE681D"/>
    <w:rsid w:val="00DF6444"/>
    <w:rsid w:val="00E0304A"/>
    <w:rsid w:val="00E11646"/>
    <w:rsid w:val="00E1701D"/>
    <w:rsid w:val="00E273BF"/>
    <w:rsid w:val="00E41955"/>
    <w:rsid w:val="00E42BB8"/>
    <w:rsid w:val="00E433F4"/>
    <w:rsid w:val="00E5028B"/>
    <w:rsid w:val="00E66E06"/>
    <w:rsid w:val="00E67307"/>
    <w:rsid w:val="00E70E4C"/>
    <w:rsid w:val="00E71E08"/>
    <w:rsid w:val="00E826B9"/>
    <w:rsid w:val="00E85CEE"/>
    <w:rsid w:val="00E86FD4"/>
    <w:rsid w:val="00E942BF"/>
    <w:rsid w:val="00E9673D"/>
    <w:rsid w:val="00EA066D"/>
    <w:rsid w:val="00EA5BD1"/>
    <w:rsid w:val="00EA6D8A"/>
    <w:rsid w:val="00EB4E57"/>
    <w:rsid w:val="00EC52DF"/>
    <w:rsid w:val="00EC7555"/>
    <w:rsid w:val="00ED24C3"/>
    <w:rsid w:val="00ED3AD1"/>
    <w:rsid w:val="00ED588F"/>
    <w:rsid w:val="00EE1B8D"/>
    <w:rsid w:val="00EE6E5F"/>
    <w:rsid w:val="00EF00EC"/>
    <w:rsid w:val="00EF0112"/>
    <w:rsid w:val="00EF66DC"/>
    <w:rsid w:val="00F0126F"/>
    <w:rsid w:val="00F01ADC"/>
    <w:rsid w:val="00F1139D"/>
    <w:rsid w:val="00F1595B"/>
    <w:rsid w:val="00F20A80"/>
    <w:rsid w:val="00F210F7"/>
    <w:rsid w:val="00F262C3"/>
    <w:rsid w:val="00F2789E"/>
    <w:rsid w:val="00F3163B"/>
    <w:rsid w:val="00F320CF"/>
    <w:rsid w:val="00F32AF7"/>
    <w:rsid w:val="00F34BF2"/>
    <w:rsid w:val="00F35FCB"/>
    <w:rsid w:val="00F4221D"/>
    <w:rsid w:val="00F42326"/>
    <w:rsid w:val="00F47A82"/>
    <w:rsid w:val="00F51B75"/>
    <w:rsid w:val="00F6501F"/>
    <w:rsid w:val="00F7228B"/>
    <w:rsid w:val="00F80DEA"/>
    <w:rsid w:val="00F870D9"/>
    <w:rsid w:val="00F967D0"/>
    <w:rsid w:val="00F96FDC"/>
    <w:rsid w:val="00F97B3B"/>
    <w:rsid w:val="00FA4620"/>
    <w:rsid w:val="00FA79BE"/>
    <w:rsid w:val="00FB6A1C"/>
    <w:rsid w:val="00FB6CE7"/>
    <w:rsid w:val="00FD6332"/>
    <w:rsid w:val="00FE3DD3"/>
    <w:rsid w:val="00FE7F4C"/>
    <w:rsid w:val="00FF026F"/>
    <w:rsid w:val="00FF0F47"/>
    <w:rsid w:val="00FF1638"/>
    <w:rsid w:val="00FF79A5"/>
    <w:rsid w:val="08A16041"/>
    <w:rsid w:val="0D4F5918"/>
    <w:rsid w:val="0D8630A3"/>
    <w:rsid w:val="1504E64D"/>
    <w:rsid w:val="156313B0"/>
    <w:rsid w:val="1779BFEF"/>
    <w:rsid w:val="220AC7F3"/>
    <w:rsid w:val="22AFF951"/>
    <w:rsid w:val="28FF16BC"/>
    <w:rsid w:val="2B026A0F"/>
    <w:rsid w:val="2CEDA56B"/>
    <w:rsid w:val="326F47F1"/>
    <w:rsid w:val="387DFC1D"/>
    <w:rsid w:val="3982C483"/>
    <w:rsid w:val="3B5C05C5"/>
    <w:rsid w:val="3C45BBA3"/>
    <w:rsid w:val="3CACFD50"/>
    <w:rsid w:val="44C826A1"/>
    <w:rsid w:val="474B2A14"/>
    <w:rsid w:val="49256AF7"/>
    <w:rsid w:val="4CA9FB29"/>
    <w:rsid w:val="528D55C8"/>
    <w:rsid w:val="5BD74420"/>
    <w:rsid w:val="5EA468D6"/>
    <w:rsid w:val="64BEE51B"/>
    <w:rsid w:val="695F0CDE"/>
    <w:rsid w:val="766D99F6"/>
    <w:rsid w:val="7A696D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7DD960"/>
  <w15:chartTrackingRefBased/>
  <w15:docId w15:val="{A95D0007-228D-45F1-8DC5-4740C70E0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0E9"/>
    <w:pPr>
      <w:spacing w:after="120" w:line="264" w:lineRule="auto"/>
    </w:pPr>
  </w:style>
  <w:style w:type="paragraph" w:styleId="Heading1">
    <w:name w:val="heading 1"/>
    <w:basedOn w:val="Normal"/>
    <w:next w:val="Normal"/>
    <w:link w:val="Heading1Char"/>
    <w:uiPriority w:val="9"/>
    <w:qFormat/>
    <w:rsid w:val="004D4783"/>
    <w:pPr>
      <w:keepNext/>
      <w:keepLines/>
      <w:spacing w:before="360"/>
      <w:outlineLvl w:val="0"/>
    </w:pPr>
    <w:rPr>
      <w:rFonts w:asciiTheme="majorHAnsi" w:eastAsiaTheme="majorEastAsia" w:hAnsiTheme="majorHAnsi" w:cstheme="majorBidi"/>
      <w:b/>
      <w:color w:val="183456" w:themeColor="accent1" w:themeShade="BF"/>
      <w:sz w:val="32"/>
      <w:szCs w:val="32"/>
    </w:rPr>
  </w:style>
  <w:style w:type="paragraph" w:styleId="Heading2">
    <w:name w:val="heading 2"/>
    <w:basedOn w:val="Normal"/>
    <w:next w:val="Normal"/>
    <w:link w:val="Heading2Char"/>
    <w:uiPriority w:val="9"/>
    <w:unhideWhenUsed/>
    <w:qFormat/>
    <w:rsid w:val="009F53FD"/>
    <w:pPr>
      <w:keepNext/>
      <w:keepLines/>
      <w:spacing w:before="240"/>
      <w:outlineLvl w:val="1"/>
    </w:pPr>
    <w:rPr>
      <w:rFonts w:asciiTheme="majorHAnsi" w:eastAsiaTheme="majorEastAsia" w:hAnsiTheme="majorHAnsi" w:cstheme="majorBidi"/>
      <w:b/>
      <w:color w:val="183456" w:themeColor="accent1" w:themeShade="BF"/>
      <w:sz w:val="26"/>
      <w:szCs w:val="26"/>
    </w:rPr>
  </w:style>
  <w:style w:type="paragraph" w:styleId="Heading3">
    <w:name w:val="heading 3"/>
    <w:basedOn w:val="Normal"/>
    <w:next w:val="Normal"/>
    <w:link w:val="Heading3Char"/>
    <w:uiPriority w:val="9"/>
    <w:unhideWhenUsed/>
    <w:qFormat/>
    <w:rsid w:val="009F53FD"/>
    <w:pPr>
      <w:keepNext/>
      <w:keepLines/>
      <w:spacing w:before="120" w:after="0"/>
      <w:outlineLvl w:val="2"/>
    </w:pPr>
    <w:rPr>
      <w:rFonts w:asciiTheme="majorHAnsi" w:eastAsiaTheme="majorEastAsia" w:hAnsiTheme="majorHAnsi" w:cs="Times New Roman (Headings CS)"/>
      <w:b/>
      <w:color w:val="182D4D" w:themeColor="text2"/>
    </w:rPr>
  </w:style>
  <w:style w:type="paragraph" w:styleId="Heading4">
    <w:name w:val="heading 4"/>
    <w:basedOn w:val="Normal"/>
    <w:next w:val="Normal"/>
    <w:link w:val="Heading4Char"/>
    <w:uiPriority w:val="9"/>
    <w:unhideWhenUsed/>
    <w:qFormat/>
    <w:rsid w:val="009F53FD"/>
    <w:pPr>
      <w:keepNext/>
      <w:keepLines/>
      <w:spacing w:before="40" w:after="0"/>
      <w:outlineLvl w:val="3"/>
    </w:pPr>
    <w:rPr>
      <w:rFonts w:asciiTheme="majorHAnsi" w:eastAsiaTheme="majorEastAsia" w:hAnsiTheme="majorHAnsi" w:cstheme="majorBidi"/>
      <w:iCs/>
      <w:color w:val="18345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D4783"/>
    <w:rPr>
      <w:rFonts w:eastAsiaTheme="minorEastAsia"/>
      <w:szCs w:val="22"/>
      <w:lang w:eastAsia="zh-CN"/>
    </w:rPr>
  </w:style>
  <w:style w:type="character" w:customStyle="1" w:styleId="NoSpacingChar">
    <w:name w:val="No Spacing Char"/>
    <w:basedOn w:val="DefaultParagraphFont"/>
    <w:link w:val="NoSpacing"/>
    <w:uiPriority w:val="1"/>
    <w:rsid w:val="004D4783"/>
    <w:rPr>
      <w:rFonts w:eastAsiaTheme="minorEastAsia"/>
      <w:szCs w:val="22"/>
      <w:lang w:eastAsia="zh-CN"/>
    </w:rPr>
  </w:style>
  <w:style w:type="paragraph" w:styleId="Header">
    <w:name w:val="header"/>
    <w:basedOn w:val="Normal"/>
    <w:link w:val="HeaderChar"/>
    <w:uiPriority w:val="99"/>
    <w:unhideWhenUsed/>
    <w:rsid w:val="00196D5F"/>
    <w:pPr>
      <w:tabs>
        <w:tab w:val="center" w:pos="4680"/>
        <w:tab w:val="right" w:pos="9360"/>
      </w:tabs>
    </w:pPr>
  </w:style>
  <w:style w:type="character" w:customStyle="1" w:styleId="HeaderChar">
    <w:name w:val="Header Char"/>
    <w:basedOn w:val="DefaultParagraphFont"/>
    <w:link w:val="Header"/>
    <w:uiPriority w:val="99"/>
    <w:rsid w:val="00196D5F"/>
  </w:style>
  <w:style w:type="paragraph" w:styleId="Footer">
    <w:name w:val="footer"/>
    <w:basedOn w:val="Normal"/>
    <w:link w:val="FooterChar"/>
    <w:unhideWhenUsed/>
    <w:rsid w:val="00196D5F"/>
    <w:pPr>
      <w:tabs>
        <w:tab w:val="center" w:pos="4680"/>
        <w:tab w:val="right" w:pos="9360"/>
      </w:tabs>
    </w:pPr>
  </w:style>
  <w:style w:type="character" w:customStyle="1" w:styleId="FooterChar">
    <w:name w:val="Footer Char"/>
    <w:basedOn w:val="DefaultParagraphFont"/>
    <w:link w:val="Footer"/>
    <w:rsid w:val="00196D5F"/>
  </w:style>
  <w:style w:type="table" w:styleId="TableGrid">
    <w:name w:val="Table Grid"/>
    <w:basedOn w:val="TableNormal"/>
    <w:uiPriority w:val="39"/>
    <w:rsid w:val="00A32B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E2858"/>
    <w:pPr>
      <w:contextualSpacing/>
    </w:pPr>
    <w:rPr>
      <w:rFonts w:asciiTheme="majorHAnsi" w:eastAsiaTheme="majorEastAsia" w:hAnsiTheme="majorHAnsi" w:cstheme="majorBidi"/>
      <w:spacing w:val="-10"/>
      <w:kern w:val="28"/>
      <w:sz w:val="72"/>
      <w:szCs w:val="56"/>
    </w:rPr>
  </w:style>
  <w:style w:type="character" w:customStyle="1" w:styleId="TitleChar">
    <w:name w:val="Title Char"/>
    <w:basedOn w:val="DefaultParagraphFont"/>
    <w:link w:val="Title"/>
    <w:uiPriority w:val="10"/>
    <w:rsid w:val="00CE2858"/>
    <w:rPr>
      <w:rFonts w:asciiTheme="majorHAnsi" w:eastAsiaTheme="majorEastAsia" w:hAnsiTheme="majorHAnsi" w:cstheme="majorBidi"/>
      <w:spacing w:val="-10"/>
      <w:kern w:val="28"/>
      <w:sz w:val="72"/>
      <w:szCs w:val="56"/>
    </w:rPr>
  </w:style>
  <w:style w:type="character" w:customStyle="1" w:styleId="Heading1Char">
    <w:name w:val="Heading 1 Char"/>
    <w:basedOn w:val="DefaultParagraphFont"/>
    <w:link w:val="Heading1"/>
    <w:uiPriority w:val="9"/>
    <w:rsid w:val="004D4783"/>
    <w:rPr>
      <w:rFonts w:asciiTheme="majorHAnsi" w:eastAsiaTheme="majorEastAsia" w:hAnsiTheme="majorHAnsi" w:cstheme="majorBidi"/>
      <w:b/>
      <w:color w:val="183456" w:themeColor="accent1" w:themeShade="BF"/>
      <w:sz w:val="32"/>
      <w:szCs w:val="32"/>
    </w:rPr>
  </w:style>
  <w:style w:type="character" w:customStyle="1" w:styleId="Heading2Char">
    <w:name w:val="Heading 2 Char"/>
    <w:basedOn w:val="DefaultParagraphFont"/>
    <w:link w:val="Heading2"/>
    <w:uiPriority w:val="9"/>
    <w:rsid w:val="009F53FD"/>
    <w:rPr>
      <w:rFonts w:asciiTheme="majorHAnsi" w:eastAsiaTheme="majorEastAsia" w:hAnsiTheme="majorHAnsi" w:cstheme="majorBidi"/>
      <w:b/>
      <w:color w:val="183456" w:themeColor="accent1" w:themeShade="BF"/>
      <w:sz w:val="26"/>
      <w:szCs w:val="26"/>
    </w:rPr>
  </w:style>
  <w:style w:type="character" w:customStyle="1" w:styleId="Heading3Char">
    <w:name w:val="Heading 3 Char"/>
    <w:basedOn w:val="DefaultParagraphFont"/>
    <w:link w:val="Heading3"/>
    <w:uiPriority w:val="9"/>
    <w:rsid w:val="009F53FD"/>
    <w:rPr>
      <w:rFonts w:asciiTheme="majorHAnsi" w:eastAsiaTheme="majorEastAsia" w:hAnsiTheme="majorHAnsi" w:cs="Times New Roman (Headings CS)"/>
      <w:b/>
      <w:color w:val="182D4D" w:themeColor="text2"/>
    </w:rPr>
  </w:style>
  <w:style w:type="paragraph" w:styleId="ListParagraph">
    <w:name w:val="List Paragraph"/>
    <w:basedOn w:val="Normal"/>
    <w:uiPriority w:val="34"/>
    <w:qFormat/>
    <w:rsid w:val="00555900"/>
    <w:pPr>
      <w:spacing w:before="60" w:after="60"/>
      <w:ind w:left="720"/>
      <w:contextualSpacing/>
    </w:pPr>
  </w:style>
  <w:style w:type="character" w:styleId="PageNumber">
    <w:name w:val="page number"/>
    <w:basedOn w:val="DefaultParagraphFont"/>
    <w:uiPriority w:val="99"/>
    <w:semiHidden/>
    <w:unhideWhenUsed/>
    <w:rsid w:val="0003206E"/>
  </w:style>
  <w:style w:type="table" w:styleId="GridTable4-Accent1">
    <w:name w:val="Grid Table 4 Accent 1"/>
    <w:basedOn w:val="TableNormal"/>
    <w:uiPriority w:val="49"/>
    <w:rsid w:val="00560765"/>
    <w:tblPr>
      <w:tblStyleRowBandSize w:val="1"/>
      <w:tblStyleColBandSize w:val="1"/>
      <w:tblBorders>
        <w:top w:val="single" w:sz="4" w:space="0" w:color="548DD0" w:themeColor="accent1" w:themeTint="99"/>
        <w:left w:val="single" w:sz="4" w:space="0" w:color="548DD0" w:themeColor="accent1" w:themeTint="99"/>
        <w:bottom w:val="single" w:sz="4" w:space="0" w:color="548DD0" w:themeColor="accent1" w:themeTint="99"/>
        <w:right w:val="single" w:sz="4" w:space="0" w:color="548DD0" w:themeColor="accent1" w:themeTint="99"/>
        <w:insideH w:val="single" w:sz="4" w:space="0" w:color="548DD0" w:themeColor="accent1" w:themeTint="99"/>
        <w:insideV w:val="single" w:sz="4" w:space="0" w:color="548DD0" w:themeColor="accent1" w:themeTint="99"/>
      </w:tblBorders>
    </w:tblPr>
    <w:tblStylePr w:type="firstRow">
      <w:rPr>
        <w:b/>
        <w:bCs/>
        <w:color w:val="FFFFFF" w:themeColor="background1"/>
      </w:rPr>
      <w:tblPr/>
      <w:tcPr>
        <w:tcBorders>
          <w:top w:val="single" w:sz="4" w:space="0" w:color="204774" w:themeColor="accent1"/>
          <w:left w:val="single" w:sz="4" w:space="0" w:color="204774" w:themeColor="accent1"/>
          <w:bottom w:val="single" w:sz="4" w:space="0" w:color="204774" w:themeColor="accent1"/>
          <w:right w:val="single" w:sz="4" w:space="0" w:color="204774" w:themeColor="accent1"/>
          <w:insideH w:val="nil"/>
          <w:insideV w:val="nil"/>
        </w:tcBorders>
        <w:shd w:val="clear" w:color="auto" w:fill="204774" w:themeFill="accent1"/>
      </w:tcPr>
    </w:tblStylePr>
    <w:tblStylePr w:type="lastRow">
      <w:rPr>
        <w:b/>
        <w:bCs/>
      </w:rPr>
      <w:tblPr/>
      <w:tcPr>
        <w:tcBorders>
          <w:top w:val="double" w:sz="4" w:space="0" w:color="204774" w:themeColor="accent1"/>
        </w:tcBorders>
      </w:tcPr>
    </w:tblStylePr>
    <w:tblStylePr w:type="firstCol">
      <w:rPr>
        <w:b/>
        <w:bCs/>
      </w:rPr>
    </w:tblStylePr>
    <w:tblStylePr w:type="lastCol">
      <w:rPr>
        <w:b/>
        <w:bCs/>
      </w:rPr>
    </w:tblStylePr>
    <w:tblStylePr w:type="band1Vert">
      <w:tblPr/>
      <w:tcPr>
        <w:shd w:val="clear" w:color="auto" w:fill="C6D9EF" w:themeFill="accent1" w:themeFillTint="33"/>
      </w:tcPr>
    </w:tblStylePr>
    <w:tblStylePr w:type="band1Horz">
      <w:tblPr/>
      <w:tcPr>
        <w:shd w:val="clear" w:color="auto" w:fill="C6D9EF" w:themeFill="accent1" w:themeFillTint="33"/>
      </w:tcPr>
    </w:tblStylePr>
  </w:style>
  <w:style w:type="paragraph" w:styleId="TOCHeading">
    <w:name w:val="TOC Heading"/>
    <w:basedOn w:val="Heading1"/>
    <w:next w:val="Normal"/>
    <w:uiPriority w:val="39"/>
    <w:unhideWhenUsed/>
    <w:qFormat/>
    <w:rsid w:val="00583D1D"/>
    <w:pPr>
      <w:spacing w:before="480" w:line="276" w:lineRule="auto"/>
      <w:outlineLvl w:val="9"/>
    </w:pPr>
  </w:style>
  <w:style w:type="paragraph" w:styleId="TOC2">
    <w:name w:val="toc 2"/>
    <w:basedOn w:val="Heading3"/>
    <w:next w:val="Normal"/>
    <w:autoRedefine/>
    <w:uiPriority w:val="39"/>
    <w:unhideWhenUsed/>
    <w:rsid w:val="00C1169C"/>
    <w:pPr>
      <w:tabs>
        <w:tab w:val="right" w:pos="9350"/>
      </w:tabs>
      <w:ind w:left="240"/>
    </w:pPr>
    <w:rPr>
      <w:i/>
      <w:iCs/>
      <w:sz w:val="18"/>
      <w:szCs w:val="20"/>
    </w:rPr>
  </w:style>
  <w:style w:type="paragraph" w:styleId="TOC1">
    <w:name w:val="toc 1"/>
    <w:basedOn w:val="Heading2"/>
    <w:next w:val="Normal"/>
    <w:autoRedefine/>
    <w:uiPriority w:val="39"/>
    <w:unhideWhenUsed/>
    <w:rsid w:val="00583D1D"/>
    <w:pPr>
      <w:tabs>
        <w:tab w:val="right" w:pos="8828"/>
      </w:tabs>
    </w:pPr>
    <w:rPr>
      <w:sz w:val="22"/>
      <w:szCs w:val="20"/>
    </w:rPr>
  </w:style>
  <w:style w:type="paragraph" w:styleId="TOC3">
    <w:name w:val="toc 3"/>
    <w:basedOn w:val="Normal"/>
    <w:next w:val="Normal"/>
    <w:autoRedefine/>
    <w:uiPriority w:val="39"/>
    <w:unhideWhenUsed/>
    <w:rsid w:val="00A37E06"/>
    <w:pPr>
      <w:tabs>
        <w:tab w:val="right" w:pos="9350"/>
      </w:tabs>
      <w:ind w:left="480"/>
    </w:pPr>
    <w:rPr>
      <w:sz w:val="20"/>
      <w:szCs w:val="20"/>
    </w:rPr>
  </w:style>
  <w:style w:type="paragraph" w:styleId="TOC4">
    <w:name w:val="toc 4"/>
    <w:basedOn w:val="Normal"/>
    <w:next w:val="Normal"/>
    <w:autoRedefine/>
    <w:uiPriority w:val="39"/>
    <w:semiHidden/>
    <w:unhideWhenUsed/>
    <w:rsid w:val="00E86FD4"/>
    <w:pPr>
      <w:ind w:left="720"/>
    </w:pPr>
    <w:rPr>
      <w:sz w:val="20"/>
      <w:szCs w:val="20"/>
    </w:rPr>
  </w:style>
  <w:style w:type="paragraph" w:styleId="TOC5">
    <w:name w:val="toc 5"/>
    <w:basedOn w:val="Normal"/>
    <w:next w:val="Normal"/>
    <w:autoRedefine/>
    <w:uiPriority w:val="39"/>
    <w:semiHidden/>
    <w:unhideWhenUsed/>
    <w:rsid w:val="00E86FD4"/>
    <w:pPr>
      <w:ind w:left="960"/>
    </w:pPr>
    <w:rPr>
      <w:sz w:val="20"/>
      <w:szCs w:val="20"/>
    </w:rPr>
  </w:style>
  <w:style w:type="paragraph" w:styleId="TOC6">
    <w:name w:val="toc 6"/>
    <w:basedOn w:val="Normal"/>
    <w:next w:val="Normal"/>
    <w:autoRedefine/>
    <w:uiPriority w:val="39"/>
    <w:semiHidden/>
    <w:unhideWhenUsed/>
    <w:rsid w:val="00E86FD4"/>
    <w:pPr>
      <w:ind w:left="1200"/>
    </w:pPr>
    <w:rPr>
      <w:sz w:val="20"/>
      <w:szCs w:val="20"/>
    </w:rPr>
  </w:style>
  <w:style w:type="paragraph" w:styleId="TOC7">
    <w:name w:val="toc 7"/>
    <w:basedOn w:val="Normal"/>
    <w:next w:val="Normal"/>
    <w:autoRedefine/>
    <w:uiPriority w:val="39"/>
    <w:semiHidden/>
    <w:unhideWhenUsed/>
    <w:rsid w:val="00E86FD4"/>
    <w:pPr>
      <w:ind w:left="1440"/>
    </w:pPr>
    <w:rPr>
      <w:sz w:val="20"/>
      <w:szCs w:val="20"/>
    </w:rPr>
  </w:style>
  <w:style w:type="paragraph" w:styleId="TOC8">
    <w:name w:val="toc 8"/>
    <w:basedOn w:val="Normal"/>
    <w:next w:val="Normal"/>
    <w:autoRedefine/>
    <w:uiPriority w:val="39"/>
    <w:semiHidden/>
    <w:unhideWhenUsed/>
    <w:rsid w:val="00E86FD4"/>
    <w:pPr>
      <w:ind w:left="1680"/>
    </w:pPr>
    <w:rPr>
      <w:sz w:val="20"/>
      <w:szCs w:val="20"/>
    </w:rPr>
  </w:style>
  <w:style w:type="paragraph" w:styleId="TOC9">
    <w:name w:val="toc 9"/>
    <w:basedOn w:val="Normal"/>
    <w:next w:val="Normal"/>
    <w:autoRedefine/>
    <w:uiPriority w:val="39"/>
    <w:semiHidden/>
    <w:unhideWhenUsed/>
    <w:rsid w:val="00E86FD4"/>
    <w:pPr>
      <w:ind w:left="1920"/>
    </w:pPr>
    <w:rPr>
      <w:sz w:val="20"/>
      <w:szCs w:val="20"/>
    </w:rPr>
  </w:style>
  <w:style w:type="character" w:customStyle="1" w:styleId="Heading4Char">
    <w:name w:val="Heading 4 Char"/>
    <w:basedOn w:val="DefaultParagraphFont"/>
    <w:link w:val="Heading4"/>
    <w:uiPriority w:val="9"/>
    <w:rsid w:val="009F53FD"/>
    <w:rPr>
      <w:rFonts w:asciiTheme="majorHAnsi" w:eastAsiaTheme="majorEastAsia" w:hAnsiTheme="majorHAnsi" w:cstheme="majorBidi"/>
      <w:iCs/>
      <w:color w:val="183456" w:themeColor="accent1" w:themeShade="BF"/>
    </w:rPr>
  </w:style>
  <w:style w:type="character" w:styleId="Hyperlink">
    <w:name w:val="Hyperlink"/>
    <w:basedOn w:val="DefaultParagraphFont"/>
    <w:uiPriority w:val="99"/>
    <w:unhideWhenUsed/>
    <w:rsid w:val="00583D1D"/>
    <w:rPr>
      <w:color w:val="155395" w:themeColor="hyperlink"/>
      <w:u w:val="single"/>
    </w:rPr>
  </w:style>
  <w:style w:type="paragraph" w:styleId="CommentText">
    <w:name w:val="annotation text"/>
    <w:basedOn w:val="Normal"/>
    <w:link w:val="CommentTextChar"/>
    <w:uiPriority w:val="99"/>
    <w:unhideWhenUsed/>
    <w:rsid w:val="009D0CE6"/>
    <w:pPr>
      <w:spacing w:line="240" w:lineRule="auto"/>
    </w:pPr>
    <w:rPr>
      <w:sz w:val="20"/>
      <w:szCs w:val="20"/>
    </w:rPr>
  </w:style>
  <w:style w:type="character" w:customStyle="1" w:styleId="CommentTextChar">
    <w:name w:val="Comment Text Char"/>
    <w:basedOn w:val="DefaultParagraphFont"/>
    <w:link w:val="CommentText"/>
    <w:uiPriority w:val="99"/>
    <w:rsid w:val="009D0CE6"/>
    <w:rPr>
      <w:sz w:val="20"/>
      <w:szCs w:val="20"/>
    </w:rPr>
  </w:style>
  <w:style w:type="character" w:styleId="CommentReference">
    <w:name w:val="annotation reference"/>
    <w:basedOn w:val="DefaultParagraphFont"/>
    <w:uiPriority w:val="99"/>
    <w:semiHidden/>
    <w:unhideWhenUsed/>
    <w:rsid w:val="009D0CE6"/>
    <w:rPr>
      <w:sz w:val="16"/>
      <w:szCs w:val="16"/>
    </w:rPr>
  </w:style>
  <w:style w:type="table" w:customStyle="1" w:styleId="GridTable4-Accent11">
    <w:name w:val="Grid Table 4 - Accent 11"/>
    <w:basedOn w:val="TableNormal"/>
    <w:next w:val="GridTable4-Accent1"/>
    <w:uiPriority w:val="49"/>
    <w:rsid w:val="00DE2C5A"/>
    <w:pPr>
      <w:spacing w:after="200" w:line="276" w:lineRule="auto"/>
    </w:pPr>
    <w:tblPr>
      <w:tblStyleRowBandSize w:val="1"/>
      <w:tblStyleColBandSize w:val="1"/>
      <w:tblBorders>
        <w:top w:val="single" w:sz="4" w:space="0" w:color="548DD0" w:themeColor="accent1" w:themeTint="99"/>
        <w:left w:val="single" w:sz="4" w:space="0" w:color="548DD0" w:themeColor="accent1" w:themeTint="99"/>
        <w:bottom w:val="single" w:sz="4" w:space="0" w:color="548DD0" w:themeColor="accent1" w:themeTint="99"/>
        <w:right w:val="single" w:sz="4" w:space="0" w:color="548DD0" w:themeColor="accent1" w:themeTint="99"/>
        <w:insideH w:val="single" w:sz="4" w:space="0" w:color="548DD0" w:themeColor="accent1" w:themeTint="99"/>
        <w:insideV w:val="single" w:sz="4" w:space="0" w:color="548DD0" w:themeColor="accent1" w:themeTint="99"/>
      </w:tblBorders>
    </w:tblPr>
    <w:tblStylePr w:type="firstRow">
      <w:rPr>
        <w:b/>
        <w:bCs/>
        <w:color w:val="FFFFFF" w:themeColor="background1"/>
      </w:rPr>
      <w:tblPr/>
      <w:tcPr>
        <w:tcBorders>
          <w:top w:val="single" w:sz="4" w:space="0" w:color="204774" w:themeColor="accent1"/>
          <w:left w:val="single" w:sz="4" w:space="0" w:color="204774" w:themeColor="accent1"/>
          <w:bottom w:val="single" w:sz="4" w:space="0" w:color="204774" w:themeColor="accent1"/>
          <w:right w:val="single" w:sz="4" w:space="0" w:color="204774" w:themeColor="accent1"/>
          <w:insideH w:val="nil"/>
          <w:insideV w:val="nil"/>
        </w:tcBorders>
        <w:shd w:val="clear" w:color="auto" w:fill="204774" w:themeFill="accent1"/>
      </w:tcPr>
    </w:tblStylePr>
    <w:tblStylePr w:type="lastRow">
      <w:rPr>
        <w:b/>
        <w:bCs/>
      </w:rPr>
      <w:tblPr/>
      <w:tcPr>
        <w:tcBorders>
          <w:top w:val="double" w:sz="4" w:space="0" w:color="204774" w:themeColor="accent1"/>
        </w:tcBorders>
      </w:tcPr>
    </w:tblStylePr>
    <w:tblStylePr w:type="firstCol">
      <w:rPr>
        <w:b/>
        <w:bCs/>
      </w:rPr>
    </w:tblStylePr>
    <w:tblStylePr w:type="lastCol">
      <w:rPr>
        <w:b/>
        <w:bCs/>
      </w:rPr>
    </w:tblStylePr>
    <w:tblStylePr w:type="band1Vert">
      <w:tblPr/>
      <w:tcPr>
        <w:shd w:val="clear" w:color="auto" w:fill="C6D9EF" w:themeFill="accent1" w:themeFillTint="33"/>
      </w:tcPr>
    </w:tblStylePr>
    <w:tblStylePr w:type="band1Horz">
      <w:tblPr/>
      <w:tcPr>
        <w:shd w:val="clear" w:color="auto" w:fill="C6D9EF" w:themeFill="accent1" w:themeFillTint="33"/>
      </w:tcPr>
    </w:tblStylePr>
  </w:style>
  <w:style w:type="table" w:customStyle="1" w:styleId="GridTable4-Accent12">
    <w:name w:val="Grid Table 4 - Accent 12"/>
    <w:basedOn w:val="TableNormal"/>
    <w:next w:val="GridTable4-Accent1"/>
    <w:uiPriority w:val="49"/>
    <w:rsid w:val="001E7309"/>
    <w:tblPr>
      <w:tblStyleRowBandSize w:val="1"/>
      <w:tblStyleColBandSize w:val="1"/>
      <w:tblBorders>
        <w:top w:val="single" w:sz="4" w:space="0" w:color="548DD0" w:themeColor="accent1" w:themeTint="99"/>
        <w:left w:val="single" w:sz="4" w:space="0" w:color="548DD0" w:themeColor="accent1" w:themeTint="99"/>
        <w:bottom w:val="single" w:sz="4" w:space="0" w:color="548DD0" w:themeColor="accent1" w:themeTint="99"/>
        <w:right w:val="single" w:sz="4" w:space="0" w:color="548DD0" w:themeColor="accent1" w:themeTint="99"/>
        <w:insideH w:val="single" w:sz="4" w:space="0" w:color="548DD0" w:themeColor="accent1" w:themeTint="99"/>
        <w:insideV w:val="single" w:sz="4" w:space="0" w:color="548DD0" w:themeColor="accent1" w:themeTint="99"/>
      </w:tblBorders>
    </w:tblPr>
    <w:tblStylePr w:type="firstRow">
      <w:rPr>
        <w:b/>
        <w:bCs/>
        <w:color w:val="FFFFFF" w:themeColor="background1"/>
      </w:rPr>
      <w:tblPr/>
      <w:tcPr>
        <w:tcBorders>
          <w:top w:val="single" w:sz="4" w:space="0" w:color="204774" w:themeColor="accent1"/>
          <w:left w:val="single" w:sz="4" w:space="0" w:color="204774" w:themeColor="accent1"/>
          <w:bottom w:val="single" w:sz="4" w:space="0" w:color="204774" w:themeColor="accent1"/>
          <w:right w:val="single" w:sz="4" w:space="0" w:color="204774" w:themeColor="accent1"/>
          <w:insideH w:val="nil"/>
          <w:insideV w:val="nil"/>
        </w:tcBorders>
        <w:shd w:val="clear" w:color="auto" w:fill="204774" w:themeFill="accent1"/>
      </w:tcPr>
    </w:tblStylePr>
    <w:tblStylePr w:type="lastRow">
      <w:rPr>
        <w:b/>
        <w:bCs/>
      </w:rPr>
      <w:tblPr/>
      <w:tcPr>
        <w:tcBorders>
          <w:top w:val="double" w:sz="4" w:space="0" w:color="204774" w:themeColor="accent1"/>
        </w:tcBorders>
      </w:tcPr>
    </w:tblStylePr>
    <w:tblStylePr w:type="firstCol">
      <w:rPr>
        <w:b/>
        <w:bCs/>
      </w:rPr>
    </w:tblStylePr>
    <w:tblStylePr w:type="lastCol">
      <w:rPr>
        <w:b/>
        <w:bCs/>
      </w:rPr>
    </w:tblStylePr>
    <w:tblStylePr w:type="band1Vert">
      <w:tblPr/>
      <w:tcPr>
        <w:shd w:val="clear" w:color="auto" w:fill="C6D9EF" w:themeFill="accent1" w:themeFillTint="33"/>
      </w:tcPr>
    </w:tblStylePr>
    <w:tblStylePr w:type="band1Horz">
      <w:tblPr/>
      <w:tcPr>
        <w:shd w:val="clear" w:color="auto" w:fill="C6D9EF" w:themeFill="accent1" w:themeFillTint="33"/>
      </w:tcPr>
    </w:tblStylePr>
  </w:style>
  <w:style w:type="table" w:customStyle="1" w:styleId="GridTable4-Accent14">
    <w:name w:val="Grid Table 4 - Accent 14"/>
    <w:basedOn w:val="TableNormal"/>
    <w:next w:val="GridTable4-Accent1"/>
    <w:uiPriority w:val="49"/>
    <w:rsid w:val="006F4E99"/>
    <w:tblPr>
      <w:tblStyleRowBandSize w:val="1"/>
      <w:tblStyleColBandSize w:val="1"/>
      <w:tblBorders>
        <w:top w:val="single" w:sz="4" w:space="0" w:color="548DD0" w:themeColor="accent1" w:themeTint="99"/>
        <w:left w:val="single" w:sz="4" w:space="0" w:color="548DD0" w:themeColor="accent1" w:themeTint="99"/>
        <w:bottom w:val="single" w:sz="4" w:space="0" w:color="548DD0" w:themeColor="accent1" w:themeTint="99"/>
        <w:right w:val="single" w:sz="4" w:space="0" w:color="548DD0" w:themeColor="accent1" w:themeTint="99"/>
        <w:insideH w:val="single" w:sz="4" w:space="0" w:color="548DD0" w:themeColor="accent1" w:themeTint="99"/>
        <w:insideV w:val="single" w:sz="4" w:space="0" w:color="548DD0" w:themeColor="accent1" w:themeTint="99"/>
      </w:tblBorders>
    </w:tblPr>
    <w:tblStylePr w:type="firstRow">
      <w:rPr>
        <w:b/>
        <w:bCs/>
        <w:color w:val="FFFFFF" w:themeColor="background1"/>
      </w:rPr>
      <w:tblPr/>
      <w:tcPr>
        <w:tcBorders>
          <w:top w:val="single" w:sz="4" w:space="0" w:color="204774" w:themeColor="accent1"/>
          <w:left w:val="single" w:sz="4" w:space="0" w:color="204774" w:themeColor="accent1"/>
          <w:bottom w:val="single" w:sz="4" w:space="0" w:color="204774" w:themeColor="accent1"/>
          <w:right w:val="single" w:sz="4" w:space="0" w:color="204774" w:themeColor="accent1"/>
          <w:insideH w:val="nil"/>
          <w:insideV w:val="nil"/>
        </w:tcBorders>
        <w:shd w:val="clear" w:color="auto" w:fill="204774" w:themeFill="accent1"/>
      </w:tcPr>
    </w:tblStylePr>
    <w:tblStylePr w:type="lastRow">
      <w:rPr>
        <w:b/>
        <w:bCs/>
      </w:rPr>
      <w:tblPr/>
      <w:tcPr>
        <w:tcBorders>
          <w:top w:val="double" w:sz="4" w:space="0" w:color="204774" w:themeColor="accent1"/>
        </w:tcBorders>
      </w:tcPr>
    </w:tblStylePr>
    <w:tblStylePr w:type="firstCol">
      <w:rPr>
        <w:b/>
        <w:bCs/>
      </w:rPr>
    </w:tblStylePr>
    <w:tblStylePr w:type="lastCol">
      <w:rPr>
        <w:b/>
        <w:bCs/>
      </w:rPr>
    </w:tblStylePr>
    <w:tblStylePr w:type="band1Vert">
      <w:tblPr/>
      <w:tcPr>
        <w:shd w:val="clear" w:color="auto" w:fill="C6D9EF" w:themeFill="accent1" w:themeFillTint="33"/>
      </w:tcPr>
    </w:tblStylePr>
    <w:tblStylePr w:type="band1Horz">
      <w:tblPr/>
      <w:tcPr>
        <w:shd w:val="clear" w:color="auto" w:fill="C6D9EF" w:themeFill="accent1" w:themeFillTint="33"/>
      </w:tcPr>
    </w:tblStylePr>
  </w:style>
  <w:style w:type="paragraph" w:styleId="Revision">
    <w:name w:val="Revision"/>
    <w:hidden/>
    <w:uiPriority w:val="99"/>
    <w:semiHidden/>
    <w:rsid w:val="00B8751B"/>
  </w:style>
  <w:style w:type="paragraph" w:styleId="CommentSubject">
    <w:name w:val="annotation subject"/>
    <w:basedOn w:val="CommentText"/>
    <w:next w:val="CommentText"/>
    <w:link w:val="CommentSubjectChar"/>
    <w:uiPriority w:val="99"/>
    <w:semiHidden/>
    <w:unhideWhenUsed/>
    <w:rsid w:val="001746B5"/>
    <w:rPr>
      <w:b/>
      <w:bCs/>
    </w:rPr>
  </w:style>
  <w:style w:type="character" w:customStyle="1" w:styleId="CommentSubjectChar">
    <w:name w:val="Comment Subject Char"/>
    <w:basedOn w:val="CommentTextChar"/>
    <w:link w:val="CommentSubject"/>
    <w:uiPriority w:val="99"/>
    <w:semiHidden/>
    <w:rsid w:val="001746B5"/>
    <w:rPr>
      <w:b/>
      <w:bCs/>
      <w:sz w:val="20"/>
      <w:szCs w:val="20"/>
    </w:rPr>
  </w:style>
  <w:style w:type="paragraph" w:styleId="Caption">
    <w:name w:val="caption"/>
    <w:basedOn w:val="Normal"/>
    <w:next w:val="Normal"/>
    <w:uiPriority w:val="35"/>
    <w:unhideWhenUsed/>
    <w:qFormat/>
    <w:rsid w:val="00A075FE"/>
    <w:pPr>
      <w:spacing w:after="200" w:line="240" w:lineRule="auto"/>
    </w:pPr>
    <w:rPr>
      <w:i/>
      <w:iCs/>
      <w:color w:val="182D4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711378">
      <w:bodyDiv w:val="1"/>
      <w:marLeft w:val="0"/>
      <w:marRight w:val="0"/>
      <w:marTop w:val="0"/>
      <w:marBottom w:val="0"/>
      <w:divBdr>
        <w:top w:val="none" w:sz="0" w:space="0" w:color="auto"/>
        <w:left w:val="none" w:sz="0" w:space="0" w:color="auto"/>
        <w:bottom w:val="none" w:sz="0" w:space="0" w:color="auto"/>
        <w:right w:val="none" w:sz="0" w:space="0" w:color="auto"/>
      </w:divBdr>
    </w:div>
    <w:div w:id="529144670">
      <w:bodyDiv w:val="1"/>
      <w:marLeft w:val="0"/>
      <w:marRight w:val="0"/>
      <w:marTop w:val="0"/>
      <w:marBottom w:val="0"/>
      <w:divBdr>
        <w:top w:val="none" w:sz="0" w:space="0" w:color="auto"/>
        <w:left w:val="none" w:sz="0" w:space="0" w:color="auto"/>
        <w:bottom w:val="none" w:sz="0" w:space="0" w:color="auto"/>
        <w:right w:val="none" w:sz="0" w:space="0" w:color="auto"/>
      </w:divBdr>
    </w:div>
    <w:div w:id="579143206">
      <w:bodyDiv w:val="1"/>
      <w:marLeft w:val="0"/>
      <w:marRight w:val="0"/>
      <w:marTop w:val="0"/>
      <w:marBottom w:val="0"/>
      <w:divBdr>
        <w:top w:val="none" w:sz="0" w:space="0" w:color="auto"/>
        <w:left w:val="none" w:sz="0" w:space="0" w:color="auto"/>
        <w:bottom w:val="none" w:sz="0" w:space="0" w:color="auto"/>
        <w:right w:val="none" w:sz="0" w:space="0" w:color="auto"/>
      </w:divBdr>
    </w:div>
    <w:div w:id="580019064">
      <w:bodyDiv w:val="1"/>
      <w:marLeft w:val="0"/>
      <w:marRight w:val="0"/>
      <w:marTop w:val="0"/>
      <w:marBottom w:val="0"/>
      <w:divBdr>
        <w:top w:val="none" w:sz="0" w:space="0" w:color="auto"/>
        <w:left w:val="none" w:sz="0" w:space="0" w:color="auto"/>
        <w:bottom w:val="none" w:sz="0" w:space="0" w:color="auto"/>
        <w:right w:val="none" w:sz="0" w:space="0" w:color="auto"/>
      </w:divBdr>
    </w:div>
    <w:div w:id="678510170">
      <w:bodyDiv w:val="1"/>
      <w:marLeft w:val="0"/>
      <w:marRight w:val="0"/>
      <w:marTop w:val="0"/>
      <w:marBottom w:val="0"/>
      <w:divBdr>
        <w:top w:val="none" w:sz="0" w:space="0" w:color="auto"/>
        <w:left w:val="none" w:sz="0" w:space="0" w:color="auto"/>
        <w:bottom w:val="none" w:sz="0" w:space="0" w:color="auto"/>
        <w:right w:val="none" w:sz="0" w:space="0" w:color="auto"/>
      </w:divBdr>
    </w:div>
    <w:div w:id="921185362">
      <w:bodyDiv w:val="1"/>
      <w:marLeft w:val="0"/>
      <w:marRight w:val="0"/>
      <w:marTop w:val="0"/>
      <w:marBottom w:val="0"/>
      <w:divBdr>
        <w:top w:val="none" w:sz="0" w:space="0" w:color="auto"/>
        <w:left w:val="none" w:sz="0" w:space="0" w:color="auto"/>
        <w:bottom w:val="none" w:sz="0" w:space="0" w:color="auto"/>
        <w:right w:val="none" w:sz="0" w:space="0" w:color="auto"/>
      </w:divBdr>
    </w:div>
    <w:div w:id="1367948571">
      <w:bodyDiv w:val="1"/>
      <w:marLeft w:val="0"/>
      <w:marRight w:val="0"/>
      <w:marTop w:val="0"/>
      <w:marBottom w:val="0"/>
      <w:divBdr>
        <w:top w:val="none" w:sz="0" w:space="0" w:color="auto"/>
        <w:left w:val="none" w:sz="0" w:space="0" w:color="auto"/>
        <w:bottom w:val="none" w:sz="0" w:space="0" w:color="auto"/>
        <w:right w:val="none" w:sz="0" w:space="0" w:color="auto"/>
      </w:divBdr>
    </w:div>
    <w:div w:id="1979065288">
      <w:bodyDiv w:val="1"/>
      <w:marLeft w:val="0"/>
      <w:marRight w:val="0"/>
      <w:marTop w:val="0"/>
      <w:marBottom w:val="0"/>
      <w:divBdr>
        <w:top w:val="none" w:sz="0" w:space="0" w:color="auto"/>
        <w:left w:val="none" w:sz="0" w:space="0" w:color="auto"/>
        <w:bottom w:val="none" w:sz="0" w:space="0" w:color="auto"/>
        <w:right w:val="none" w:sz="0" w:space="0" w:color="auto"/>
      </w:divBdr>
    </w:div>
    <w:div w:id="2131974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ille\Desktop\HTOC%20Report%20Word%20Doc%20Template_v1.2.dotx" TargetMode="External"/></Relationships>
</file>

<file path=word/theme/theme1.xml><?xml version="1.0" encoding="utf-8"?>
<a:theme xmlns:a="http://schemas.openxmlformats.org/drawingml/2006/main" name="Office Theme">
  <a:themeElements>
    <a:clrScheme name="OISP">
      <a:dk1>
        <a:srgbClr val="000000"/>
      </a:dk1>
      <a:lt1>
        <a:srgbClr val="FFFFFF"/>
      </a:lt1>
      <a:dk2>
        <a:srgbClr val="182D4D"/>
      </a:dk2>
      <a:lt2>
        <a:srgbClr val="E9ECEE"/>
      </a:lt2>
      <a:accent1>
        <a:srgbClr val="204774"/>
      </a:accent1>
      <a:accent2>
        <a:srgbClr val="4C9DC8"/>
      </a:accent2>
      <a:accent3>
        <a:srgbClr val="4F5155"/>
      </a:accent3>
      <a:accent4>
        <a:srgbClr val="F9AD1C"/>
      </a:accent4>
      <a:accent5>
        <a:srgbClr val="D54327"/>
      </a:accent5>
      <a:accent6>
        <a:srgbClr val="4E9F9A"/>
      </a:accent6>
      <a:hlink>
        <a:srgbClr val="155395"/>
      </a:hlink>
      <a:folHlink>
        <a:srgbClr val="724A9D"/>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FCF4B2913B96A488E0F743192725261" ma:contentTypeVersion="10" ma:contentTypeDescription="Create a new document." ma:contentTypeScope="" ma:versionID="2a3907d622944450d873795b62bd3fd1">
  <xsd:schema xmlns:xsd="http://www.w3.org/2001/XMLSchema" xmlns:xs="http://www.w3.org/2001/XMLSchema" xmlns:p="http://schemas.microsoft.com/office/2006/metadata/properties" xmlns:ns2="afb72fb5-58d3-46e0-8b83-6204a9ccb897" xmlns:ns3="7eeb797a-e46d-47e3-9f8b-1124477eb690" targetNamespace="http://schemas.microsoft.com/office/2006/metadata/properties" ma:root="true" ma:fieldsID="95604d8cadeb01aab63de2737106632d" ns2:_="" ns3:_="">
    <xsd:import namespace="afb72fb5-58d3-46e0-8b83-6204a9ccb897"/>
    <xsd:import namespace="7eeb797a-e46d-47e3-9f8b-1124477eb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b72fb5-58d3-46e0-8b83-6204a9ccb8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f4345e-8d67-48af-bef8-91c58d16f76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eb797a-e46d-47e3-9f8b-1124477eb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e062b7-8811-4fe9-a875-6f944a0046e1}" ma:internalName="TaxCatchAll" ma:showField="CatchAllData" ma:web="7eeb797a-e46d-47e3-9f8b-1124477eb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fb72fb5-58d3-46e0-8b83-6204a9ccb897">
      <Terms xmlns="http://schemas.microsoft.com/office/infopath/2007/PartnerControls"/>
    </lcf76f155ced4ddcb4097134ff3c332f>
    <TaxCatchAll xmlns="7eeb797a-e46d-47e3-9f8b-1124477eb690" xsi:nil="true"/>
  </documentManagement>
</p:properties>
</file>

<file path=customXml/itemProps1.xml><?xml version="1.0" encoding="utf-8"?>
<ds:datastoreItem xmlns:ds="http://schemas.openxmlformats.org/officeDocument/2006/customXml" ds:itemID="{4C9DE648-81B7-4867-9DBA-8D42A681444E}">
  <ds:schemaRefs>
    <ds:schemaRef ds:uri="http://schemas.microsoft.com/sharepoint/v3/contenttype/forms"/>
  </ds:schemaRefs>
</ds:datastoreItem>
</file>

<file path=customXml/itemProps2.xml><?xml version="1.0" encoding="utf-8"?>
<ds:datastoreItem xmlns:ds="http://schemas.openxmlformats.org/officeDocument/2006/customXml" ds:itemID="{3BB6F7E9-CC77-46A3-8137-2A102AA864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b72fb5-58d3-46e0-8b83-6204a9ccb897"/>
    <ds:schemaRef ds:uri="7eeb797a-e46d-47e3-9f8b-1124477eb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9324B5-EF86-1D45-B65C-69FFDDC5F259}">
  <ds:schemaRefs>
    <ds:schemaRef ds:uri="http://schemas.openxmlformats.org/officeDocument/2006/bibliography"/>
  </ds:schemaRefs>
</ds:datastoreItem>
</file>

<file path=customXml/itemProps4.xml><?xml version="1.0" encoding="utf-8"?>
<ds:datastoreItem xmlns:ds="http://schemas.openxmlformats.org/officeDocument/2006/customXml" ds:itemID="{9B00A5AB-C3F4-4CD2-AAC1-F40B6DF48AEE}">
  <ds:schemaRefs>
    <ds:schemaRef ds:uri="http://schemas.microsoft.com/office/2006/metadata/properties"/>
    <ds:schemaRef ds:uri="http://schemas.microsoft.com/office/infopath/2007/PartnerControls"/>
    <ds:schemaRef ds:uri="afb72fb5-58d3-46e0-8b83-6204a9ccb897"/>
    <ds:schemaRef ds:uri="7eeb797a-e46d-47e3-9f8b-1124477eb690"/>
  </ds:schemaRefs>
</ds:datastoreItem>
</file>

<file path=docMetadata/LabelInfo.xml><?xml version="1.0" encoding="utf-8"?>
<clbl:labelList xmlns:clbl="http://schemas.microsoft.com/office/2020/mipLabelMetadata">
  <clbl:label id="{d58addea-5053-4a80-8499-ba4d944910df}" enabled="0" method="" siteId="{d58addea-5053-4a80-8499-ba4d944910df}" removed="1"/>
</clbl:labelList>
</file>

<file path=docProps/app.xml><?xml version="1.0" encoding="utf-8"?>
<Properties xmlns="http://schemas.openxmlformats.org/officeDocument/2006/extended-properties" xmlns:vt="http://schemas.openxmlformats.org/officeDocument/2006/docPropsVTypes">
  <Template>HTOC Report Word Doc Template_v1.2.dotx</Template>
  <TotalTime>30</TotalTime>
  <Pages>6</Pages>
  <Words>571</Words>
  <Characters>3259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Insight Report Distro SOP</dc:title>
  <dc:subject/>
  <dc:creator>Rodger Wille</dc:creator>
  <cp:keywords/>
  <cp:lastModifiedBy>Wille, Rodger (OS/ASA) (CTR)</cp:lastModifiedBy>
  <cp:revision>4</cp:revision>
  <dcterms:created xsi:type="dcterms:W3CDTF">2026-04-01T11:40:00Z</dcterms:created>
  <dcterms:modified xsi:type="dcterms:W3CDTF">2026-04-09T12:30:00Z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0x010100AFCF4B2913B96A488E0F743192725261</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Order">
    <vt:r8>351300</vt:r8>
  </property>
</Properties>
</file>