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1DC91" w14:textId="77777777" w:rsidR="00CE2858" w:rsidRDefault="0062259D" w:rsidP="007C4CC6">
      <w:pPr>
        <w:pStyle w:val="Title"/>
        <w:tabs>
          <w:tab w:val="left" w:pos="1830"/>
        </w:tabs>
      </w:pP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2337" behindDoc="0" locked="0" layoutInCell="1" allowOverlap="1" wp14:anchorId="0CE84385" wp14:editId="45730FB8">
                <wp:simplePos x="0" y="0"/>
                <wp:positionH relativeFrom="column">
                  <wp:posOffset>-914400</wp:posOffset>
                </wp:positionH>
                <wp:positionV relativeFrom="paragraph">
                  <wp:posOffset>-1691640</wp:posOffset>
                </wp:positionV>
                <wp:extent cx="7753985" cy="342900"/>
                <wp:effectExtent l="0" t="0" r="0" b="0"/>
                <wp:wrapNone/>
                <wp:docPr id="194414733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398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4218B7" w14:textId="4DF24AF3" w:rsidR="0062259D" w:rsidRDefault="0062259D" w:rsidP="0062259D">
                            <w:pPr>
                              <w:jc w:val="center"/>
                            </w:pPr>
                            <w:proofErr w:type="gramStart"/>
                            <w:r w:rsidRPr="007C4CC6">
                              <w:rPr>
                                <w:rFonts w:ascii="Poppins ExtraBold" w:hAnsi="Poppins ExtraBold" w:cs="Poppins ExtraBold"/>
                                <w:color w:val="FFC000"/>
                              </w:rPr>
                              <w:t>TLP:AMBER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E8438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in;margin-top:-133.2pt;width:610.55pt;height:27pt;z-index:2516623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" filled="f" stroked="f" strokeweight=".5pt">
                <v:textbox>
                  <w:txbxContent>
                    <w:p w14:paraId="004218B7" w14:textId="4DF24AF3" w:rsidR="0062259D" w:rsidRDefault="0062259D" w:rsidP="0062259D">
                      <w:pPr>
                        <w:jc w:val="center"/>
                      </w:pPr>
                      <w:proofErr w:type="gramStart"/>
                      <w:r w:rsidRPr="007C4CC6">
                        <w:rPr>
                          <w:rFonts w:ascii="Poppins ExtraBold" w:hAnsi="Poppins ExtraBold" w:cs="Poppins ExtraBold"/>
                          <w:color w:val="FFC000"/>
                        </w:rPr>
                        <w:t>TLP:AMBER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581832">
        <w:rPr>
          <w:noProof/>
          <w:sz w:val="56"/>
        </w:rPr>
        <w:drawing>
          <wp:anchor distT="0" distB="0" distL="114300" distR="114300" simplePos="0" relativeHeight="251658241" behindDoc="0" locked="0" layoutInCell="1" allowOverlap="1" wp14:anchorId="6A2EEDD8" wp14:editId="256755CE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133600" cy="989330"/>
            <wp:effectExtent l="0" t="0" r="0" b="0"/>
            <wp:wrapTopAndBottom/>
            <wp:docPr id="4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2858" w:rsidRPr="00CE2858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08538D9D" wp14:editId="086C885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54112" cy="10186416"/>
                <wp:effectExtent l="0" t="0" r="5715" b="0"/>
                <wp:wrapNone/>
                <wp:docPr id="7" name="Rectangle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112" cy="101864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353922" id="Rectangle 7" o:spid="_x0000_s1026" alt="&quot;&quot;" style="position:absolute;margin-left:0;margin-top:0;width:610.55pt;height:802.1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" fillcolor="#204774 [3204]" stroked="f" strokeweight="1pt">
                <w10:wrap anchorx="page" anchory="page"/>
                <w10:anchorlock/>
              </v:rect>
            </w:pict>
          </mc:Fallback>
        </mc:AlternateContent>
      </w:r>
      <w:r w:rsidR="007C4CC6">
        <w:tab/>
      </w:r>
    </w:p>
    <w:p w14:paraId="3C277786" w14:textId="77777777" w:rsidR="00105DEF" w:rsidRDefault="00105DEF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</w:p>
    <w:p w14:paraId="51212925" w14:textId="77777777" w:rsidR="00446276" w:rsidRDefault="0091684E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  <w:r w:rsidRPr="00446276">
        <w:rPr>
          <w:rFonts w:ascii="Nirmala UI" w:eastAsiaTheme="majorEastAsia" w:hAnsi="Nirmala UI" w:cs="Nirmala UI"/>
          <w:b/>
          <w:noProof/>
          <w:color w:val="FFFFFF" w:themeColor="background1"/>
          <w:sz w:val="56"/>
          <w:szCs w:val="56"/>
        </w:rPr>
        <w:drawing>
          <wp:anchor distT="0" distB="0" distL="114300" distR="114300" simplePos="0" relativeHeight="251660289" behindDoc="0" locked="0" layoutInCell="1" allowOverlap="1" wp14:anchorId="46B7564F" wp14:editId="0276F356">
            <wp:simplePos x="0" y="0"/>
            <wp:positionH relativeFrom="column">
              <wp:posOffset>104774</wp:posOffset>
            </wp:positionH>
            <wp:positionV relativeFrom="paragraph">
              <wp:posOffset>70485</wp:posOffset>
            </wp:positionV>
            <wp:extent cx="5082137" cy="1369060"/>
            <wp:effectExtent l="0" t="0" r="4445" b="2540"/>
            <wp:wrapNone/>
            <wp:docPr id="1988545845" name="Picture 6" descr="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21335A2-0F33-A29A-4470-51F77D40C1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45845" name="Picture 6" descr="Logo&#10;&#10;AI-generated content may be incorrect.">
                      <a:extLst>
                        <a:ext uri="{FF2B5EF4-FFF2-40B4-BE49-F238E27FC236}">
                          <a16:creationId xmlns:a16="http://schemas.microsoft.com/office/drawing/2014/main" id="{121335A2-0F33-A29A-4470-51F77D40C1D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462" cy="1382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3445A4" w14:textId="77777777" w:rsidR="00446276" w:rsidRDefault="0091684E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  <w:r w:rsidRPr="00446276">
        <w:rPr>
          <w:rFonts w:ascii="Nirmala UI" w:eastAsiaTheme="majorEastAsia" w:hAnsi="Nirmala UI" w:cs="Nirmala UI"/>
          <w:b/>
          <w:noProof/>
          <w:color w:val="FFFFFF" w:themeColor="background1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3" behindDoc="0" locked="0" layoutInCell="1" allowOverlap="1" wp14:anchorId="2861ED88" wp14:editId="4FE2323B">
                <wp:simplePos x="0" y="0"/>
                <wp:positionH relativeFrom="column">
                  <wp:posOffset>0</wp:posOffset>
                </wp:positionH>
                <wp:positionV relativeFrom="paragraph">
                  <wp:posOffset>666115</wp:posOffset>
                </wp:positionV>
                <wp:extent cx="5924550" cy="702945"/>
                <wp:effectExtent l="0" t="0" r="0" b="0"/>
                <wp:wrapNone/>
                <wp:docPr id="13" name="TextBox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FF15989-7425-7602-95CC-D55887C10F8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7029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67FB238" w14:textId="77777777" w:rsidR="00446276" w:rsidRPr="0091684E" w:rsidRDefault="00446276" w:rsidP="00446276">
                            <w:pPr>
                              <w:rPr>
                                <w:rFonts w:ascii="Poppins" w:hAnsi="Poppins" w:cs="Poppins"/>
                                <w:color w:val="7BD1F6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91684E">
                              <w:rPr>
                                <w:rFonts w:ascii="Poppins" w:hAnsi="Poppins" w:cs="Poppins"/>
                                <w:color w:val="7BD1F6"/>
                                <w:kern w:val="24"/>
                                <w:sz w:val="40"/>
                                <w:szCs w:val="40"/>
                              </w:rPr>
                              <w:t>HEALTHCARE THREAT OPERATIONS CENTER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1ED88" id="TextBox 12" o:spid="_x0000_s1027" type="#_x0000_t202" style="position:absolute;margin-left:0;margin-top:52.45pt;width:466.5pt;height:55.35pt;z-index:2516613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" filled="f" stroked="f">
                <v:textbox>
                  <w:txbxContent>
                    <w:p w14:paraId="567FB238" w14:textId="77777777" w:rsidR="00446276" w:rsidRPr="0091684E" w:rsidRDefault="00446276" w:rsidP="00446276">
                      <w:pPr>
                        <w:rPr>
                          <w:rFonts w:ascii="Poppins" w:hAnsi="Poppins" w:cs="Poppins"/>
                          <w:color w:val="7BD1F6"/>
                          <w:kern w:val="24"/>
                          <w:sz w:val="40"/>
                          <w:szCs w:val="40"/>
                        </w:rPr>
                      </w:pPr>
                      <w:r w:rsidRPr="0091684E">
                        <w:rPr>
                          <w:rFonts w:ascii="Poppins" w:hAnsi="Poppins" w:cs="Poppins"/>
                          <w:color w:val="7BD1F6"/>
                          <w:kern w:val="24"/>
                          <w:sz w:val="40"/>
                          <w:szCs w:val="40"/>
                        </w:rPr>
                        <w:t>HEALTHCARE THREAT OPERATIONS CENTER</w:t>
                      </w:r>
                    </w:p>
                  </w:txbxContent>
                </v:textbox>
              </v:shape>
            </w:pict>
          </mc:Fallback>
        </mc:AlternateContent>
      </w:r>
    </w:p>
    <w:p w14:paraId="706045D8" w14:textId="77777777" w:rsidR="00446276" w:rsidRDefault="00446276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</w:p>
    <w:p w14:paraId="38646230" w14:textId="1670D64D" w:rsidR="00921D43" w:rsidRPr="00105DEF" w:rsidRDefault="00AE7FAD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  <w:r>
        <w:t>ThreatConnect Playbook — Get Known Scanning Indicators by ASN (Non-CDN) Tagger</w:t>
      </w:r>
    </w:p>
    <w:p w14:paraId="7E1790E4" w14:textId="77777777" w:rsidR="0015376A" w:rsidRDefault="0015376A" w:rsidP="008C7555">
      <w:pPr>
        <w:spacing w:after="200" w:line="276" w:lineRule="auto"/>
        <w:ind w:firstLine="720"/>
        <w:rPr>
          <w:rFonts w:asciiTheme="majorHAnsi" w:eastAsiaTheme="majorEastAsia" w:hAnsiTheme="majorHAnsi" w:cstheme="majorBidi"/>
          <w:b/>
          <w:color w:val="FFFFFF" w:themeColor="background1"/>
          <w:sz w:val="72"/>
          <w:szCs w:val="72"/>
        </w:rPr>
      </w:pPr>
    </w:p>
    <w:p w14:paraId="691E89A4" w14:textId="504F5FCA" w:rsidR="005F449A" w:rsidRPr="00EA5BD1" w:rsidRDefault="005F449A" w:rsidP="005F449A">
      <w:pPr>
        <w:spacing w:after="200" w:line="276" w:lineRule="auto"/>
        <w:rPr>
          <w:rFonts w:ascii="Nirmala UI" w:eastAsiaTheme="minorEastAsia" w:hAnsi="Nirmala UI" w:cs="Nirmala UI"/>
          <w:color w:val="FFFFFF" w:themeColor="background1"/>
          <w:szCs w:val="22"/>
          <w:lang w:eastAsia="zh-CN"/>
        </w:rPr>
      </w:pPr>
      <w:r>
        <w:t>Version 1.0</w:t>
        <w:br/>
        <w:t>April 2026</w:t>
      </w:r>
    </w:p>
    <w:sdt>
      <w:sdtPr>
        <w:rPr>
          <w:rFonts w:asciiTheme="minorHAnsi" w:eastAsiaTheme="minorEastAsia" w:hAnsiTheme="minorHAnsi" w:cstheme="minorBidi"/>
          <w:b w:val="0"/>
          <w:color w:val="auto"/>
          <w:sz w:val="24"/>
          <w:szCs w:val="24"/>
        </w:rPr>
        <w:id w:val="761330464"/>
        <w:docPartObj>
          <w:docPartGallery w:val="Table of Contents"/>
          <w:docPartUnique/>
        </w:docPartObj>
      </w:sdtPr>
      <w:sdtEndPr/>
      <w:sdtContent>
        <w:p w14:paraId="52387693" w14:textId="77777777" w:rsidR="000B12EA" w:rsidRPr="0082264F" w:rsidRDefault="000B12EA">
          <w:pPr>
            <w:pStyle w:val="TOCHeading"/>
            <w:rPr>
              <w:rFonts w:ascii="Nirmala UI" w:hAnsi="Nirmala UI" w:cs="Nirmala UI"/>
            </w:rPr>
          </w:pPr>
          <w:r w:rsidRPr="00F210F7">
            <w:rPr>
              <w:rFonts w:ascii="Nirmala UI" w:hAnsi="Nirmala UI" w:cs="Nirmala UI"/>
            </w:rPr>
            <w:t>Table of Conten</w:t>
          </w:r>
          <w:r w:rsidRPr="0082264F">
            <w:rPr>
              <w:rFonts w:ascii="Nirmala UI" w:hAnsi="Nirmala UI" w:cs="Nirmala UI"/>
            </w:rPr>
            <w:t>ts</w:t>
          </w:r>
        </w:p>
        <w:p w14:paraId="4C143AB8" w14:textId="1DDAA223" w:rsidR="009F1982" w:rsidRDefault="000B12EA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82264F">
            <w:rPr>
              <w:rFonts w:ascii="Nirmala UI" w:hAnsi="Nirmala UI" w:cs="Nirmala UI"/>
              <w:i w:val="0"/>
              <w:iCs w:val="0"/>
            </w:rPr>
            <w:fldChar w:fldCharType="begin"/>
          </w:r>
          <w:r w:rsidRPr="0082264F">
            <w:rPr>
              <w:rFonts w:ascii="Nirmala UI" w:hAnsi="Nirmala UI" w:cs="Nirmala UI"/>
              <w:i w:val="0"/>
              <w:iCs w:val="0"/>
            </w:rPr>
            <w:instrText xml:space="preserve"> TOC \o "1-3" \h \z \u </w:instrText>
          </w:r>
          <w:r w:rsidRPr="0082264F">
            <w:rPr>
              <w:rFonts w:ascii="Nirmala UI" w:hAnsi="Nirmala UI" w:cs="Nirmala UI"/>
              <w:i w:val="0"/>
              <w:iCs w:val="0"/>
            </w:rPr>
            <w:fldChar w:fldCharType="separate"/>
          </w:r>
          <w:hyperlink w:anchor="_Toc225922823" w:history="1">
            <w:r w:rsidR="009F1982" w:rsidRPr="00185C85">
              <w:rPr>
                <w:rStyle w:val="Hyperlink"/>
                <w:rFonts w:ascii="Nirmala UI" w:hAnsi="Nirmala UI" w:cs="Nirmala UI"/>
                <w:noProof/>
              </w:rPr>
              <w:t>Purpose</w:t>
            </w:r>
            <w:r w:rsidR="009F1982">
              <w:rPr>
                <w:noProof/>
                <w:webHidden/>
              </w:rPr>
              <w:tab/>
            </w:r>
            <w:r w:rsidR="009F1982">
              <w:rPr>
                <w:noProof/>
                <w:webHidden/>
              </w:rPr>
              <w:fldChar w:fldCharType="begin"/>
            </w:r>
            <w:r w:rsidR="009F1982">
              <w:rPr>
                <w:noProof/>
                <w:webHidden/>
              </w:rPr>
              <w:instrText xml:space="preserve"> PAGEREF _Toc225922823 \h </w:instrText>
            </w:r>
            <w:r w:rsidR="009F1982">
              <w:rPr>
                <w:noProof/>
                <w:webHidden/>
              </w:rPr>
            </w:r>
            <w:r w:rsidR="009F1982">
              <w:rPr>
                <w:noProof/>
                <w:webHidden/>
              </w:rPr>
              <w:fldChar w:fldCharType="separate"/>
            </w:r>
            <w:r w:rsidR="009F1982">
              <w:rPr>
                <w:noProof/>
                <w:webHidden/>
              </w:rPr>
              <w:t>3</w:t>
            </w:r>
            <w:r w:rsidR="009F1982">
              <w:rPr>
                <w:noProof/>
                <w:webHidden/>
              </w:rPr>
              <w:fldChar w:fldCharType="end"/>
            </w:r>
          </w:hyperlink>
        </w:p>
        <w:p w14:paraId="3F1D886D" w14:textId="54C7EE74" w:rsidR="009F1982" w:rsidRDefault="009F1982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922824" w:history="1">
            <w:r w:rsidRPr="00185C85">
              <w:rPr>
                <w:rStyle w:val="Hyperlink"/>
                <w:rFonts w:ascii="Nirmala UI" w:hAnsi="Nirmala UI" w:cs="Nirmala UI"/>
                <w:noProof/>
              </w:rPr>
              <w:t>Phase 1: Production and Initial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_Toc225922824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7806E" w14:textId="2EDC44A7" w:rsidR="009F1982" w:rsidRDefault="009F1982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922825" w:history="1">
            <w:r w:rsidRPr="00185C85">
              <w:rPr>
                <w:rStyle w:val="Hyperlink"/>
                <w:rFonts w:ascii="Nirmala UI" w:hAnsi="Nirmala UI" w:cs="Nirmala UI"/>
                <w:noProof/>
              </w:rPr>
              <w:t>Phase 2: Finalization and Conversion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_Toc225922825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6FD11" w14:textId="38377FB7" w:rsidR="009F1982" w:rsidRDefault="009F1982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922826" w:history="1">
            <w:r w:rsidRPr="00185C85">
              <w:rPr>
                <w:rStyle w:val="Hyperlink"/>
                <w:rFonts w:ascii="Nirmala UI" w:hAnsi="Nirmala UI" w:cs="Nirmala UI"/>
                <w:noProof/>
              </w:rPr>
              <w:t>Phase 3: Peer Review and Email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_Toc225922826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72773" w14:textId="4FBC48BD" w:rsidR="009F1982" w:rsidRDefault="009F1982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922827" w:history="1">
            <w:r w:rsidRPr="00185C85">
              <w:rPr>
                <w:rStyle w:val="Hyperlink"/>
                <w:rFonts w:ascii="Nirmala UI" w:hAnsi="Nirmala UI" w:cs="Nirmala UI"/>
                <w:noProof/>
              </w:rPr>
              <w:t>Maintenance: Master Recipient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_Toc225922827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16268" w14:textId="68D04D39" w:rsidR="009F1982" w:rsidRDefault="009F1982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922828" w:history="1">
            <w:r w:rsidRPr="00185C85">
              <w:rPr>
                <w:rStyle w:val="Hyperlink"/>
                <w:rFonts w:ascii="Nirmala UI" w:hAnsi="Nirmala UI" w:cs="Nirmala UI"/>
                <w:noProof/>
              </w:rPr>
              <w:t>Overview of Steps, Requirements, and Responsible Party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_Toc225922828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730AA" w14:textId="30D924BF" w:rsidR="000B12EA" w:rsidRPr="00C42D86" w:rsidRDefault="000B12EA">
          <w:r w:rsidRPr="0082264F">
            <w:rPr>
              <w:rFonts w:ascii="Nirmala UI" w:hAnsi="Nirmala UI" w:cs="Nirmala UI"/>
              <w:b/>
              <w:bCs/>
              <w:noProof/>
            </w:rP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Right-click and update field.</w:t>
      </w:r>
      <w:r>
        <w:fldChar w:fldCharType="end"/>
      </w:r>
    </w:p>
    <w:p>
      <w:r>
        <w:br w:type="page"/>
      </w:r>
    </w:p>
    <w:p/>
    <w:p>
      <w:pPr>
        <w:pStyle w:val="Heading2"/>
      </w:pPr>
      <w:r>
        <w:t>1. Purpose</w:t>
      </w:r>
    </w:p>
    <w:p/>
    <w:p>
      <w:r>
        <w:t xml:space="preserve">This ThreatConnect playbook automatically identifies and labels </w:t>
      </w:r>
      <w:r>
        <w:rPr>
          <w:b/>
        </w:rPr>
        <w:t>non-CDN known scanning indicators</w:t>
      </w:r>
      <w:r>
        <w:t xml:space="preserve"> within HTOC's own indicator set. It queries for Address indicators belonging to the Google Cloud ASN (396982) that have not yet been labeled, applies the </w:t>
      </w:r>
      <w:r>
        <w:rPr>
          <w:rFonts w:ascii="Consolas" w:hAnsi="Consolas"/>
          <w:sz w:val="18"/>
        </w:rPr>
        <w:t>Known Scanner PB</w:t>
      </w:r>
      <w:r>
        <w:t xml:space="preserve"> (</w:t>
      </w:r>
      <w:r>
        <w:rPr>
          <w:b/>
        </w:rPr>
        <w:t>Known Scanner Playbook</w:t>
      </w:r>
      <w:r>
        <w:t>) tag to classify them as known non-CDN scanning activity, and stores the indicator data in the ThreatConnect DataStore. Email alerts are sent on any failures.</w:t>
      </w:r>
    </w:p>
    <w:p/>
    <w:p>
      <w:r>
        <w:t xml:space="preserve">The </w:t>
      </w:r>
      <w:r>
        <w:rPr>
          <w:rFonts w:ascii="Consolas" w:hAnsi="Consolas"/>
          <w:sz w:val="18"/>
        </w:rPr>
        <w:t>Known Scanner PB</w:t>
      </w:r>
      <w:r>
        <w:t xml:space="preserve"> tag is the primary identifier that an indicator has been reviewed and classified by this playbook as originating from a known non-CDN scanning source. The TQL exclusion filter (</w:t>
      </w:r>
      <w:r>
        <w:rPr>
          <w:rFonts w:ascii="Consolas" w:hAnsi="Consolas"/>
          <w:sz w:val="18"/>
        </w:rPr>
        <w:t>NOT hasTag("Known Scanner PB")</w:t>
      </w:r>
      <w:r>
        <w:t>) ensures each indicator is only processed once. The playbook runs twice daily to keep labeling current as new indicators are added to ThreatConnect.</w:t>
      </w:r>
    </w:p>
    <w:p/>
    <w:p>
      <w:r>
        <w:t xml:space="preserve">This playbook is the </w:t>
      </w:r>
      <w:r>
        <w:rPr>
          <w:b/>
        </w:rPr>
        <w:t>non-CDN counterpart</w:t>
      </w:r>
      <w:r>
        <w:t xml:space="preserve"> to the CDN Tagger playbook (</w:t>
      </w:r>
      <w:r>
        <w:rPr>
          <w:rFonts w:ascii="Consolas" w:hAnsi="Consolas"/>
          <w:sz w:val="18"/>
        </w:rPr>
        <w:t>Get CDN Scanning indicators by ASN Tagger.pbxz</w:t>
      </w:r>
      <w:r>
        <w:t>), which handles ASN 63949 (Linode/Akamai). Together they cover both CDN and non-CDN scanning infrastructure.</w:t>
      </w:r>
    </w:p>
    <w:p/>
    <w:p>
      <w:r>
        <w:t>-</w:t>
      </w:r>
    </w:p>
    <w:p/>
    <w:p>
      <w:pPr>
        <w:pStyle w:val="Heading2"/>
      </w:pPr>
      <w:r>
        <w:t>2. Scope</w:t>
      </w:r>
    </w:p>
    <w:p/>
    <w:p>
      <w:r>
        <w:t>This procedure applies to HTOC analysts and ThreatConnect administrators who monitor, trigger, modify, or troubleshoot this playbook. It covers the playbook's trigger configuration, step-by-step logic, error handling, and maintenance guidance.</w:t>
      </w:r>
    </w:p>
    <w:p/>
    <w:p>
      <w:r>
        <w:t>-</w:t>
      </w:r>
    </w:p>
    <w:p/>
    <w:p>
      <w:pPr>
        <w:pStyle w:val="Heading2"/>
      </w:pPr>
      <w:r>
        <w:t>3. Prerequisites</w:t>
      </w:r>
    </w:p>
    <w:p>
      <w:pPr>
        <w:keepNext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</w:tcPr>
          <w:p>
            <w:r>
              <w:t>Requirement</w:t>
            </w:r>
          </w:p>
        </w:tc>
        <w:tc>
          <w:tcPr>
            <w:tcW w:type="dxa" w:w="4680"/>
          </w:tcPr>
          <w:p>
            <w:r>
              <w:t>Notes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ThreatConnect access</w:t>
            </w:r>
          </w:p>
        </w:tc>
        <w:tc>
          <w:tcPr>
            <w:tcW w:type="dxa" w:w="4680"/>
          </w:tcPr>
          <w:p>
            <w:r>
              <w:t>Must have playbook view/execute permissions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HTOC Org indicators</w:t>
            </w:r>
          </w:p>
        </w:tc>
        <w:tc>
          <w:tcPr>
            <w:tcW w:type="dxa" w:w="4680"/>
          </w:tcPr>
          <w:p>
            <w:r>
              <w:t>Address indicators with ASN 396982 must be present under the `HTOC Org` owner in ThreatConnect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ThreatConnect DataStore</w:t>
            </w:r>
          </w:p>
        </w:tc>
        <w:tc>
          <w:tcPr>
            <w:tcW w:type="dxa" w:w="4680"/>
          </w:tcPr>
          <w:p>
            <w:r>
              <w:t>Local DataStore must be available for POST operations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Email server configured</w:t>
            </w:r>
          </w:p>
        </w:tc>
        <w:tc>
          <w:tcPr>
            <w:tcW w:type="dxa" w:w="4680"/>
          </w:tcPr>
          <w:p>
            <w:r>
              <w:t>SMTPS (Implicit TLS) connection required for failure alert emails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Notification recipient</w:t>
            </w:r>
          </w:p>
        </w:tc>
        <w:tc>
          <w:tcPr>
            <w:tcW w:type="dxa" w:w="4680"/>
          </w:tcPr>
          <w:p>
            <w:r>
              <w:t>`jaytlin.askew@hhs.gov` — update if ownership changes</w:t>
            </w:r>
          </w:p>
        </w:tc>
      </w:tr>
    </w:tbl>
    <w:p/>
    <w:p>
      <w:r>
        <w:t>-</w:t>
      </w:r>
    </w:p>
    <w:p/>
    <w:p>
      <w:pPr>
        <w:pStyle w:val="Heading2"/>
      </w:pPr>
      <w:r>
        <w:t>4. Trigger Configuration</w:t>
      </w:r>
    </w:p>
    <w:p/>
    <w:p>
      <w:r>
        <w:t xml:space="preserve">The playbook has three defined triggers. The </w:t>
      </w:r>
      <w:r>
        <w:rPr>
          <w:b/>
        </w:rPr>
        <w:t>12 Hour Trigger</w:t>
      </w:r>
      <w:r>
        <w:t xml:space="preserve"> is the current active production trigger. The WebHook Trigger is used for testing and manual execution only.</w:t>
      </w:r>
    </w:p>
    <w:p>
      <w:pPr>
        <w:keepNext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</w:tcPr>
          <w:p>
            <w:r>
              <w:t>Trigger Name</w:t>
            </w:r>
          </w:p>
        </w:tc>
        <w:tc>
          <w:tcPr>
            <w:tcW w:type="dxa" w:w="2340"/>
          </w:tcPr>
          <w:p>
            <w:r>
              <w:t>Type</w:t>
            </w:r>
          </w:p>
        </w:tc>
        <w:tc>
          <w:tcPr>
            <w:tcW w:type="dxa" w:w="2340"/>
          </w:tcPr>
          <w:p>
            <w:r>
              <w:t>Schedule</w:t>
            </w:r>
          </w:p>
        </w:tc>
        <w:tc>
          <w:tcPr>
            <w:tcW w:type="dxa" w:w="2340"/>
          </w:tcPr>
          <w:p>
            <w:r>
              <w:t>Status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**12 Hour Trigger (6AM - 6PM)**</w:t>
            </w:r>
          </w:p>
        </w:tc>
        <w:tc>
          <w:tcPr>
            <w:tcW w:type="dxa" w:w="2340"/>
          </w:tcPr>
          <w:p>
            <w:r>
              <w:t>Timer</w:t>
            </w:r>
          </w:p>
        </w:tc>
        <w:tc>
          <w:tcPr>
            <w:tcW w:type="dxa" w:w="2340"/>
          </w:tcPr>
          <w:p>
            <w:r>
              <w:t>6:00 AM and 6:00 PM (`0 0 6,18 * * ?`)</w:t>
            </w:r>
          </w:p>
        </w:tc>
        <w:tc>
          <w:tcPr>
            <w:tcW w:type="dxa" w:w="2340"/>
          </w:tcPr>
          <w:p>
            <w:r>
              <w:t>**Active — Production**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WebHook Trigger</w:t>
            </w:r>
          </w:p>
        </w:tc>
        <w:tc>
          <w:tcPr>
            <w:tcW w:type="dxa" w:w="2340"/>
          </w:tcPr>
          <w:p>
            <w:r>
              <w:t>HttpLink (Webhook)</w:t>
            </w:r>
          </w:p>
        </w:tc>
        <w:tc>
          <w:tcPr>
            <w:tcW w:type="dxa" w:w="2340"/>
          </w:tcPr>
          <w:p>
            <w:r>
              <w:t>On demand</w:t>
            </w:r>
          </w:p>
        </w:tc>
        <w:tc>
          <w:tcPr>
            <w:tcW w:type="dxa" w:w="2340"/>
          </w:tcPr>
          <w:p>
            <w:r>
              <w:t>Testing / manual use only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Every 2 Minutes Trigger (Test Trigger)</w:t>
            </w:r>
          </w:p>
        </w:tc>
        <w:tc>
          <w:tcPr>
            <w:tcW w:type="dxa" w:w="2340"/>
          </w:tcPr>
          <w:p>
            <w:r>
              <w:t>Timer</w:t>
            </w:r>
          </w:p>
        </w:tc>
        <w:tc>
          <w:tcPr>
            <w:tcW w:type="dxa" w:w="2340"/>
          </w:tcPr>
          <w:p>
            <w:r>
              <w:t>Every 2 minutes (`0 */2 * * * ?`)</w:t>
            </w:r>
          </w:p>
        </w:tc>
        <w:tc>
          <w:tcPr>
            <w:tcW w:type="dxa" w:w="2340"/>
          </w:tcPr>
          <w:p>
            <w:r>
              <w:t>Inactive</w:t>
            </w:r>
          </w:p>
        </w:tc>
      </w:tr>
    </w:tbl>
    <w:p/>
    <w:p>
      <w:pPr>
        <w:pStyle w:val="Heading3"/>
      </w:pPr>
      <w:r>
        <w:t>12 Hour Trigger (Production)</w:t>
      </w:r>
    </w:p>
    <w:p/>
    <w:p>
      <w:pPr/>
      <w:r>
        <w:rPr>
          <w:b/>
        </w:rPr>
        <w:t>Type:</w:t>
      </w:r>
      <w:r>
        <w:t xml:space="preserve"> Timer</w:t>
      </w:r>
    </w:p>
    <w:p>
      <w:pPr/>
      <w:r>
        <w:rPr>
          <w:b/>
        </w:rPr>
        <w:t>Schedule:</w:t>
      </w:r>
      <w:r>
        <w:t xml:space="preserve"> Cron </w:t>
      </w:r>
      <w:r>
        <w:rPr>
          <w:rFonts w:ascii="Consolas" w:hAnsi="Consolas"/>
          <w:sz w:val="18"/>
        </w:rPr>
        <w:t>0 0 6,18 * * ?</w:t>
      </w:r>
      <w:r>
        <w:t xml:space="preserve"> — fires at </w:t>
      </w:r>
      <w:r>
        <w:rPr>
          <w:b/>
        </w:rPr>
        <w:t>6:00 AM and 6:00 PM</w:t>
      </w:r>
      <w:r>
        <w:t xml:space="preserve"> daily</w:t>
      </w:r>
    </w:p>
    <w:p>
      <w:pPr/>
      <w:r>
        <w:rPr>
          <w:b/>
        </w:rPr>
        <w:t>Purpose:</w:t>
      </w:r>
      <w:r>
        <w:t xml:space="preserve"> Ensures new non-CDN scanning indicators are tagged and stored twice daily without manual intervention</w:t>
      </w:r>
    </w:p>
    <w:p/>
    <w:p>
      <w:pPr>
        <w:pStyle w:val="Heading3"/>
      </w:pPr>
      <w:r>
        <w:t>WebHook Trigger (Testing / Manual)</w:t>
      </w:r>
    </w:p>
    <w:p/>
    <w:p>
      <w:pPr/>
      <w:r>
        <w:rPr>
          <w:b/>
        </w:rPr>
        <w:t>Type:</w:t>
      </w:r>
      <w:r>
        <w:t xml:space="preserve"> HTTP Link (external webhook)</w:t>
      </w:r>
    </w:p>
    <w:p>
      <w:pPr/>
      <w:r>
        <w:rPr>
          <w:b/>
        </w:rPr>
        <w:t>Timeout:</w:t>
      </w:r>
      <w:r>
        <w:t xml:space="preserve"> 5 minutes</w:t>
      </w:r>
    </w:p>
    <w:p>
      <w:pPr/>
      <w:r>
        <w:rPr>
          <w:b/>
        </w:rPr>
        <w:t>Cache:</w:t>
      </w:r>
      <w:r>
        <w:t xml:space="preserve"> 120 minutes (prevents duplicate executions within the cache window)</w:t>
      </w:r>
    </w:p>
    <w:p>
      <w:pPr/>
      <w:r>
        <w:rPr>
          <w:b/>
        </w:rPr>
        <w:t>HTTP Response Body:</w:t>
      </w:r>
      <w:r>
        <w:t xml:space="preserve"> Returns the success log message (</w:t>
      </w:r>
      <w:r>
        <w:rPr>
          <w:rFonts w:ascii="Consolas" w:hAnsi="Consolas"/>
          <w:sz w:val="18"/>
        </w:rPr>
        <w:t>logger.content</w:t>
      </w:r>
      <w:r>
        <w:t>) from the final success step</w:t>
      </w:r>
    </w:p>
    <w:p>
      <w:pPr/>
      <w:r>
        <w:rPr>
          <w:b/>
        </w:rPr>
        <w:t>Purpose:</w:t>
      </w:r>
      <w:r>
        <w:t xml:space="preserve"> Used for testing changes to the playbook or triggering a manual run outside the normal schedule. Send an HTTP request to the webhook URL found in the ThreatConnect playbook editor to invoke it.</w:t>
      </w:r>
    </w:p>
    <w:p/>
    <w:p>
      <w:r>
        <w:t xml:space="preserve">&gt; </w:t>
      </w:r>
      <w:r>
        <w:rPr>
          <w:b/>
        </w:rPr>
        <w:t>Note:</w:t>
      </w:r>
      <w:r>
        <w:t xml:space="preserve"> Do not leave the WebHook Trigger as the primary active trigger in production. The 12-hour timer is the correct production trigger.</w:t>
      </w:r>
    </w:p>
    <w:p/>
    <w:p>
      <w:r>
        <w:t>-</w:t>
      </w:r>
    </w:p>
    <w:p/>
    <w:p>
      <w:pPr>
        <w:pStyle w:val="Heading2"/>
      </w:pPr>
      <w:r>
        <w:t>5. TQL Query</w:t>
      </w:r>
    </w:p>
    <w:p/>
    <w:p>
      <w:r>
        <w:t xml:space="preserve">The playbook queries ThreatConnect using the following TQL expression in the </w:t>
      </w:r>
      <w:r>
        <w:rPr>
          <w:b/>
        </w:rPr>
        <w:t>ThreatConnect Get Indicators</w:t>
      </w:r>
      <w:r>
        <w:t xml:space="preserve"> step:</w:t>
      </w:r>
    </w:p>
    <w:p/>
    <w:p>
      <w:pPr>
        <w:pStyle w:val="NoSpacing"/>
      </w:pPr>
      <w:r>
        <w:rPr>
          <w:rFonts w:ascii="Consolas" w:hAnsi="Consolas"/>
          <w:sz w:val="18"/>
        </w:rPr>
        <w:t>(ownerName in ("HTOC Org"))</w:t>
      </w:r>
    </w:p>
    <w:p>
      <w:pPr>
        <w:pStyle w:val="NoSpacing"/>
      </w:pPr>
      <w:r>
        <w:rPr>
          <w:rFonts w:ascii="Consolas" w:hAnsi="Consolas"/>
          <w:sz w:val="18"/>
        </w:rPr>
        <w:t>AND typeName in ("Address")</w:t>
      </w:r>
    </w:p>
    <w:p>
      <w:pPr>
        <w:pStyle w:val="NoSpacing"/>
      </w:pPr>
      <w:r>
        <w:rPr>
          <w:rFonts w:ascii="Consolas" w:hAnsi="Consolas"/>
          <w:sz w:val="18"/>
        </w:rPr>
        <w:t>AND addressASN IN (396982)</w:t>
      </w:r>
    </w:p>
    <w:p>
      <w:pPr>
        <w:pStyle w:val="NoSpacing"/>
      </w:pPr>
      <w:r>
        <w:rPr>
          <w:rFonts w:ascii="Consolas" w:hAnsi="Consolas"/>
          <w:sz w:val="18"/>
        </w:rPr>
        <w:t>AND NOT hasTag(summary IN ("Known Scanner PB"))</w:t>
      </w:r>
    </w:p>
    <w:p>
      <w:pPr>
        <w:keepNext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</w:tcPr>
          <w:p>
            <w:r>
              <w:t>Filter</w:t>
            </w:r>
          </w:p>
        </w:tc>
        <w:tc>
          <w:tcPr>
            <w:tcW w:type="dxa" w:w="3120"/>
          </w:tcPr>
          <w:p>
            <w:r>
              <w:t>Value</w:t>
            </w:r>
          </w:p>
        </w:tc>
        <w:tc>
          <w:tcPr>
            <w:tcW w:type="dxa" w:w="3120"/>
          </w:tcPr>
          <w:p>
            <w:r>
              <w:t>Purpose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Owner</w:t>
            </w:r>
          </w:p>
        </w:tc>
        <w:tc>
          <w:tcPr>
            <w:tcW w:type="dxa" w:w="3120"/>
          </w:tcPr>
          <w:p>
            <w:r>
              <w:t>`HTOC Org`</w:t>
            </w:r>
          </w:p>
        </w:tc>
        <w:tc>
          <w:tcPr>
            <w:tcW w:type="dxa" w:w="3120"/>
          </w:tcPr>
          <w:p>
            <w:r>
              <w:t>Limits to HTOC's own indicator set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Type</w:t>
            </w:r>
          </w:p>
        </w:tc>
        <w:tc>
          <w:tcPr>
            <w:tcW w:type="dxa" w:w="3120"/>
          </w:tcPr>
          <w:p>
            <w:r>
              <w:t>`Address`</w:t>
            </w:r>
          </w:p>
        </w:tc>
        <w:tc>
          <w:tcPr>
            <w:tcW w:type="dxa" w:w="3120"/>
          </w:tcPr>
          <w:p>
            <w:r>
              <w:t>IP addresses only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ASN</w:t>
            </w:r>
          </w:p>
        </w:tc>
        <w:tc>
          <w:tcPr>
            <w:tcW w:type="dxa" w:w="3120"/>
          </w:tcPr>
          <w:p>
            <w:r>
              <w:t>396982</w:t>
            </w:r>
          </w:p>
        </w:tc>
        <w:tc>
          <w:tcPr>
            <w:tcW w:type="dxa" w:w="3120"/>
          </w:tcPr>
          <w:p>
            <w:r>
              <w:t>Targets Google Cloud infrastructure (non-CDN known scanner range)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Tag exclusion</w:t>
            </w:r>
          </w:p>
        </w:tc>
        <w:tc>
          <w:tcPr>
            <w:tcW w:type="dxa" w:w="3120"/>
          </w:tcPr>
          <w:p>
            <w:r>
              <w:t>`NOT hasTag("Known Scanner PB")`</w:t>
            </w:r>
          </w:p>
        </w:tc>
        <w:tc>
          <w:tcPr>
            <w:tcW w:type="dxa" w:w="3120"/>
          </w:tcPr>
          <w:p>
            <w:r>
              <w:t>Skips indicators already processed by this playbook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Max results</w:t>
            </w:r>
          </w:p>
        </w:tc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Processes up to 5 indicators per execution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Fail on no results</w:t>
            </w:r>
          </w:p>
        </w:tc>
        <w:tc>
          <w:tcPr>
            <w:tcW w:type="dxa" w:w="3120"/>
          </w:tcPr>
          <w:p>
            <w:r>
              <w:t>No</w:t>
            </w:r>
          </w:p>
        </w:tc>
        <w:tc>
          <w:tcPr>
            <w:tcW w:type="dxa" w:w="3120"/>
          </w:tcPr>
          <w:p>
            <w:r>
              <w:t>Gracefully exits with no action if no new indicators are found</w:t>
            </w:r>
          </w:p>
        </w:tc>
      </w:tr>
    </w:tbl>
    <w:p/>
    <w:p>
      <w:r>
        <w:t xml:space="preserve">&gt; </w:t>
      </w:r>
      <w:r>
        <w:rPr>
          <w:b/>
        </w:rPr>
        <w:t>Important:</w:t>
      </w:r>
      <w:r>
        <w:t xml:space="preserve"> The </w:t>
      </w:r>
      <w:r>
        <w:rPr>
          <w:rFonts w:ascii="Consolas" w:hAnsi="Consolas"/>
          <w:sz w:val="18"/>
        </w:rPr>
        <w:t>NOT hasTag("Known Scanner PB")</w:t>
      </w:r>
      <w:r>
        <w:t xml:space="preserve"> filter is what prevents reprocessing. If this tag is removed from an indicator, the playbook will process it again on the next scheduled run.</w:t>
      </w:r>
    </w:p>
    <w:p/>
    <w:p>
      <w:pPr>
        <w:pStyle w:val="Heading3"/>
      </w:pPr>
      <w:r>
        <w:t>Monitored ASN</w:t>
      </w:r>
    </w:p>
    <w:p>
      <w:pPr>
        <w:keepNext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</w:tcPr>
          <w:p>
            <w:r>
              <w:t>ASN</w:t>
            </w:r>
          </w:p>
        </w:tc>
        <w:tc>
          <w:tcPr>
            <w:tcW w:type="dxa" w:w="4680"/>
          </w:tcPr>
          <w:p>
            <w:r>
              <w:t>Known Provider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396982</w:t>
            </w:r>
          </w:p>
        </w:tc>
        <w:tc>
          <w:tcPr>
            <w:tcW w:type="dxa" w:w="4680"/>
          </w:tcPr>
          <w:p>
            <w:r>
              <w:t>Google Cloud</w:t>
            </w:r>
          </w:p>
        </w:tc>
      </w:tr>
    </w:tbl>
    <w:p/>
    <w:p>
      <w:r>
        <w:t xml:space="preserve">To add additional ASNs, update the </w:t>
      </w:r>
      <w:r>
        <w:rPr>
          <w:rFonts w:ascii="Consolas" w:hAnsi="Consolas"/>
          <w:sz w:val="18"/>
        </w:rPr>
        <w:t>addressASN IN (...)</w:t>
      </w:r>
      <w:r>
        <w:t xml:space="preserve"> clause in the TQL field of the </w:t>
      </w:r>
      <w:r>
        <w:rPr>
          <w:b/>
        </w:rPr>
        <w:t>ThreatConnect Get Indicators</w:t>
      </w:r>
      <w:r>
        <w:t xml:space="preserve"> step with a comma-separated list.</w:t>
      </w:r>
    </w:p>
    <w:p/>
    <w:p>
      <w:r>
        <w:t>-</w:t>
      </w:r>
    </w:p>
    <w:p/>
    <w:p>
      <w:pPr>
        <w:pStyle w:val="Heading2"/>
      </w:pPr>
      <w:r>
        <w:t>6. Playbook Flow</w:t>
      </w:r>
    </w:p>
    <w:p/>
    <w:p>
      <w:pPr>
        <w:pStyle w:val="Heading3"/>
      </w:pPr>
      <w:r>
        <w:t>6.1 Error Paths</w:t>
      </w:r>
    </w:p>
    <w:p>
      <w:pPr>
        <w:keepNext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</w:tcPr>
          <w:p>
            <w:r>
              <w:t>Failure Point</w:t>
            </w:r>
          </w:p>
        </w:tc>
        <w:tc>
          <w:tcPr>
            <w:tcW w:type="dxa" w:w="4680"/>
          </w:tcPr>
          <w:p>
            <w:r>
              <w:t>Behavior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**Get Indicators fails**</w:t>
            </w:r>
          </w:p>
        </w:tc>
        <w:tc>
          <w:tcPr>
            <w:tcW w:type="dxa" w:w="4680"/>
          </w:tcPr>
          <w:p>
            <w:r>
              <w:t>→ Logger: "Get Indicators FAILED. Please check the TQL and summary for output result errors." → Email: subject "GET Indicator Process Failed", body = logger content, to `jaytlin.askew@hhs.gov`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**No results found**</w:t>
            </w:r>
          </w:p>
        </w:tc>
        <w:tc>
          <w:tcPr>
            <w:tcW w:type="dxa" w:w="4680"/>
          </w:tcPr>
          <w:p>
            <w:r>
              <w:t>Playbook exits cleanly — no email, no error (fail_on_no_results = false)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**Iterator fails**</w:t>
            </w:r>
          </w:p>
        </w:tc>
        <w:tc>
          <w:tcPr>
            <w:tcW w:type="dxa" w:w="4680"/>
          </w:tcPr>
          <w:p>
            <w:r>
              <w:t>→ Email: subject "Get CDN Scanning Indicators by ASN Failed.", to `jaytlin.askew@hhs.gov`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**Set HTOC Scanner Identifier (tag add) fails**</w:t>
            </w:r>
          </w:p>
        </w:tc>
        <w:tc>
          <w:tcPr>
            <w:tcW w:type="dxa" w:w="4680"/>
          </w:tcPr>
          <w:p>
            <w:r>
              <w:t>→ Logger: "Process Failed with an error." (ERROR) → Email: subject "Set HTOC Scanner Identifier Failed", body = TC error message, to `jaytlin.askew@hhs.gov` → Loop continues (does not halt remaining indicators)</w:t>
            </w:r>
          </w:p>
        </w:tc>
      </w:tr>
    </w:tbl>
    <w:p/>
    <w:p>
      <w:r>
        <w:t>-</w:t>
      </w:r>
    </w:p>
    <w:p/>
    <w:p>
      <w:pPr>
        <w:pStyle w:val="Heading2"/>
      </w:pPr>
      <w:r>
        <w:t>7. Step Details</w:t>
      </w:r>
    </w:p>
    <w:p/>
    <w:p>
      <w:pPr>
        <w:pStyle w:val="Heading3"/>
      </w:pPr>
      <w:r>
        <w:t>Step 1 — ThreatConnect Get Indicators</w:t>
      </w:r>
    </w:p>
    <w:p>
      <w:pPr/>
      <w:r>
        <w:rPr>
          <w:b/>
        </w:rPr>
        <w:t>App:</w:t>
      </w:r>
      <w:r>
        <w:t xml:space="preserve"> TCPB - Threatconnect Get Indicators v1 (v1.0.9)</w:t>
      </w:r>
    </w:p>
    <w:p>
      <w:pPr/>
      <w:r>
        <w:rPr>
          <w:b/>
        </w:rPr>
        <w:t>Action:</w:t>
      </w:r>
      <w:r>
        <w:t xml:space="preserve"> TQL</w:t>
      </w:r>
    </w:p>
    <w:p>
      <w:pPr/>
      <w:r>
        <w:rPr>
          <w:b/>
        </w:rPr>
        <w:t>Output:</w:t>
      </w:r>
      <w:r>
        <w:t xml:space="preserve"> </w:t>
      </w:r>
      <w:r>
        <w:rPr>
          <w:rFonts w:ascii="Consolas" w:hAnsi="Consolas"/>
          <w:sz w:val="18"/>
        </w:rPr>
        <w:t>tc.indicators.entity</w:t>
      </w:r>
      <w:r>
        <w:t xml:space="preserve"> (TCEntityArray) and </w:t>
      </w:r>
      <w:r>
        <w:rPr>
          <w:rFonts w:ascii="Consolas" w:hAnsi="Consolas"/>
          <w:sz w:val="18"/>
        </w:rPr>
        <w:t>tc.indicators.summary</w:t>
      </w:r>
      <w:r>
        <w:t xml:space="preserve"> (StringArray)</w:t>
      </w:r>
    </w:p>
    <w:p>
      <w:pPr/>
      <w:r>
        <w:rPr>
          <w:b/>
        </w:rPr>
        <w:t>Fail on no results:</w:t>
      </w:r>
      <w:r>
        <w:t xml:space="preserve"> No — playbook exits cleanly if no untagged indicators are found</w:t>
      </w:r>
    </w:p>
    <w:p>
      <w:pPr/>
      <w:r>
        <w:rPr>
          <w:b/>
        </w:rPr>
        <w:t>Also connects to:</w:t>
      </w:r>
      <w:r>
        <w:t xml:space="preserve"> List of Indicators Summary Logger (logs the full summary list for each run)</w:t>
      </w:r>
    </w:p>
    <w:p/>
    <w:p>
      <w:pPr>
        <w:pStyle w:val="Heading3"/>
      </w:pPr>
      <w:r>
        <w:t>Step 1a — List of Indicators Summary Logger</w:t>
      </w:r>
    </w:p>
    <w:p>
      <w:pPr/>
      <w:r>
        <w:rPr>
          <w:b/>
        </w:rPr>
        <w:t>App:</w:t>
      </w:r>
      <w:r>
        <w:t xml:space="preserve"> Logger (v1.0.0)</w:t>
      </w:r>
    </w:p>
    <w:p>
      <w:pPr/>
      <w:r>
        <w:rPr>
          <w:b/>
        </w:rPr>
        <w:t>Level:</w:t>
      </w:r>
      <w:r>
        <w:t xml:space="preserve"> INFO</w:t>
      </w:r>
    </w:p>
    <w:p>
      <w:pPr/>
      <w:r>
        <w:rPr>
          <w:b/>
        </w:rPr>
        <w:t>Message:</w:t>
      </w:r>
      <w:r>
        <w:t xml:space="preserve"> Contents of </w:t>
      </w:r>
      <w:r>
        <w:rPr>
          <w:rFonts w:ascii="Consolas" w:hAnsi="Consolas"/>
          <w:sz w:val="18"/>
        </w:rPr>
        <w:t>tc.indicators.summary</w:t>
      </w:r>
      <w:r>
        <w:t xml:space="preserve"> (StringArray) — logs all indicator summaries returned by the query</w:t>
      </w:r>
    </w:p>
    <w:p>
      <w:pPr/>
      <w:r>
        <w:rPr>
          <w:b/>
        </w:rPr>
        <w:t>Purpose:</w:t>
      </w:r>
      <w:r>
        <w:t xml:space="preserve"> Provides a per-run audit log of which indicators were discovered before the loop begins</w:t>
      </w:r>
    </w:p>
    <w:p/>
    <w:p>
      <w:pPr>
        <w:pStyle w:val="Heading3"/>
      </w:pPr>
      <w:r>
        <w:t>Step 2 — Iterator</w:t>
      </w:r>
    </w:p>
    <w:p>
      <w:pPr/>
      <w:r>
        <w:rPr>
          <w:b/>
        </w:rPr>
        <w:t>App:</w:t>
      </w:r>
      <w:r>
        <w:t xml:space="preserve"> Iterator (v1.0.0)</w:t>
      </w:r>
    </w:p>
    <w:p>
      <w:pPr/>
      <w:r>
        <w:rPr>
          <w:b/>
        </w:rPr>
        <w:t>Input:</w:t>
      </w:r>
      <w:r>
        <w:t xml:space="preserve"> </w:t>
      </w:r>
      <w:r>
        <w:rPr>
          <w:rFonts w:ascii="Consolas" w:hAnsi="Consolas"/>
          <w:sz w:val="18"/>
        </w:rPr>
        <w:t>tc.indicators.entity</w:t>
      </w:r>
      <w:r>
        <w:t xml:space="preserve"> array from Step 1</w:t>
      </w:r>
    </w:p>
    <w:p>
      <w:pPr/>
      <w:r>
        <w:rPr>
          <w:b/>
        </w:rPr>
        <w:t>Output:</w:t>
      </w:r>
      <w:r>
        <w:t xml:space="preserve"> </w:t>
      </w:r>
      <w:r>
        <w:rPr>
          <w:rFonts w:ascii="Consolas" w:hAnsi="Consolas"/>
          <w:sz w:val="18"/>
        </w:rPr>
        <w:t>currentIndicator</w:t>
      </w:r>
      <w:r>
        <w:t xml:space="preserve"> (TCEntity) — one indicator per loop iteration</w:t>
      </w:r>
    </w:p>
    <w:p>
      <w:pPr/>
      <w:r>
        <w:rPr>
          <w:b/>
        </w:rPr>
        <w:t>Loop behavior:</w:t>
      </w:r>
      <w:r>
        <w:t xml:space="preserve"> Iterates until all entities are processed; on loop completion (Pass) advances to the Success step; on failure sends an alert email</w:t>
      </w:r>
    </w:p>
    <w:p/>
    <w:p>
      <w:pPr>
        <w:pStyle w:val="Heading3"/>
      </w:pPr>
      <w:r>
        <w:t>Step 3 — ThreatConnect Tags (Get)</w:t>
      </w:r>
    </w:p>
    <w:p>
      <w:pPr/>
      <w:r>
        <w:rPr>
          <w:b/>
        </w:rPr>
        <w:t>App:</w:t>
      </w:r>
      <w:r>
        <w:t xml:space="preserve"> TCPB - Threatconnect Tags TI v2 (v2.0.7)</w:t>
      </w:r>
    </w:p>
    <w:p>
      <w:pPr/>
      <w:r>
        <w:rPr>
          <w:b/>
        </w:rPr>
        <w:t>Action:</w:t>
      </w:r>
      <w:r>
        <w:t xml:space="preserve"> Get</w:t>
      </w:r>
    </w:p>
    <w:p>
      <w:pPr/>
      <w:r>
        <w:rPr>
          <w:b/>
        </w:rPr>
        <w:t>Entity:</w:t>
      </w:r>
      <w:r>
        <w:t xml:space="preserve"> </w:t>
      </w:r>
      <w:r>
        <w:rPr>
          <w:rFonts w:ascii="Consolas" w:hAnsi="Consolas"/>
          <w:sz w:val="18"/>
        </w:rPr>
        <w:t>currentIndicator</w:t>
      </w:r>
      <w:r>
        <w:t xml:space="preserve"> from the Iterator</w:t>
      </w:r>
    </w:p>
    <w:p>
      <w:pPr/>
      <w:r>
        <w:rPr>
          <w:b/>
        </w:rPr>
        <w:t>Fail on no results:</w:t>
      </w:r>
      <w:r>
        <w:t xml:space="preserve"> No — indicators without existing tags proceed normally</w:t>
      </w:r>
    </w:p>
    <w:p/>
    <w:p>
      <w:pPr>
        <w:pStyle w:val="Heading3"/>
      </w:pPr>
      <w:r>
        <w:t>Step 4 — ThreatConnect Set HTOC Scanner Identifier</w:t>
      </w:r>
    </w:p>
    <w:p>
      <w:pPr/>
      <w:r>
        <w:rPr>
          <w:b/>
        </w:rPr>
        <w:t>App:</w:t>
      </w:r>
      <w:r>
        <w:t xml:space="preserve"> TCPB - Threatconnect Tags TI v2 (v2.0.7)</w:t>
      </w:r>
    </w:p>
    <w:p>
      <w:pPr/>
      <w:r>
        <w:rPr>
          <w:b/>
        </w:rPr>
        <w:t>Action:</w:t>
      </w:r>
      <w:r>
        <w:t xml:space="preserve"> Add</w:t>
      </w:r>
    </w:p>
    <w:p>
      <w:pPr/>
      <w:r>
        <w:rPr>
          <w:b/>
        </w:rPr>
        <w:t>Tag applied:</w:t>
      </w:r>
      <w:r>
        <w:t xml:space="preserve"> </w:t>
      </w:r>
      <w:r>
        <w:rPr>
          <w:rFonts w:ascii="Consolas" w:hAnsi="Consolas"/>
          <w:sz w:val="18"/>
        </w:rPr>
        <w:t>Known Scanner PB</w:t>
      </w:r>
    </w:p>
    <w:p>
      <w:pPr/>
      <w:r>
        <w:rPr>
          <w:b/>
        </w:rPr>
        <w:t>Apply to all:</w:t>
      </w:r>
      <w:r>
        <w:t xml:space="preserve"> Yes</w:t>
      </w:r>
    </w:p>
    <w:p>
      <w:pPr/>
      <w:r>
        <w:rPr>
          <w:b/>
        </w:rPr>
        <w:t>Entity:</w:t>
      </w:r>
      <w:r>
        <w:t xml:space="preserve"> </w:t>
      </w:r>
      <w:r>
        <w:rPr>
          <w:rFonts w:ascii="Consolas" w:hAnsi="Consolas"/>
          <w:sz w:val="18"/>
        </w:rPr>
        <w:t>currentIndicator</w:t>
      </w:r>
    </w:p>
    <w:p>
      <w:pPr/>
      <w:r>
        <w:rPr>
          <w:b/>
        </w:rPr>
        <w:t>Fail on error:</w:t>
      </w:r>
      <w:r>
        <w:t xml:space="preserve"> Yes — failed tag additions route to the tag-failure email path</w:t>
      </w:r>
    </w:p>
    <w:p>
      <w:pPr/>
      <w:r>
        <w:rPr>
          <w:b/>
        </w:rPr>
        <w:t>Purpose:</w:t>
      </w:r>
      <w:r>
        <w:t xml:space="preserve"> Marks the indicator as a known non-CDN scanner and prevents reprocessing on future runs</w:t>
      </w:r>
    </w:p>
    <w:p/>
    <w:p>
      <w:pPr>
        <w:pStyle w:val="Heading3"/>
      </w:pPr>
      <w:r>
        <w:t>Step 5 — JMESPath</w:t>
      </w:r>
    </w:p>
    <w:p>
      <w:pPr/>
      <w:r>
        <w:rPr>
          <w:b/>
        </w:rPr>
        <w:t>App:</w:t>
      </w:r>
      <w:r>
        <w:t xml:space="preserve"> TCPB - JMESPath v3.0 (v3.0.12)</w:t>
      </w:r>
    </w:p>
    <w:p>
      <w:pPr/>
      <w:r>
        <w:rPr>
          <w:b/>
        </w:rPr>
        <w:t>Input:</w:t>
      </w:r>
      <w:r>
        <w:t xml:space="preserve"> </w:t>
      </w:r>
      <w:r>
        <w:rPr>
          <w:rFonts w:ascii="Consolas" w:hAnsi="Consolas"/>
          <w:sz w:val="18"/>
        </w:rPr>
        <w:t>tc.response.json.raw</w:t>
      </w:r>
      <w:r>
        <w:t xml:space="preserve"> from Step 4 (tag response JSON)</w:t>
      </w:r>
    </w:p>
    <w:p>
      <w:pPr/>
      <w:r>
        <w:rPr>
          <w:b/>
        </w:rPr>
        <w:t>Expressions:</w:t>
      </w:r>
    </w:p>
    <w:p>
      <w:pPr/>
      <w:r>
        <w:rPr>
          <w:rFonts w:ascii="Consolas" w:hAnsi="Consolas"/>
          <w:sz w:val="18"/>
        </w:rPr>
        <w:t>[0].summary</w:t>
      </w:r>
      <w:r>
        <w:t xml:space="preserve"> → output variable </w:t>
      </w:r>
      <w:r>
        <w:rPr>
          <w:rFonts w:ascii="Consolas" w:hAnsi="Consolas"/>
          <w:sz w:val="18"/>
        </w:rPr>
        <w:t>indicator</w:t>
      </w:r>
      <w:r>
        <w:t xml:space="preserve"> (String)</w:t>
      </w:r>
    </w:p>
    <w:p>
      <w:pPr/>
      <w:r>
        <w:rPr>
          <w:rFonts w:ascii="Consolas" w:hAnsi="Consolas"/>
          <w:sz w:val="18"/>
        </w:rPr>
        <w:t>[0]</w:t>
      </w:r>
      <w:r>
        <w:t xml:space="preserve"> → output variable </w:t>
      </w:r>
      <w:r>
        <w:rPr>
          <w:rFonts w:ascii="Consolas" w:hAnsi="Consolas"/>
          <w:sz w:val="18"/>
        </w:rPr>
        <w:t>indicatorData</w:t>
      </w:r>
      <w:r>
        <w:t xml:space="preserve"> (String)</w:t>
      </w:r>
    </w:p>
    <w:p>
      <w:pPr/>
      <w:r>
        <w:rPr>
          <w:b/>
        </w:rPr>
        <w:t>Fail on expression error:</w:t>
      </w:r>
      <w:r>
        <w:t xml:space="preserve"> Yes</w:t>
      </w:r>
    </w:p>
    <w:p/>
    <w:p>
      <w:pPr>
        <w:pStyle w:val="Heading3"/>
      </w:pPr>
      <w:r>
        <w:t>Step 6 — DataStore (POST)</w:t>
      </w:r>
    </w:p>
    <w:p>
      <w:pPr/>
      <w:r>
        <w:rPr>
          <w:b/>
        </w:rPr>
        <w:t>App:</w:t>
      </w:r>
      <w:r>
        <w:t xml:space="preserve"> TCPB - DataStore v4 (v4.0.5)</w:t>
      </w:r>
    </w:p>
    <w:p>
      <w:pPr/>
      <w:r>
        <w:rPr>
          <w:b/>
        </w:rPr>
        <w:t>Action:</w:t>
      </w:r>
      <w:r>
        <w:t xml:space="preserve"> POST</w:t>
      </w:r>
    </w:p>
    <w:p>
      <w:pPr/>
      <w:r>
        <w:rPr>
          <w:b/>
        </w:rPr>
        <w:t>Domain:</w:t>
      </w:r>
      <w:r>
        <w:t xml:space="preserve"> Local</w:t>
      </w:r>
    </w:p>
    <w:p>
      <w:pPr/>
      <w:r>
        <w:rPr>
          <w:b/>
        </w:rPr>
        <w:t>Data type:</w:t>
      </w:r>
      <w:r>
        <w:t xml:space="preserve"> JSON</w:t>
      </w:r>
    </w:p>
    <w:p>
      <w:pPr/>
      <w:r>
        <w:rPr>
          <w:b/>
        </w:rPr>
        <w:t>Key (rid):</w:t>
      </w:r>
      <w:r>
        <w:t xml:space="preserve"> </w:t>
      </w:r>
      <w:r>
        <w:rPr>
          <w:rFonts w:ascii="Consolas" w:hAnsi="Consolas"/>
          <w:sz w:val="18"/>
        </w:rPr>
        <w:t>indicator</w:t>
      </w:r>
      <w:r>
        <w:t xml:space="preserve"> (the indicator summary from JMESPath)</w:t>
      </w:r>
    </w:p>
    <w:p>
      <w:pPr/>
      <w:r>
        <w:rPr>
          <w:b/>
        </w:rPr>
        <w:t>Data:</w:t>
      </w:r>
      <w:r>
        <w:t xml:space="preserve"> </w:t>
      </w:r>
      <w:r>
        <w:rPr>
          <w:rFonts w:ascii="Consolas" w:hAnsi="Consolas"/>
          <w:sz w:val="18"/>
        </w:rPr>
        <w:t>{"indicatorData": &lt;indicatorData from JMESPath&gt;}</w:t>
      </w:r>
    </w:p>
    <w:p>
      <w:pPr/>
      <w:r>
        <w:rPr>
          <w:b/>
        </w:rPr>
        <w:t>Purpose:</w:t>
      </w:r>
      <w:r>
        <w:t xml:space="preserve"> Persists indicator metadata to the ThreatConnect Local DataStore for downstream reference</w:t>
      </w:r>
    </w:p>
    <w:p/>
    <w:p>
      <w:pPr>
        <w:pStyle w:val="Heading3"/>
      </w:pPr>
      <w:r>
        <w:t>Step 7 — Complete Success Logger</w:t>
      </w:r>
    </w:p>
    <w:p>
      <w:pPr/>
      <w:r>
        <w:rPr>
          <w:b/>
        </w:rPr>
        <w:t>App:</w:t>
      </w:r>
      <w:r>
        <w:t xml:space="preserve"> Logger (v1.0.0)</w:t>
      </w:r>
    </w:p>
    <w:p>
      <w:pPr/>
      <w:r>
        <w:rPr>
          <w:b/>
        </w:rPr>
        <w:t>Level:</w:t>
      </w:r>
      <w:r>
        <w:t xml:space="preserve"> INFO</w:t>
      </w:r>
    </w:p>
    <w:p>
      <w:pPr/>
      <w:r>
        <w:rPr>
          <w:b/>
        </w:rPr>
        <w:t>Message:</w:t>
      </w:r>
      <w:r>
        <w:t xml:space="preserve"> "Process completed with no issues"</w:t>
      </w:r>
    </w:p>
    <w:p/>
    <w:p>
      <w:pPr>
        <w:pStyle w:val="Heading3"/>
      </w:pPr>
      <w:r>
        <w:t>Step 8 — Logger (Loop End)</w:t>
      </w:r>
    </w:p>
    <w:p>
      <w:pPr/>
      <w:r>
        <w:rPr>
          <w:b/>
        </w:rPr>
        <w:t>App:</w:t>
      </w:r>
      <w:r>
        <w:t xml:space="preserve"> Logger (v1.0.0)</w:t>
      </w:r>
    </w:p>
    <w:p>
      <w:pPr/>
      <w:r>
        <w:rPr>
          <w:b/>
        </w:rPr>
        <w:t>Level:</w:t>
      </w:r>
      <w:r>
        <w:t xml:space="preserve"> INFO</w:t>
      </w:r>
    </w:p>
    <w:p>
      <w:pPr/>
      <w:r>
        <w:rPr>
          <w:b/>
        </w:rPr>
        <w:t>Message:</w:t>
      </w:r>
      <w:r>
        <w:t xml:space="preserve"> "Tagging process completed."</w:t>
      </w:r>
    </w:p>
    <w:p>
      <w:pPr/>
      <w:r>
        <w:rPr>
          <w:b/>
        </w:rPr>
        <w:t>Behavior:</w:t>
      </w:r>
      <w:r>
        <w:t xml:space="preserve"> Triggers the EndLoop connection back to the Iterator</w:t>
      </w:r>
    </w:p>
    <w:p/>
    <w:p>
      <w:pPr>
        <w:pStyle w:val="Heading3"/>
      </w:pPr>
      <w:r>
        <w:t>Step 9 — Success Logger</w:t>
      </w:r>
    </w:p>
    <w:p>
      <w:pPr/>
      <w:r>
        <w:rPr>
          <w:b/>
        </w:rPr>
        <w:t>App:</w:t>
      </w:r>
      <w:r>
        <w:t xml:space="preserve"> Logger (v1.0.0)</w:t>
      </w:r>
    </w:p>
    <w:p>
      <w:pPr/>
      <w:r>
        <w:rPr>
          <w:b/>
        </w:rPr>
        <w:t>Level:</w:t>
      </w:r>
      <w:r>
        <w:t xml:space="preserve"> INFO</w:t>
      </w:r>
    </w:p>
    <w:p>
      <w:pPr/>
      <w:r>
        <w:rPr>
          <w:b/>
        </w:rPr>
        <w:t>Message:</w:t>
      </w:r>
      <w:r>
        <w:t xml:space="preserve"> "Get CDN Scanning Indicators by ASN Completed Successfully!"</w:t>
      </w:r>
    </w:p>
    <w:p>
      <w:pPr/>
      <w:r>
        <w:rPr>
          <w:b/>
        </w:rPr>
        <w:t>Output:</w:t>
      </w:r>
      <w:r>
        <w:t xml:space="preserve"> </w:t>
      </w:r>
      <w:r>
        <w:rPr>
          <w:rFonts w:ascii="Consolas" w:hAnsi="Consolas"/>
          <w:sz w:val="18"/>
        </w:rPr>
        <w:t>logger.content</w:t>
      </w:r>
      <w:r>
        <w:t xml:space="preserve"> — returned as the WebHook HTTP response body when triggered via webhook</w:t>
      </w:r>
    </w:p>
    <w:p/>
    <w:p>
      <w:r>
        <w:t>-</w:t>
      </w:r>
    </w:p>
    <w:p/>
    <w:p>
      <w:pPr>
        <w:pStyle w:val="Heading2"/>
      </w:pPr>
      <w:r>
        <w:t>8. Email Alerts</w:t>
      </w:r>
    </w:p>
    <w:p/>
    <w:p>
      <w:r>
        <w:t xml:space="preserve">All failure notifications are sent to </w:t>
      </w:r>
      <w:r>
        <w:rPr>
          <w:b/>
        </w:rPr>
        <w:t>`jaytlin.askew@hhs.gov`</w:t>
      </w:r>
      <w:r>
        <w:t>. Update this address in all three Send Email steps if the playbook owner changes.</w:t>
      </w:r>
    </w:p>
    <w:p>
      <w:pPr>
        <w:keepNext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</w:tcPr>
          <w:p>
            <w:r>
              <w:t>Alert</w:t>
            </w:r>
          </w:p>
        </w:tc>
        <w:tc>
          <w:tcPr>
            <w:tcW w:type="dxa" w:w="2340"/>
          </w:tcPr>
          <w:p>
            <w:r>
              <w:t>Subject</w:t>
            </w:r>
          </w:p>
        </w:tc>
        <w:tc>
          <w:tcPr>
            <w:tcW w:type="dxa" w:w="2340"/>
          </w:tcPr>
          <w:p>
            <w:r>
              <w:t>Body</w:t>
            </w:r>
          </w:p>
        </w:tc>
        <w:tc>
          <w:tcPr>
            <w:tcW w:type="dxa" w:w="2340"/>
          </w:tcPr>
          <w:p>
            <w:r>
              <w:t>Trigger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Get Indicators failed</w:t>
            </w:r>
          </w:p>
        </w:tc>
        <w:tc>
          <w:tcPr>
            <w:tcW w:type="dxa" w:w="2340"/>
          </w:tcPr>
          <w:p>
            <w:r>
              <w:t>`GET Indicator Process Failed`</w:t>
            </w:r>
          </w:p>
        </w:tc>
        <w:tc>
          <w:tcPr>
            <w:tcW w:type="dxa" w:w="2340"/>
          </w:tcPr>
          <w:p>
            <w:r>
              <w:t>Logger error content</w:t>
            </w:r>
          </w:p>
        </w:tc>
        <w:tc>
          <w:tcPr>
            <w:tcW w:type="dxa" w:w="2340"/>
          </w:tcPr>
          <w:p>
            <w:r>
              <w:t>Get Indicators step fails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Iterator / no results</w:t>
            </w:r>
          </w:p>
        </w:tc>
        <w:tc>
          <w:tcPr>
            <w:tcW w:type="dxa" w:w="2340"/>
          </w:tcPr>
          <w:p>
            <w:r>
              <w:t>`Get CDN Scanning Indicators by ASN Failed.`</w:t>
            </w:r>
          </w:p>
        </w:tc>
        <w:tc>
          <w:tcPr>
            <w:tcW w:type="dxa" w:w="2340"/>
          </w:tcPr>
          <w:p>
            <w:r>
              <w:t>Static message</w:t>
            </w:r>
          </w:p>
        </w:tc>
        <w:tc>
          <w:tcPr>
            <w:tcW w:type="dxa" w:w="2340"/>
          </w:tcPr>
          <w:p>
            <w:r>
              <w:t>Iterator step fails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Tag add failed</w:t>
            </w:r>
          </w:p>
        </w:tc>
        <w:tc>
          <w:tcPr>
            <w:tcW w:type="dxa" w:w="2340"/>
          </w:tcPr>
          <w:p>
            <w:r>
              <w:t>`Set HTOC Scanner Identifier Failed`</w:t>
            </w:r>
          </w:p>
        </w:tc>
        <w:tc>
          <w:tcPr>
            <w:tcW w:type="dxa" w:w="2340"/>
          </w:tcPr>
          <w:p>
            <w:r>
              <w:t>ThreatConnect error message from tag step</w:t>
            </w:r>
          </w:p>
        </w:tc>
        <w:tc>
          <w:tcPr>
            <w:tcW w:type="dxa" w:w="2340"/>
          </w:tcPr>
          <w:p>
            <w:r>
              <w:t>Tag Add step fails</w:t>
            </w:r>
          </w:p>
        </w:tc>
      </w:tr>
    </w:tbl>
    <w:p/>
    <w:p>
      <w:pPr/>
      <w:r>
        <w:rPr>
          <w:b/>
        </w:rPr>
        <w:t>Connection type:</w:t>
      </w:r>
      <w:r>
        <w:t xml:space="preserve"> SMTPS (Implicit TLS)</w:t>
      </w:r>
    </w:p>
    <w:p>
      <w:pPr/>
      <w:r>
        <w:rPr>
          <w:b/>
        </w:rPr>
        <w:t>Timeout:</w:t>
      </w:r>
      <w:r>
        <w:t xml:space="preserve"> 30 seconds</w:t>
      </w:r>
    </w:p>
    <w:p>
      <w:pPr/>
      <w:r>
        <w:rPr>
          <w:b/>
        </w:rPr>
        <w:t>Send one:</w:t>
      </w:r>
      <w:r>
        <w:t xml:space="preserve"> Yes (single email per event)</w:t>
      </w:r>
    </w:p>
    <w:p>
      <w:pPr/>
      <w:r>
        <w:rPr>
          <w:b/>
        </w:rPr>
        <w:t>Fail on error:</w:t>
      </w:r>
      <w:r>
        <w:t xml:space="preserve"> No (email failures do not halt the playbook)</w:t>
      </w:r>
    </w:p>
    <w:p/>
    <w:p>
      <w:r>
        <w:t xml:space="preserve">&gt; </w:t>
      </w:r>
      <w:r>
        <w:rPr>
          <w:b/>
        </w:rPr>
        <w:t>Known issue:</w:t>
      </w:r>
      <w:r>
        <w:t xml:space="preserve"> The Iterator failure email subject reads "Get CDN Scanning Indicators by ASN Failed." — this is a copy-paste artefact from the CDN Tagger and does not affect functionality. Update the subject in the </w:t>
      </w:r>
      <w:r>
        <w:rPr>
          <w:b/>
        </w:rPr>
        <w:t>Send Email</w:t>
      </w:r>
      <w:r>
        <w:t xml:space="preserve"> step connected to the Iterator's Fail path if clarity is needed.</w:t>
      </w:r>
    </w:p>
    <w:p/>
    <w:p>
      <w:r>
        <w:t>-</w:t>
      </w:r>
    </w:p>
    <w:p/>
    <w:p>
      <w:pPr>
        <w:pStyle w:val="Heading2"/>
      </w:pPr>
      <w:r>
        <w:t>9. Modifying the Playbook</w:t>
      </w:r>
    </w:p>
    <w:p/>
    <w:p>
      <w:pPr>
        <w:pStyle w:val="Heading3"/>
      </w:pPr>
      <w:r>
        <w:t>Adding or Removing Monitored ASNs</w:t>
      </w:r>
    </w:p>
    <w:p/>
    <w:p>
      <w:pPr/>
      <w:r>
        <w:t>Open the playbook in the ThreatConnect editor.</w:t>
      </w:r>
    </w:p>
    <w:p>
      <w:pPr/>
      <w:r>
        <w:t xml:space="preserve">Click on the </w:t>
      </w:r>
      <w:r>
        <w:rPr>
          <w:b/>
        </w:rPr>
        <w:t>ThreatConnect Get Indicators</w:t>
      </w:r>
      <w:r>
        <w:t xml:space="preserve"> step.</w:t>
      </w:r>
    </w:p>
    <w:p>
      <w:pPr/>
      <w:r>
        <w:t xml:space="preserve">Update the </w:t>
      </w:r>
      <w:r>
        <w:rPr>
          <w:rFonts w:ascii="Consolas" w:hAnsi="Consolas"/>
          <w:sz w:val="18"/>
        </w:rPr>
        <w:t>addressASN IN (...)</w:t>
      </w:r>
      <w:r>
        <w:t xml:space="preserve"> clause in the TQL field.</w:t>
      </w:r>
    </w:p>
    <w:p>
      <w:pPr/>
      <w:r>
        <w:t>Save and confirm the 12-hour trigger remains active.</w:t>
      </w:r>
    </w:p>
    <w:p/>
    <w:p>
      <w:pPr>
        <w:pStyle w:val="Heading3"/>
      </w:pPr>
      <w:r>
        <w:t>Changing the Max Results per Run</w:t>
      </w:r>
    </w:p>
    <w:p/>
    <w:p>
      <w:r>
        <w:rPr>
          <w:rFonts w:ascii="Consolas" w:hAnsi="Consolas"/>
          <w:sz w:val="18"/>
        </w:rPr>
        <w:t>max_results</w:t>
      </w:r>
      <w:r>
        <w:t xml:space="preserve"> is currently </w:t>
      </w:r>
      <w:r>
        <w:rPr>
          <w:b/>
        </w:rPr>
        <w:t>5</w:t>
      </w:r>
      <w:r>
        <w:t>. Increase this to process more indicators per execution. With the 12-hour schedule this allows up to 10 indicators tagged per day at the default setting.</w:t>
      </w:r>
    </w:p>
    <w:p/>
    <w:p>
      <w:pPr>
        <w:pStyle w:val="Heading3"/>
      </w:pPr>
      <w:r>
        <w:t>Changing the Scanner Tag Name</w:t>
      </w:r>
    </w:p>
    <w:p/>
    <w:p>
      <w:r>
        <w:t xml:space="preserve">The tag </w:t>
      </w:r>
      <w:r>
        <w:rPr>
          <w:rFonts w:ascii="Consolas" w:hAnsi="Consolas"/>
          <w:sz w:val="18"/>
        </w:rPr>
        <w:t>Known Scanner PB</w:t>
      </w:r>
      <w:r>
        <w:t xml:space="preserve"> is the marker used to prevent reprocessing. To rename it:</w:t>
      </w:r>
    </w:p>
    <w:p/>
    <w:p>
      <w:pPr/>
      <w:r>
        <w:t xml:space="preserve">Update the </w:t>
      </w:r>
      <w:r>
        <w:rPr>
          <w:rFonts w:ascii="Consolas" w:hAnsi="Consolas"/>
          <w:sz w:val="18"/>
        </w:rPr>
        <w:t>name</w:t>
      </w:r>
      <w:r>
        <w:t xml:space="preserve"> parameter in </w:t>
      </w:r>
      <w:r>
        <w:rPr>
          <w:b/>
        </w:rPr>
        <w:t>ThreatConnect Set HTOC Scanner Identifier</w:t>
      </w:r>
      <w:r>
        <w:t>.</w:t>
      </w:r>
    </w:p>
    <w:p>
      <w:pPr/>
      <w:r>
        <w:t xml:space="preserve">Update the </w:t>
      </w:r>
      <w:r>
        <w:rPr>
          <w:rFonts w:ascii="Consolas" w:hAnsi="Consolas"/>
          <w:sz w:val="18"/>
        </w:rPr>
        <w:t>NOT hasTag(summary IN ("Known Scanner PB"))</w:t>
      </w:r>
      <w:r>
        <w:t xml:space="preserve"> clause in the TQL.</w:t>
      </w:r>
    </w:p>
    <w:p>
      <w:pPr/>
      <w:r>
        <w:t>Bulk-update existing tagged indicators in ThreatConnect before reactivating.</w:t>
      </w:r>
    </w:p>
    <w:p/>
    <w:p>
      <w:r>
        <w:t xml:space="preserve">&gt; </w:t>
      </w:r>
      <w:r>
        <w:rPr>
          <w:b/>
        </w:rPr>
        <w:t>Warning:</w:t>
      </w:r>
      <w:r>
        <w:t xml:space="preserve"> If the tag name in the TQL exclusion filter is not updated to match the new tag being applied, indicators will be reprocessed on every execution.</w:t>
      </w:r>
    </w:p>
    <w:p/>
    <w:p>
      <w:pPr>
        <w:pStyle w:val="Heading3"/>
      </w:pPr>
      <w:r>
        <w:t>Updating the Notification Email</w:t>
      </w:r>
    </w:p>
    <w:p/>
    <w:p>
      <w:r>
        <w:t xml:space="preserve">Update the </w:t>
      </w:r>
      <w:r>
        <w:rPr>
          <w:rFonts w:ascii="Consolas" w:hAnsi="Consolas"/>
          <w:sz w:val="18"/>
        </w:rPr>
        <w:t>recipient</w:t>
      </w:r>
      <w:r>
        <w:t xml:space="preserve"> field in all three </w:t>
      </w:r>
      <w:r>
        <w:rPr>
          <w:b/>
        </w:rPr>
        <w:t>Send Email</w:t>
      </w:r>
      <w:r>
        <w:t xml:space="preserve"> steps to the new owner's address.</w:t>
      </w:r>
    </w:p>
    <w:p/>
    <w:p>
      <w:pPr>
        <w:pStyle w:val="Heading3"/>
      </w:pPr>
      <w:r>
        <w:t>Managing Triggers</w:t>
      </w:r>
    </w:p>
    <w:p/>
    <w:p>
      <w:pPr/>
      <w:r>
        <w:rPr>
          <w:b/>
        </w:rPr>
        <w:t>12 Hour Trigger (6AM - 6PM):</w:t>
      </w:r>
      <w:r>
        <w:t xml:space="preserve"> This is the production trigger. It should always be active during normal operations.</w:t>
      </w:r>
    </w:p>
    <w:p>
      <w:pPr/>
      <w:r>
        <w:rPr>
          <w:b/>
        </w:rPr>
        <w:t>WebHook Trigger:</w:t>
      </w:r>
      <w:r>
        <w:t xml:space="preserve"> For testing and manual one-off runs only. Confirm the 12-hour timer remains the primary trigger.</w:t>
      </w:r>
    </w:p>
    <w:p>
      <w:pPr/>
      <w:r>
        <w:rPr>
          <w:b/>
        </w:rPr>
        <w:t>Every 2 Minutes (Test Trigger):</w:t>
      </w:r>
      <w:r>
        <w:t xml:space="preserve"> For development/debugging only. Disable immediately after use.</w:t>
      </w:r>
    </w:p>
    <w:p/>
    <w:p>
      <w:r>
        <w:t>To toggle a trigger, open the playbook editor, click the trigger, and toggle the Active switch.</w:t>
      </w:r>
    </w:p>
    <w:p/>
    <w:p>
      <w:r>
        <w:t>-</w:t>
      </w:r>
    </w:p>
    <w:p/>
    <w:p>
      <w:pPr>
        <w:pStyle w:val="Heading2"/>
      </w:pPr>
      <w:r>
        <w:t>10. Troubleshooting</w:t>
      </w:r>
    </w:p>
    <w:p>
      <w:pPr>
        <w:keepNext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</w:tcPr>
          <w:p>
            <w:r>
              <w:t>Symptom</w:t>
            </w:r>
          </w:p>
        </w:tc>
        <w:tc>
          <w:tcPr>
            <w:tcW w:type="dxa" w:w="3120"/>
          </w:tcPr>
          <w:p>
            <w:r>
              <w:t>Likely Cause</w:t>
            </w:r>
          </w:p>
        </w:tc>
        <w:tc>
          <w:tcPr>
            <w:tcW w:type="dxa" w:w="3120"/>
          </w:tcPr>
          <w:p>
            <w:r>
              <w:t>Resolution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Email: "GET Indicator Process Failed"</w:t>
            </w:r>
          </w:p>
        </w:tc>
        <w:tc>
          <w:tcPr>
            <w:tcW w:type="dxa" w:w="3120"/>
          </w:tcPr>
          <w:p>
            <w:r>
              <w:t>TQL syntax error or API connectivity issue</w:t>
            </w:r>
          </w:p>
        </w:tc>
        <w:tc>
          <w:tcPr>
            <w:tcW w:type="dxa" w:w="3120"/>
          </w:tcPr>
          <w:p>
            <w:r>
              <w:t>Review the TQL in Get Indicators; verify ThreatConnect connectivity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No output, no email, no action</w:t>
            </w:r>
          </w:p>
        </w:tc>
        <w:tc>
          <w:tcPr>
            <w:tcW w:type="dxa" w:w="3120"/>
          </w:tcPr>
          <w:p>
            <w:r>
              <w:t>No untagged indicators found for ASN 396982</w:t>
            </w:r>
          </w:p>
        </w:tc>
        <w:tc>
          <w:tcPr>
            <w:tcW w:type="dxa" w:w="3120"/>
          </w:tcPr>
          <w:p>
            <w:r>
              <w:t>Expected behavior — `fail_on_no_results` is false; check ThreatConnect for new Address indicators under ASN 396982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Email: "Set HTOC Scanner Identifier Failed"</w:t>
            </w:r>
          </w:p>
        </w:tc>
        <w:tc>
          <w:tcPr>
            <w:tcW w:type="dxa" w:w="3120"/>
          </w:tcPr>
          <w:p>
            <w:r>
              <w:t>Tag add API error — possible permissions issue or indicator locked</w:t>
            </w:r>
          </w:p>
        </w:tc>
        <w:tc>
          <w:tcPr>
            <w:tcW w:type="dxa" w:w="3120"/>
          </w:tcPr>
          <w:p>
            <w:r>
              <w:t>Check ThreatConnect permissions for the playbook service account; review the TC error message in the email body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Indicators being reprocessed repeatedly</w:t>
            </w:r>
          </w:p>
        </w:tc>
        <w:tc>
          <w:tcPr>
            <w:tcW w:type="dxa" w:w="3120"/>
          </w:tcPr>
          <w:p>
            <w:r>
              <w:t>`Known Scanner PB` tag is not persisting</w:t>
            </w:r>
          </w:p>
        </w:tc>
        <w:tc>
          <w:tcPr>
            <w:tcW w:type="dxa" w:w="3120"/>
          </w:tcPr>
          <w:p>
            <w:r>
              <w:t>Verify the tag add step is not failing silently; confirm the tag name in the TQL matches exactly (case-sensitive)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Iterator failure email says "CDN" in subject</w:t>
            </w:r>
          </w:p>
        </w:tc>
        <w:tc>
          <w:tcPr>
            <w:tcW w:type="dxa" w:w="3120"/>
          </w:tcPr>
          <w:p>
            <w:r>
              <w:t>Known copy-paste artefact from the CDN Tagger</w:t>
            </w:r>
          </w:p>
        </w:tc>
        <w:tc>
          <w:tcPr>
            <w:tcW w:type="dxa" w:w="3120"/>
          </w:tcPr>
          <w:p>
            <w:r>
              <w:t>Cosmetic only; update the Send Email step subject if needed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Playbook not triggering</w:t>
            </w:r>
          </w:p>
        </w:tc>
        <w:tc>
          <w:tcPr>
            <w:tcW w:type="dxa" w:w="3120"/>
          </w:tcPr>
          <w:p>
            <w:r>
              <w:t>12-hour timer inactive or misconfigured</w:t>
            </w:r>
          </w:p>
        </w:tc>
        <w:tc>
          <w:tcPr>
            <w:tcW w:type="dxa" w:w="3120"/>
          </w:tcPr>
          <w:p>
            <w:r>
              <w:t>Verify the 12 Hour Trigger is active in the playbook editor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DataStore POST errors</w:t>
            </w:r>
          </w:p>
        </w:tc>
        <w:tc>
          <w:tcPr>
            <w:tcW w:type="dxa" w:w="3120"/>
          </w:tcPr>
          <w:p>
            <w:r>
              <w:t>Local DataStore unavailable or data format issue</w:t>
            </w:r>
          </w:p>
        </w:tc>
        <w:tc>
          <w:tcPr>
            <w:tcW w:type="dxa" w:w="3120"/>
          </w:tcPr>
          <w:p>
            <w:r>
              <w:t>Check ThreatConnect DataStore status; verify JMESPath is producing valid `indicatorData` JSON</w:t>
            </w:r>
          </w:p>
        </w:tc>
      </w:tr>
    </w:tbl>
    <w:p/>
    <w:p>
      <w:r>
        <w:t>-</w:t>
      </w:r>
    </w:p>
    <w:p/>
    <w:p>
      <w:pPr>
        <w:pStyle w:val="Heading2"/>
      </w:pPr>
      <w:r>
        <w:t>11. Relationship to Other Playbooks</w:t>
      </w:r>
    </w:p>
    <w:p/>
    <w:p>
      <w:r>
        <w:t>This playbook is one of a pair covering different scanning infrastructure categories:</w:t>
      </w:r>
    </w:p>
    <w:p>
      <w:pPr>
        <w:keepNext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</w:tcPr>
          <w:p>
            <w:r>
              <w:t>Playbook</w:t>
            </w:r>
          </w:p>
        </w:tc>
        <w:tc>
          <w:tcPr>
            <w:tcW w:type="dxa" w:w="2340"/>
          </w:tcPr>
          <w:p>
            <w:r>
              <w:t>Tag Applied</w:t>
            </w:r>
          </w:p>
        </w:tc>
        <w:tc>
          <w:tcPr>
            <w:tcW w:type="dxa" w:w="2340"/>
          </w:tcPr>
          <w:p>
            <w:r>
              <w:t>ASN</w:t>
            </w:r>
          </w:p>
        </w:tc>
        <w:tc>
          <w:tcPr>
            <w:tcW w:type="dxa" w:w="2340"/>
          </w:tcPr>
          <w:p>
            <w:r>
              <w:t>Provider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**Get Known Scanning indicators by ASN (none CDN) Tagger** *(this playbook)*</w:t>
            </w:r>
          </w:p>
        </w:tc>
        <w:tc>
          <w:tcPr>
            <w:tcW w:type="dxa" w:w="2340"/>
          </w:tcPr>
          <w:p>
            <w:r>
              <w:t>`Known Scanner PB`</w:t>
            </w:r>
          </w:p>
        </w:tc>
        <w:tc>
          <w:tcPr>
            <w:tcW w:type="dxa" w:w="2340"/>
          </w:tcPr>
          <w:p>
            <w:r>
              <w:t>396982</w:t>
            </w:r>
          </w:p>
        </w:tc>
        <w:tc>
          <w:tcPr>
            <w:tcW w:type="dxa" w:w="2340"/>
          </w:tcPr>
          <w:p>
            <w:r>
              <w:t>Google Cloud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Get CDN Scanning indicators by ASN Tagger</w:t>
            </w:r>
          </w:p>
        </w:tc>
        <w:tc>
          <w:tcPr>
            <w:tcW w:type="dxa" w:w="2340"/>
          </w:tcPr>
          <w:p>
            <w:r>
              <w:t>`CDN PB`</w:t>
            </w:r>
          </w:p>
        </w:tc>
        <w:tc>
          <w:tcPr>
            <w:tcW w:type="dxa" w:w="2340"/>
          </w:tcPr>
          <w:p>
            <w:r>
              <w:t>63949</w:t>
            </w:r>
          </w:p>
        </w:tc>
        <w:tc>
          <w:tcPr>
            <w:tcW w:type="dxa" w:w="2340"/>
          </w:tcPr>
          <w:p>
            <w:r>
              <w:t>Linode / Akamai</w:t>
            </w:r>
          </w:p>
        </w:tc>
      </w:tr>
    </w:tbl>
    <w:p/>
    <w:p>
      <w:r>
        <w:t>Both playbooks share the same structure, run on the same 12-hour schedule, and write to the same Local DataStore. They differ only in the ASN they monitor and the tag they apply.</w:t>
      </w:r>
    </w:p>
    <w:p/>
    <w:p>
      <w:r>
        <w:t>-</w:t>
      </w:r>
    </w:p>
    <w:p/>
    <w:p>
      <w:pPr>
        <w:pStyle w:val="Heading2"/>
      </w:pPr>
      <w:r>
        <w:t>12. Maintenance Notes</w:t>
      </w:r>
    </w:p>
    <w:p/>
    <w:p>
      <w:pPr/>
      <w:r>
        <w:rPr>
          <w:b/>
        </w:rPr>
        <w:t>Tag name (`Known Scanner PB`):</w:t>
      </w:r>
      <w:r>
        <w:t xml:space="preserve"> This is the production tag name used to classify non-CDN known scanners. Do not rename without simultaneously updating the TQL exclusion filter.</w:t>
      </w:r>
    </w:p>
    <w:p>
      <w:pPr/>
      <w:r>
        <w:rPr>
          <w:b/>
        </w:rPr>
        <w:t>Max results = 5:</w:t>
      </w:r>
      <w:r>
        <w:t xml:space="preserve"> Processes up to 5 new indicators per execution (10 per day with the 12-hour schedule). Increase if faster catch-up is needed.</w:t>
      </w:r>
    </w:p>
    <w:p>
      <w:pPr/>
      <w:r>
        <w:rPr>
          <w:b/>
        </w:rPr>
        <w:t>fail_on_no_results = false:</w:t>
      </w:r>
      <w:r>
        <w:t xml:space="preserve"> This playbook is designed to run silently when there are no new indicators to process, unlike the CDN Tagger which alerts on no results. This is intentional.</w:t>
      </w:r>
    </w:p>
    <w:p>
      <w:pPr/>
      <w:r>
        <w:rPr>
          <w:b/>
        </w:rPr>
        <w:t>Active trigger is 12 Hour Timer:</w:t>
      </w:r>
      <w:r>
        <w:t xml:space="preserve"> The production schedule runs at 6:00 AM and 6:00 PM. The WebHook trigger is for testing only.</w:t>
      </w:r>
    </w:p>
    <w:p>
      <w:pPr/>
      <w:r>
        <w:rPr>
          <w:b/>
        </w:rPr>
        <w:t>Version history:</w:t>
      </w:r>
      <w:r>
        <w:t xml:space="preserve"> This is version 1.13. Export a new </w:t>
      </w:r>
      <w:r>
        <w:rPr>
          <w:rFonts w:ascii="Consolas" w:hAnsi="Consolas"/>
          <w:sz w:val="18"/>
        </w:rPr>
        <w:t>.pbxz</w:t>
      </w:r>
      <w:r>
        <w:t xml:space="preserve"> backup from ThreatConnect after any significant changes.</w:t>
      </w:r>
    </w:p>
    <w:p/>
    <w:p>
      <w:r>
        <w:t>-</w:t>
      </w:r>
    </w:p>
    <w:p/>
    <w:p>
      <w:pPr>
        <w:pStyle w:val="Heading2"/>
      </w:pPr>
      <w:r>
        <w:t>13. Related Documents</w:t>
      </w:r>
    </w:p>
    <w:p/>
    <w:p>
      <w:pPr/>
      <w:r>
        <w:rPr>
          <w:rFonts w:ascii="Consolas" w:hAnsi="Consolas"/>
          <w:sz w:val="18"/>
        </w:rPr>
        <w:t>SOP_TC_Playbook_GetCDNScanningIndicatorsByASN.md</w:t>
      </w:r>
      <w:r>
        <w:t xml:space="preserve"> — CDN counterpart playbook SOP</w:t>
      </w:r>
    </w:p>
    <w:p>
      <w:pPr/>
      <w:r>
        <w:t>ThreatConnect Playbook documentation: [ThreatConnect Playbook Apps](https://docs.threatconnect.com)</w:t>
      </w:r>
    </w:p>
    <w:sectPr w:rsidR="00072B10" w:rsidRPr="00DE2C5A" w:rsidSect="00235E9B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2215" w:right="1440" w:bottom="1440" w:left="1440" w:header="59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CD62E" w14:textId="77777777" w:rsidR="0028203C" w:rsidRDefault="0028203C" w:rsidP="00196D5F">
      <w:r>
        <w:separator/>
      </w:r>
    </w:p>
  </w:endnote>
  <w:endnote w:type="continuationSeparator" w:id="0">
    <w:p w14:paraId="4F99FAB3" w14:textId="77777777" w:rsidR="0028203C" w:rsidRDefault="0028203C" w:rsidP="00196D5F">
      <w:r>
        <w:continuationSeparator/>
      </w:r>
    </w:p>
  </w:endnote>
  <w:endnote w:type="continuationNotice" w:id="1">
    <w:p w14:paraId="101276C3" w14:textId="77777777" w:rsidR="0028203C" w:rsidRDefault="0028203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Poppins ExtraBold">
    <w:charset w:val="00"/>
    <w:family w:val="auto"/>
    <w:pitch w:val="variable"/>
    <w:sig w:usb0="00008007" w:usb1="00000000" w:usb2="00000000" w:usb3="00000000" w:csb0="00000093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Nirmala Text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5569119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DE8480D" w14:textId="77777777" w:rsidR="0003206E" w:rsidRDefault="0003206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320FE3B" w14:textId="77777777" w:rsidR="0003206E" w:rsidRDefault="0003206E" w:rsidP="0003206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E3DD5" w14:textId="77777777" w:rsidR="00660397" w:rsidRDefault="00660397"/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815"/>
      <w:gridCol w:w="535"/>
    </w:tblGrid>
    <w:tr w:rsidR="00B40E35" w14:paraId="7A50D1AE" w14:textId="77777777" w:rsidTr="695F0CDE">
      <w:tc>
        <w:tcPr>
          <w:tcW w:w="8815" w:type="dxa"/>
          <w:shd w:val="clear" w:color="auto" w:fill="FFFFFF" w:themeFill="background1"/>
          <w:vAlign w:val="center"/>
        </w:tcPr>
        <w:p w14:paraId="21070393" w14:textId="77777777" w:rsidR="00F210F7" w:rsidRPr="00F210F7" w:rsidRDefault="001E691C" w:rsidP="00F210F7">
          <w:pPr>
            <w:pStyle w:val="NoSpacing"/>
            <w:jc w:val="center"/>
            <w:rPr>
              <w:rFonts w:ascii="Nirmala Text" w:hAnsi="Nirmala Text" w:cs="Nirmala Text"/>
              <w:sz w:val="18"/>
              <w:szCs w:val="18"/>
            </w:rPr>
          </w:pPr>
          <w:r>
            <w:rPr>
              <w:rFonts w:ascii="Nirmala Text" w:hAnsi="Nirmala Text" w:cs="Nirmala Text"/>
              <w:sz w:val="18"/>
              <w:szCs w:val="18"/>
            </w:rPr>
            <w:t xml:space="preserve">               </w:t>
          </w:r>
          <w:r w:rsidR="0091684E">
            <w:rPr>
              <w:noProof/>
            </w:rPr>
            <w:drawing>
              <wp:inline distT="0" distB="0" distL="0" distR="0" wp14:anchorId="72DEBE38" wp14:editId="66345231">
                <wp:extent cx="957532" cy="444240"/>
                <wp:effectExtent l="0" t="0" r="0" b="0"/>
                <wp:docPr id="1601952155" name="Picture 16019521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1952155" name="Picture 160195215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6666" cy="4484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5" w:type="dxa"/>
          <w:vAlign w:val="center"/>
        </w:tcPr>
        <w:sdt>
          <w:sdtPr>
            <w:rPr>
              <w:rStyle w:val="PageNumber"/>
            </w:rPr>
            <w:id w:val="501165908"/>
            <w:docPartObj>
              <w:docPartGallery w:val="Page Numbers (Bottom of Page)"/>
              <w:docPartUnique/>
            </w:docPartObj>
          </w:sdtPr>
          <w:sdtEndPr>
            <w:rPr>
              <w:rStyle w:val="PageNumber"/>
              <w:rFonts w:asciiTheme="majorHAnsi" w:hAnsiTheme="majorHAnsi" w:cstheme="majorBidi"/>
            </w:rPr>
          </w:sdtEndPr>
          <w:sdtContent>
            <w:p w14:paraId="2520E729" w14:textId="77777777" w:rsidR="00B40E35" w:rsidRDefault="00B40E35" w:rsidP="00B40E35">
              <w:pPr>
                <w:pStyle w:val="Footer"/>
                <w:jc w:val="right"/>
              </w:pPr>
              <w:r w:rsidRPr="009F53FD">
                <w:rPr>
                  <w:rStyle w:val="PageNumber"/>
                  <w:rFonts w:asciiTheme="majorHAnsi" w:hAnsiTheme="majorHAnsi" w:cstheme="majorHAnsi"/>
                </w:rPr>
                <w:fldChar w:fldCharType="begin"/>
              </w:r>
              <w:r w:rsidRPr="009F53FD">
                <w:rPr>
                  <w:rStyle w:val="PageNumber"/>
                  <w:rFonts w:asciiTheme="majorHAnsi" w:hAnsiTheme="majorHAnsi" w:cstheme="majorHAnsi"/>
                </w:rPr>
                <w:instrText xml:space="preserve"> PAGE </w:instrText>
              </w:r>
              <w:r w:rsidRPr="009F53FD">
                <w:rPr>
                  <w:rStyle w:val="PageNumber"/>
                  <w:rFonts w:asciiTheme="majorHAnsi" w:hAnsiTheme="majorHAnsi" w:cstheme="majorHAnsi"/>
                </w:rPr>
                <w:fldChar w:fldCharType="separate"/>
              </w:r>
              <w:r w:rsidRPr="009F53FD">
                <w:rPr>
                  <w:rStyle w:val="PageNumber"/>
                  <w:rFonts w:asciiTheme="majorHAnsi" w:hAnsiTheme="majorHAnsi" w:cstheme="majorHAnsi"/>
                </w:rPr>
                <w:t>2</w:t>
              </w:r>
              <w:r w:rsidRPr="009F53FD">
                <w:rPr>
                  <w:rStyle w:val="PageNumber"/>
                  <w:rFonts w:asciiTheme="majorHAnsi" w:hAnsiTheme="majorHAnsi" w:cstheme="majorHAnsi"/>
                </w:rPr>
                <w:fldChar w:fldCharType="end"/>
              </w:r>
            </w:p>
          </w:sdtContent>
        </w:sdt>
      </w:tc>
    </w:tr>
  </w:tbl>
  <w:p w14:paraId="0988EC7C" w14:textId="1539560D" w:rsidR="0003206E" w:rsidRPr="00B15B59" w:rsidRDefault="007C4CC6" w:rsidP="00C86EA7">
    <w:pPr>
      <w:pStyle w:val="Footer"/>
      <w:jc w:val="center"/>
      <w:rPr>
        <w:sz w:val="18"/>
        <w:szCs w:val="18"/>
      </w:rPr>
    </w:pPr>
    <w:proofErr w:type="gramStart"/>
    <w:r w:rsidRPr="007C4CC6">
      <w:rPr>
        <w:rFonts w:ascii="Poppins ExtraBold" w:hAnsi="Poppins ExtraBold" w:cs="Poppins ExtraBold"/>
        <w:color w:val="FFC000"/>
      </w:rPr>
      <w:t>TLP:AMBER</w:t>
    </w:r>
    <w:proofErr w:type="gram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815"/>
      <w:gridCol w:w="535"/>
    </w:tblGrid>
    <w:tr w:rsidR="000C36E3" w14:paraId="7AF05DDC" w14:textId="77777777">
      <w:tc>
        <w:tcPr>
          <w:tcW w:w="8815" w:type="dxa"/>
          <w:vAlign w:val="center"/>
        </w:tcPr>
        <w:p w14:paraId="4BEA8165" w14:textId="77777777" w:rsidR="000C36E3" w:rsidRPr="00B32CF9" w:rsidRDefault="000C36E3" w:rsidP="000C36E3">
          <w:pPr>
            <w:pStyle w:val="Footer"/>
            <w:rPr>
              <w:color w:val="204774" w:themeColor="accent1"/>
              <w:sz w:val="18"/>
              <w:szCs w:val="18"/>
            </w:rPr>
          </w:pPr>
          <w:r w:rsidRPr="00B32CF9">
            <w:rPr>
              <w:color w:val="204774" w:themeColor="accent1"/>
              <w:sz w:val="18"/>
              <w:szCs w:val="18"/>
            </w:rPr>
            <w:t>U.S. Department of Health and Human Services</w:t>
          </w:r>
        </w:p>
        <w:p w14:paraId="7E72CC6A" w14:textId="77777777" w:rsidR="000C36E3" w:rsidRPr="00B32CF9" w:rsidRDefault="000C36E3" w:rsidP="000C36E3">
          <w:pPr>
            <w:pStyle w:val="Footer"/>
            <w:rPr>
              <w:color w:val="204774" w:themeColor="accent1"/>
              <w:sz w:val="18"/>
              <w:szCs w:val="18"/>
            </w:rPr>
          </w:pPr>
          <w:r w:rsidRPr="00B32CF9">
            <w:rPr>
              <w:color w:val="204774" w:themeColor="accent1"/>
              <w:sz w:val="18"/>
              <w:szCs w:val="18"/>
            </w:rPr>
            <w:t>Office of the Chief Information Officer (OCIO)/Office of Information Security and Privacy (OIS</w:t>
          </w:r>
          <w:r>
            <w:rPr>
              <w:color w:val="204774" w:themeColor="accent1"/>
              <w:sz w:val="18"/>
              <w:szCs w:val="18"/>
            </w:rPr>
            <w:t>P</w:t>
          </w:r>
          <w:r w:rsidRPr="00B32CF9">
            <w:rPr>
              <w:color w:val="204774" w:themeColor="accent1"/>
              <w:sz w:val="18"/>
              <w:szCs w:val="18"/>
            </w:rPr>
            <w:t>)</w:t>
          </w:r>
        </w:p>
      </w:tc>
      <w:tc>
        <w:tcPr>
          <w:tcW w:w="535" w:type="dxa"/>
          <w:vAlign w:val="center"/>
        </w:tcPr>
        <w:p w14:paraId="1518FEB7" w14:textId="77777777" w:rsidR="000C36E3" w:rsidRDefault="000C36E3" w:rsidP="000C36E3">
          <w:pPr>
            <w:pStyle w:val="Footer"/>
            <w:jc w:val="right"/>
          </w:pPr>
        </w:p>
      </w:tc>
    </w:tr>
  </w:tbl>
  <w:p w14:paraId="724DC7A4" w14:textId="77777777" w:rsidR="00B32CF9" w:rsidRPr="00B32CF9" w:rsidRDefault="00B32CF9">
    <w:pPr>
      <w:pStyle w:val="Footer"/>
      <w:rPr>
        <w:color w:val="204774" w:themeColor="accent1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C2616" w14:textId="77777777" w:rsidR="0028203C" w:rsidRDefault="0028203C" w:rsidP="00196D5F">
      <w:r>
        <w:separator/>
      </w:r>
    </w:p>
  </w:footnote>
  <w:footnote w:type="continuationSeparator" w:id="0">
    <w:p w14:paraId="7F2DC5EA" w14:textId="77777777" w:rsidR="0028203C" w:rsidRDefault="0028203C" w:rsidP="00196D5F">
      <w:r>
        <w:continuationSeparator/>
      </w:r>
    </w:p>
  </w:footnote>
  <w:footnote w:type="continuationNotice" w:id="1">
    <w:p w14:paraId="3E356628" w14:textId="77777777" w:rsidR="0028203C" w:rsidRDefault="0028203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20" w:firstRow="1" w:lastRow="0" w:firstColumn="0" w:lastColumn="0" w:noHBand="1" w:noVBand="1"/>
      <w:tblCaption w:val="Header Table"/>
      <w:tblDescription w:val="Document Title and Date"/>
    </w:tblPr>
    <w:tblGrid>
      <w:gridCol w:w="6570"/>
      <w:gridCol w:w="3420"/>
    </w:tblGrid>
    <w:tr w:rsidR="00A32B84" w14:paraId="06E53D06" w14:textId="77777777" w:rsidTr="007C4CC6">
      <w:trPr>
        <w:trHeight w:val="720"/>
      </w:trPr>
      <w:tc>
        <w:tcPr>
          <w:tcW w:w="6570" w:type="dxa"/>
          <w:vAlign w:val="center"/>
        </w:tcPr>
        <w:p>
          <w:r>
            <w:t>TLP:AMBER</w:t>
            <w:br/>
            <w:t>ThreatConnect Playbook — Get Known Scanning Indicators by ASN (Non-CDN) Tagger</w:t>
            <w:br/>
            <w:t>April 2026</w:t>
          </w:r>
        </w:p>
      </w:tc>
      <w:tc>
        <w:tcPr>
          <w:tcW w:w="3420" w:type="dxa"/>
          <w:vAlign w:val="center"/>
        </w:tcPr>
        <w:p w14:paraId="2B66194C" w14:textId="77777777" w:rsidR="00A32B84" w:rsidRPr="00A32B84" w:rsidRDefault="00446276" w:rsidP="00A32B84">
          <w:pPr>
            <w:pStyle w:val="Header"/>
            <w:jc w:val="right"/>
            <w:rPr>
              <w:rFonts w:asciiTheme="majorHAnsi" w:hAnsiTheme="majorHAnsi"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7971F684" wp14:editId="240B1539">
                <wp:extent cx="1524000" cy="482851"/>
                <wp:effectExtent l="0" t="0" r="0" b="0"/>
                <wp:docPr id="40272960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5492" cy="48649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2362BC70" w14:textId="77777777" w:rsidR="695F0CDE" w:rsidRDefault="00DD0193"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839FB81" wp14:editId="43726EDC">
              <wp:simplePos x="0" y="0"/>
              <wp:positionH relativeFrom="column">
                <wp:posOffset>-946150</wp:posOffset>
              </wp:positionH>
              <wp:positionV relativeFrom="paragraph">
                <wp:posOffset>175680</wp:posOffset>
              </wp:positionV>
              <wp:extent cx="4795284" cy="0"/>
              <wp:effectExtent l="0" t="0" r="5715" b="12700"/>
              <wp:wrapNone/>
              <wp:docPr id="2" name="Straight Connector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4795284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2D74879" id="Straight Connector 2" o:spid="_x0000_s1026" alt="&quot;&quot;" style="position:absolute;flip:x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4.5pt,13.85pt" to="303.1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" strokecolor="#204774 [3204]" strokeweight="1pt">
              <v:stroke joinstyle="miter"/>
            </v:line>
          </w:pict>
        </mc:Fallback>
      </mc:AlternateContent>
    </w:r>
    <w:r w:rsidR="0062259D" w:rsidRPr="0062259D">
      <w:rPr>
        <w:rFonts w:ascii="Nirmala UI" w:hAnsi="Nirmala UI" w:cs="Nirmala UI"/>
        <w:b/>
        <w:bCs/>
        <w:noProof/>
        <w:color w:val="000000" w:themeColor="text1"/>
        <w:sz w:val="22"/>
        <w:szCs w:val="22"/>
      </w:rPr>
      <w:drawing>
        <wp:anchor distT="0" distB="0" distL="114300" distR="114300" simplePos="0" relativeHeight="251661312" behindDoc="0" locked="0" layoutInCell="1" allowOverlap="1" wp14:anchorId="1813D673" wp14:editId="4C16BC2A">
          <wp:simplePos x="0" y="0"/>
          <wp:positionH relativeFrom="column">
            <wp:posOffset>9591675</wp:posOffset>
          </wp:positionH>
          <wp:positionV relativeFrom="paragraph">
            <wp:posOffset>-1068070</wp:posOffset>
          </wp:positionV>
          <wp:extent cx="1689772" cy="1243965"/>
          <wp:effectExtent l="0" t="0" r="5715" b="0"/>
          <wp:wrapNone/>
          <wp:docPr id="9" name="Picture 8">
            <a:extLst xmlns:a="http://schemas.openxmlformats.org/drawingml/2006/main">
              <a:ext uri="{FF2B5EF4-FFF2-40B4-BE49-F238E27FC236}">
                <a16:creationId xmlns:a16="http://schemas.microsoft.com/office/drawing/2014/main" id="{D1C4F4EC-7509-28D0-3A43-5FC9275CE1B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>
                    <a:extLst>
                      <a:ext uri="{FF2B5EF4-FFF2-40B4-BE49-F238E27FC236}">
                        <a16:creationId xmlns:a16="http://schemas.microsoft.com/office/drawing/2014/main" id="{D1C4F4EC-7509-28D0-3A43-5FC9275CE1B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752" cy="13102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259D" w:rsidRPr="0062259D">
      <w:rPr>
        <w:rFonts w:ascii="Nirmala UI" w:hAnsi="Nirmala UI" w:cs="Nirmala UI"/>
        <w:b/>
        <w:bCs/>
        <w:noProof/>
        <w:color w:val="000000" w:themeColor="text1"/>
        <w:sz w:val="22"/>
        <w:szCs w:val="22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F3D6E8D" wp14:editId="12C6E227">
              <wp:simplePos x="0" y="0"/>
              <wp:positionH relativeFrom="column">
                <wp:posOffset>8305800</wp:posOffset>
              </wp:positionH>
              <wp:positionV relativeFrom="paragraph">
                <wp:posOffset>-763270</wp:posOffset>
              </wp:positionV>
              <wp:extent cx="2596530" cy="1244872"/>
              <wp:effectExtent l="0" t="0" r="0" b="0"/>
              <wp:wrapNone/>
              <wp:docPr id="6" name="Slide Number Placeholder 5">
                <a:extLst xmlns:a="http://schemas.openxmlformats.org/drawingml/2006/main">
                  <a:ext uri="{FF2B5EF4-FFF2-40B4-BE49-F238E27FC236}">
                    <a16:creationId xmlns:a16="http://schemas.microsoft.com/office/drawing/2014/main" id="{74078398-1CA4-F0A3-CECD-FF7C0DBAF365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6530" cy="1244872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D023A0" w14:textId="77777777" w:rsidR="0062259D" w:rsidRDefault="0062259D" w:rsidP="0062259D">
                          <w:pPr>
                            <w:jc w:val="right"/>
                            <w:rPr>
                              <w:rFonts w:ascii="Nirmala Text" w:eastAsia="Nirmala Text" w:hAnsi="Nirmala Text" w:cs="Nirmala Text"/>
                              <w:b/>
                              <w:bCs/>
                              <w:color w:val="F6DD23"/>
                              <w:kern w:val="24"/>
                            </w:rPr>
                          </w:pPr>
                          <w:proofErr w:type="gramStart"/>
                          <w:r>
                            <w:rPr>
                              <w:rFonts w:ascii="Nirmala Text" w:eastAsia="Nirmala Text" w:hAnsi="Nirmala Text" w:cs="Nirmala Text"/>
                              <w:b/>
                              <w:bCs/>
                              <w:color w:val="F6DD23"/>
                              <w:kern w:val="24"/>
                            </w:rPr>
                            <w:t>TLP:AMBER</w:t>
                          </w:r>
                          <w:proofErr w:type="gramEnd"/>
                          <w:r>
                            <w:rPr>
                              <w:rFonts w:ascii="Nirmala Text" w:eastAsia="Nirmala Text" w:hAnsi="Nirmala Text" w:cs="Nirmala Text"/>
                              <w:b/>
                              <w:bCs/>
                              <w:color w:val="F6DD23"/>
                              <w:kern w:val="24"/>
                            </w:rPr>
                            <w:t>+STRICT</w:t>
                          </w:r>
                        </w:p>
                      </w:txbxContent>
                    </wps:txbx>
                    <wps:bodyPr vert="horz" wrap="square" lIns="91440" tIns="45720" rIns="91440" bIns="45720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3D6E8D" id="_x0000_t202" coordsize="21600,21600" o:spt="202" path="m,l,21600r21600,l21600,xe">
              <v:stroke joinstyle="miter"/>
              <v:path gradientshapeok="t" o:connecttype="rect"/>
            </v:shapetype>
            <v:shape id="Slide Number Placeholder 5" o:spid="_x0000_s1030" type="#_x0000_t202" style="position:absolute;margin-left:654pt;margin-top:-60.1pt;width:204.45pt;height:9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" filled="f" stroked="f">
              <v:textbox>
                <w:txbxContent>
                  <w:p w14:paraId="47D023A0" w14:textId="77777777" w:rsidR="0062259D" w:rsidRDefault="0062259D" w:rsidP="0062259D">
                    <w:pPr>
                      <w:jc w:val="right"/>
                      <w:rPr>
                        <w:rFonts w:ascii="Nirmala Text" w:eastAsia="Nirmala Text" w:hAnsi="Nirmala Text" w:cs="Nirmala Text"/>
                        <w:b/>
                        <w:bCs/>
                        <w:color w:val="F6DD23"/>
                        <w:kern w:val="24"/>
                      </w:rPr>
                    </w:pPr>
                    <w:proofErr w:type="gramStart"/>
                    <w:r>
                      <w:rPr>
                        <w:rFonts w:ascii="Nirmala Text" w:eastAsia="Nirmala Text" w:hAnsi="Nirmala Text" w:cs="Nirmala Text"/>
                        <w:b/>
                        <w:bCs/>
                        <w:color w:val="F6DD23"/>
                        <w:kern w:val="24"/>
                      </w:rPr>
                      <w:t>TLP:AMBER</w:t>
                    </w:r>
                    <w:proofErr w:type="gramEnd"/>
                    <w:r>
                      <w:rPr>
                        <w:rFonts w:ascii="Nirmala Text" w:eastAsia="Nirmala Text" w:hAnsi="Nirmala Text" w:cs="Nirmala Text"/>
                        <w:b/>
                        <w:bCs/>
                        <w:color w:val="F6DD23"/>
                        <w:kern w:val="24"/>
                      </w:rPr>
                      <w:t>+STRICT</w:t>
                    </w:r>
                  </w:p>
                </w:txbxContent>
              </v:textbox>
            </v:shape>
          </w:pict>
        </mc:Fallback>
      </mc:AlternateContent>
    </w:r>
  </w:p>
  <w:p w14:paraId="1DE3E371" w14:textId="77777777" w:rsidR="00196D5F" w:rsidRDefault="00196D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2FB0E" w14:textId="77777777" w:rsidR="00472608" w:rsidRDefault="00472608">
    <w:pPr>
      <w:pStyle w:val="Header"/>
    </w:pPr>
  </w:p>
  <w:p w14:paraId="5E8621A0" w14:textId="77777777" w:rsidR="00472608" w:rsidRDefault="004726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906B9"/>
    <w:multiLevelType w:val="multilevel"/>
    <w:tmpl w:val="3848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A4A88"/>
    <w:multiLevelType w:val="multilevel"/>
    <w:tmpl w:val="0740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35339"/>
    <w:multiLevelType w:val="multilevel"/>
    <w:tmpl w:val="F08C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A37DC"/>
    <w:multiLevelType w:val="hybridMultilevel"/>
    <w:tmpl w:val="5F9EA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60CEC"/>
    <w:multiLevelType w:val="hybridMultilevel"/>
    <w:tmpl w:val="D17AEF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F244AE"/>
    <w:multiLevelType w:val="hybridMultilevel"/>
    <w:tmpl w:val="7214D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6E2C21"/>
    <w:multiLevelType w:val="hybridMultilevel"/>
    <w:tmpl w:val="4DF8A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7B58C8"/>
    <w:multiLevelType w:val="hybridMultilevel"/>
    <w:tmpl w:val="77A2F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212972"/>
    <w:multiLevelType w:val="hybridMultilevel"/>
    <w:tmpl w:val="77A2FB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8D79A5"/>
    <w:multiLevelType w:val="hybridMultilevel"/>
    <w:tmpl w:val="1C1A9A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833EAD"/>
    <w:multiLevelType w:val="hybridMultilevel"/>
    <w:tmpl w:val="67C8FF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E3620"/>
    <w:multiLevelType w:val="multilevel"/>
    <w:tmpl w:val="6ACE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E4D8E"/>
    <w:multiLevelType w:val="hybridMultilevel"/>
    <w:tmpl w:val="D0142E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510673"/>
    <w:multiLevelType w:val="multilevel"/>
    <w:tmpl w:val="27C6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610D00"/>
    <w:multiLevelType w:val="multilevel"/>
    <w:tmpl w:val="C57E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D5D08"/>
    <w:multiLevelType w:val="hybridMultilevel"/>
    <w:tmpl w:val="213072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1B7C0F"/>
    <w:multiLevelType w:val="hybridMultilevel"/>
    <w:tmpl w:val="D5CC778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FB65082"/>
    <w:multiLevelType w:val="multilevel"/>
    <w:tmpl w:val="AD60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0F361B"/>
    <w:multiLevelType w:val="hybridMultilevel"/>
    <w:tmpl w:val="D1DC72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DC5A0F"/>
    <w:multiLevelType w:val="hybridMultilevel"/>
    <w:tmpl w:val="D2F476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5D208F"/>
    <w:multiLevelType w:val="hybridMultilevel"/>
    <w:tmpl w:val="56A0CB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3841AA"/>
    <w:multiLevelType w:val="hybridMultilevel"/>
    <w:tmpl w:val="6926529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18254F0"/>
    <w:multiLevelType w:val="multilevel"/>
    <w:tmpl w:val="88046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C36BDD"/>
    <w:multiLevelType w:val="hybridMultilevel"/>
    <w:tmpl w:val="BC64F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512007"/>
    <w:multiLevelType w:val="multilevel"/>
    <w:tmpl w:val="CB06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421835"/>
    <w:multiLevelType w:val="multilevel"/>
    <w:tmpl w:val="E250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732628">
    <w:abstractNumId w:val="3"/>
  </w:num>
  <w:num w:numId="2" w16cid:durableId="1010062569">
    <w:abstractNumId w:val="7"/>
  </w:num>
  <w:num w:numId="3" w16cid:durableId="862745281">
    <w:abstractNumId w:val="10"/>
  </w:num>
  <w:num w:numId="4" w16cid:durableId="1282613973">
    <w:abstractNumId w:val="20"/>
  </w:num>
  <w:num w:numId="5" w16cid:durableId="2047215258">
    <w:abstractNumId w:val="21"/>
  </w:num>
  <w:num w:numId="6" w16cid:durableId="1027175540">
    <w:abstractNumId w:val="15"/>
  </w:num>
  <w:num w:numId="7" w16cid:durableId="796338963">
    <w:abstractNumId w:val="9"/>
  </w:num>
  <w:num w:numId="8" w16cid:durableId="1173298111">
    <w:abstractNumId w:val="8"/>
  </w:num>
  <w:num w:numId="9" w16cid:durableId="1372461074">
    <w:abstractNumId w:val="4"/>
  </w:num>
  <w:num w:numId="10" w16cid:durableId="1997609508">
    <w:abstractNumId w:val="12"/>
  </w:num>
  <w:num w:numId="11" w16cid:durableId="1532570134">
    <w:abstractNumId w:val="18"/>
  </w:num>
  <w:num w:numId="12" w16cid:durableId="748313279">
    <w:abstractNumId w:val="16"/>
  </w:num>
  <w:num w:numId="13" w16cid:durableId="1307319293">
    <w:abstractNumId w:val="23"/>
  </w:num>
  <w:num w:numId="14" w16cid:durableId="1161699667">
    <w:abstractNumId w:val="5"/>
  </w:num>
  <w:num w:numId="15" w16cid:durableId="300425086">
    <w:abstractNumId w:val="19"/>
  </w:num>
  <w:num w:numId="16" w16cid:durableId="1881821316">
    <w:abstractNumId w:val="6"/>
  </w:num>
  <w:num w:numId="17" w16cid:durableId="875193400">
    <w:abstractNumId w:val="11"/>
  </w:num>
  <w:num w:numId="18" w16cid:durableId="788933985">
    <w:abstractNumId w:val="24"/>
  </w:num>
  <w:num w:numId="19" w16cid:durableId="474104906">
    <w:abstractNumId w:val="2"/>
  </w:num>
  <w:num w:numId="20" w16cid:durableId="284510180">
    <w:abstractNumId w:val="0"/>
  </w:num>
  <w:num w:numId="21" w16cid:durableId="1210336629">
    <w:abstractNumId w:val="17"/>
  </w:num>
  <w:num w:numId="22" w16cid:durableId="1105886355">
    <w:abstractNumId w:val="13"/>
  </w:num>
  <w:num w:numId="23" w16cid:durableId="1427772093">
    <w:abstractNumId w:val="22"/>
  </w:num>
  <w:num w:numId="24" w16cid:durableId="242763953">
    <w:abstractNumId w:val="1"/>
  </w:num>
  <w:num w:numId="25" w16cid:durableId="1504662645">
    <w:abstractNumId w:val="25"/>
  </w:num>
  <w:num w:numId="26" w16cid:durableId="11928363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1E"/>
    <w:rsid w:val="000039B0"/>
    <w:rsid w:val="0000477B"/>
    <w:rsid w:val="00005009"/>
    <w:rsid w:val="00011C71"/>
    <w:rsid w:val="00015078"/>
    <w:rsid w:val="00023CE1"/>
    <w:rsid w:val="000245A1"/>
    <w:rsid w:val="0003206E"/>
    <w:rsid w:val="00032646"/>
    <w:rsid w:val="0003499E"/>
    <w:rsid w:val="00035746"/>
    <w:rsid w:val="00040ECE"/>
    <w:rsid w:val="00044DD4"/>
    <w:rsid w:val="00052C3C"/>
    <w:rsid w:val="000677C6"/>
    <w:rsid w:val="00072B10"/>
    <w:rsid w:val="00077B68"/>
    <w:rsid w:val="00083A23"/>
    <w:rsid w:val="000A0893"/>
    <w:rsid w:val="000A1B52"/>
    <w:rsid w:val="000A27A2"/>
    <w:rsid w:val="000B10BE"/>
    <w:rsid w:val="000B12EA"/>
    <w:rsid w:val="000B42C6"/>
    <w:rsid w:val="000C179A"/>
    <w:rsid w:val="000C36E3"/>
    <w:rsid w:val="000C55E3"/>
    <w:rsid w:val="000D2829"/>
    <w:rsid w:val="000E06B6"/>
    <w:rsid w:val="000E14F1"/>
    <w:rsid w:val="000E2C30"/>
    <w:rsid w:val="000F5415"/>
    <w:rsid w:val="000F5F62"/>
    <w:rsid w:val="00101F0B"/>
    <w:rsid w:val="00105DEF"/>
    <w:rsid w:val="001100D2"/>
    <w:rsid w:val="0011031D"/>
    <w:rsid w:val="00111D7E"/>
    <w:rsid w:val="00113A9D"/>
    <w:rsid w:val="00116368"/>
    <w:rsid w:val="00117681"/>
    <w:rsid w:val="001409F6"/>
    <w:rsid w:val="001470FC"/>
    <w:rsid w:val="00147EA8"/>
    <w:rsid w:val="00150224"/>
    <w:rsid w:val="0015376A"/>
    <w:rsid w:val="001549BE"/>
    <w:rsid w:val="001568C8"/>
    <w:rsid w:val="00161402"/>
    <w:rsid w:val="001637F8"/>
    <w:rsid w:val="001716CB"/>
    <w:rsid w:val="00171F0D"/>
    <w:rsid w:val="001746B5"/>
    <w:rsid w:val="00196D5F"/>
    <w:rsid w:val="001A3E9D"/>
    <w:rsid w:val="001B1852"/>
    <w:rsid w:val="001B6106"/>
    <w:rsid w:val="001B66EC"/>
    <w:rsid w:val="001D66FB"/>
    <w:rsid w:val="001E4C38"/>
    <w:rsid w:val="001E691C"/>
    <w:rsid w:val="001E7309"/>
    <w:rsid w:val="001F0991"/>
    <w:rsid w:val="001F1394"/>
    <w:rsid w:val="001F29ED"/>
    <w:rsid w:val="001F3B07"/>
    <w:rsid w:val="001F5138"/>
    <w:rsid w:val="001F5FD9"/>
    <w:rsid w:val="00202B3B"/>
    <w:rsid w:val="00207A02"/>
    <w:rsid w:val="00207E50"/>
    <w:rsid w:val="002132DC"/>
    <w:rsid w:val="00224474"/>
    <w:rsid w:val="002320C3"/>
    <w:rsid w:val="002336E6"/>
    <w:rsid w:val="002337EC"/>
    <w:rsid w:val="00235E9B"/>
    <w:rsid w:val="00242AC5"/>
    <w:rsid w:val="00242C58"/>
    <w:rsid w:val="00244562"/>
    <w:rsid w:val="002467B4"/>
    <w:rsid w:val="002551FC"/>
    <w:rsid w:val="00261F34"/>
    <w:rsid w:val="00271117"/>
    <w:rsid w:val="002717B5"/>
    <w:rsid w:val="0027394F"/>
    <w:rsid w:val="0028203C"/>
    <w:rsid w:val="002822F6"/>
    <w:rsid w:val="00286370"/>
    <w:rsid w:val="002907E1"/>
    <w:rsid w:val="00291F8D"/>
    <w:rsid w:val="002C01FE"/>
    <w:rsid w:val="002C54C5"/>
    <w:rsid w:val="002C551A"/>
    <w:rsid w:val="002D1E94"/>
    <w:rsid w:val="002D3C86"/>
    <w:rsid w:val="002D723D"/>
    <w:rsid w:val="002E19A3"/>
    <w:rsid w:val="002E274F"/>
    <w:rsid w:val="002E3A5F"/>
    <w:rsid w:val="002F5E30"/>
    <w:rsid w:val="003026FE"/>
    <w:rsid w:val="00303787"/>
    <w:rsid w:val="00303F46"/>
    <w:rsid w:val="00313438"/>
    <w:rsid w:val="00315E6D"/>
    <w:rsid w:val="003224E0"/>
    <w:rsid w:val="003375DA"/>
    <w:rsid w:val="00351661"/>
    <w:rsid w:val="00356469"/>
    <w:rsid w:val="00360421"/>
    <w:rsid w:val="00371ACA"/>
    <w:rsid w:val="00371DD9"/>
    <w:rsid w:val="00383CE9"/>
    <w:rsid w:val="00392D89"/>
    <w:rsid w:val="00393C26"/>
    <w:rsid w:val="0039552B"/>
    <w:rsid w:val="003A1889"/>
    <w:rsid w:val="003A229C"/>
    <w:rsid w:val="003A4FAD"/>
    <w:rsid w:val="003B3F1D"/>
    <w:rsid w:val="003B44B8"/>
    <w:rsid w:val="003B5DF4"/>
    <w:rsid w:val="003C1D7F"/>
    <w:rsid w:val="003E37F1"/>
    <w:rsid w:val="003E3A52"/>
    <w:rsid w:val="003F0660"/>
    <w:rsid w:val="003F1075"/>
    <w:rsid w:val="003F20A0"/>
    <w:rsid w:val="003F3F08"/>
    <w:rsid w:val="0040289E"/>
    <w:rsid w:val="004058BA"/>
    <w:rsid w:val="00415C42"/>
    <w:rsid w:val="0042628F"/>
    <w:rsid w:val="00431C4F"/>
    <w:rsid w:val="00432F0E"/>
    <w:rsid w:val="004331A6"/>
    <w:rsid w:val="004371B1"/>
    <w:rsid w:val="00441A69"/>
    <w:rsid w:val="0044207D"/>
    <w:rsid w:val="00443F30"/>
    <w:rsid w:val="004450BD"/>
    <w:rsid w:val="00446276"/>
    <w:rsid w:val="00462E5C"/>
    <w:rsid w:val="00463FD3"/>
    <w:rsid w:val="004664CA"/>
    <w:rsid w:val="00471586"/>
    <w:rsid w:val="00472608"/>
    <w:rsid w:val="004732C4"/>
    <w:rsid w:val="0049422B"/>
    <w:rsid w:val="004A19BD"/>
    <w:rsid w:val="004A31A4"/>
    <w:rsid w:val="004A3FF7"/>
    <w:rsid w:val="004B6DF0"/>
    <w:rsid w:val="004D4783"/>
    <w:rsid w:val="004E6D11"/>
    <w:rsid w:val="004F615A"/>
    <w:rsid w:val="004F72AA"/>
    <w:rsid w:val="004F73B6"/>
    <w:rsid w:val="0050107E"/>
    <w:rsid w:val="0050119D"/>
    <w:rsid w:val="00503175"/>
    <w:rsid w:val="00506292"/>
    <w:rsid w:val="00506321"/>
    <w:rsid w:val="00510208"/>
    <w:rsid w:val="005103D1"/>
    <w:rsid w:val="005134A3"/>
    <w:rsid w:val="005160B6"/>
    <w:rsid w:val="0052191F"/>
    <w:rsid w:val="00524C9D"/>
    <w:rsid w:val="00530547"/>
    <w:rsid w:val="00534D4A"/>
    <w:rsid w:val="00544D4C"/>
    <w:rsid w:val="0055058E"/>
    <w:rsid w:val="0055297C"/>
    <w:rsid w:val="005544CF"/>
    <w:rsid w:val="00555900"/>
    <w:rsid w:val="005559C4"/>
    <w:rsid w:val="00560765"/>
    <w:rsid w:val="0056574D"/>
    <w:rsid w:val="00572CB3"/>
    <w:rsid w:val="00573263"/>
    <w:rsid w:val="00576F3B"/>
    <w:rsid w:val="005807C8"/>
    <w:rsid w:val="00581832"/>
    <w:rsid w:val="00583D1D"/>
    <w:rsid w:val="005852A2"/>
    <w:rsid w:val="00590156"/>
    <w:rsid w:val="0059361F"/>
    <w:rsid w:val="00596CA4"/>
    <w:rsid w:val="005A3033"/>
    <w:rsid w:val="005A3EAE"/>
    <w:rsid w:val="005B5D17"/>
    <w:rsid w:val="005C114E"/>
    <w:rsid w:val="005C2379"/>
    <w:rsid w:val="005C5707"/>
    <w:rsid w:val="005D531A"/>
    <w:rsid w:val="005D53BD"/>
    <w:rsid w:val="005D5E71"/>
    <w:rsid w:val="005D7146"/>
    <w:rsid w:val="005E0938"/>
    <w:rsid w:val="005E4D3E"/>
    <w:rsid w:val="005E545A"/>
    <w:rsid w:val="005F36BB"/>
    <w:rsid w:val="005F439A"/>
    <w:rsid w:val="005F449A"/>
    <w:rsid w:val="00600834"/>
    <w:rsid w:val="0061088B"/>
    <w:rsid w:val="00617293"/>
    <w:rsid w:val="00620FA2"/>
    <w:rsid w:val="0062259D"/>
    <w:rsid w:val="00624328"/>
    <w:rsid w:val="006255B6"/>
    <w:rsid w:val="0064490E"/>
    <w:rsid w:val="006523D2"/>
    <w:rsid w:val="00660397"/>
    <w:rsid w:val="0067609E"/>
    <w:rsid w:val="006836B6"/>
    <w:rsid w:val="00691204"/>
    <w:rsid w:val="00692DD4"/>
    <w:rsid w:val="00695B3A"/>
    <w:rsid w:val="00697A90"/>
    <w:rsid w:val="006B072D"/>
    <w:rsid w:val="006B33B7"/>
    <w:rsid w:val="006B49F6"/>
    <w:rsid w:val="006C79C3"/>
    <w:rsid w:val="006C7C2C"/>
    <w:rsid w:val="006D2A6A"/>
    <w:rsid w:val="006D2C4E"/>
    <w:rsid w:val="006D2C69"/>
    <w:rsid w:val="006D5330"/>
    <w:rsid w:val="006D67AC"/>
    <w:rsid w:val="006E27A4"/>
    <w:rsid w:val="006E4352"/>
    <w:rsid w:val="006E70E9"/>
    <w:rsid w:val="006E7657"/>
    <w:rsid w:val="006F4E99"/>
    <w:rsid w:val="00701273"/>
    <w:rsid w:val="00711F82"/>
    <w:rsid w:val="007163A7"/>
    <w:rsid w:val="0072289E"/>
    <w:rsid w:val="00727ED9"/>
    <w:rsid w:val="007322F4"/>
    <w:rsid w:val="00733E68"/>
    <w:rsid w:val="0074255F"/>
    <w:rsid w:val="00743656"/>
    <w:rsid w:val="0074721A"/>
    <w:rsid w:val="00747BCD"/>
    <w:rsid w:val="00753C94"/>
    <w:rsid w:val="00755C49"/>
    <w:rsid w:val="00761BE9"/>
    <w:rsid w:val="00762640"/>
    <w:rsid w:val="0077130B"/>
    <w:rsid w:val="0077344A"/>
    <w:rsid w:val="00797104"/>
    <w:rsid w:val="007A5189"/>
    <w:rsid w:val="007B5B4E"/>
    <w:rsid w:val="007C4A7B"/>
    <w:rsid w:val="007C4CC6"/>
    <w:rsid w:val="007D47A0"/>
    <w:rsid w:val="007D66EB"/>
    <w:rsid w:val="007E1B3B"/>
    <w:rsid w:val="007E25E6"/>
    <w:rsid w:val="007E43D9"/>
    <w:rsid w:val="007E48DD"/>
    <w:rsid w:val="007E50B3"/>
    <w:rsid w:val="007F45E3"/>
    <w:rsid w:val="007F716B"/>
    <w:rsid w:val="00803A9B"/>
    <w:rsid w:val="00803E7C"/>
    <w:rsid w:val="0080559B"/>
    <w:rsid w:val="00814E7C"/>
    <w:rsid w:val="00816348"/>
    <w:rsid w:val="00816C03"/>
    <w:rsid w:val="00822067"/>
    <w:rsid w:val="0082264F"/>
    <w:rsid w:val="00825EBC"/>
    <w:rsid w:val="00836D3B"/>
    <w:rsid w:val="00852F65"/>
    <w:rsid w:val="008566CE"/>
    <w:rsid w:val="0085749C"/>
    <w:rsid w:val="00862069"/>
    <w:rsid w:val="008700E3"/>
    <w:rsid w:val="00874586"/>
    <w:rsid w:val="00875D9F"/>
    <w:rsid w:val="00885206"/>
    <w:rsid w:val="00887D13"/>
    <w:rsid w:val="008924A0"/>
    <w:rsid w:val="00894763"/>
    <w:rsid w:val="00895AEF"/>
    <w:rsid w:val="00896773"/>
    <w:rsid w:val="00896C53"/>
    <w:rsid w:val="008A261E"/>
    <w:rsid w:val="008A3032"/>
    <w:rsid w:val="008B1CF7"/>
    <w:rsid w:val="008B3767"/>
    <w:rsid w:val="008B762A"/>
    <w:rsid w:val="008C34AC"/>
    <w:rsid w:val="008C56C2"/>
    <w:rsid w:val="008C59B6"/>
    <w:rsid w:val="008C6E13"/>
    <w:rsid w:val="008C7555"/>
    <w:rsid w:val="008D5307"/>
    <w:rsid w:val="008D6FB8"/>
    <w:rsid w:val="008E1DF4"/>
    <w:rsid w:val="008E227F"/>
    <w:rsid w:val="008E4FAD"/>
    <w:rsid w:val="008F381B"/>
    <w:rsid w:val="008F6633"/>
    <w:rsid w:val="0090688E"/>
    <w:rsid w:val="009167BA"/>
    <w:rsid w:val="0091684E"/>
    <w:rsid w:val="00921D43"/>
    <w:rsid w:val="009279C1"/>
    <w:rsid w:val="0093171F"/>
    <w:rsid w:val="009371F5"/>
    <w:rsid w:val="00944681"/>
    <w:rsid w:val="0094798A"/>
    <w:rsid w:val="009516A1"/>
    <w:rsid w:val="009532E2"/>
    <w:rsid w:val="009559B6"/>
    <w:rsid w:val="009721B0"/>
    <w:rsid w:val="0097274C"/>
    <w:rsid w:val="0097506C"/>
    <w:rsid w:val="00977A9D"/>
    <w:rsid w:val="00977D50"/>
    <w:rsid w:val="00982403"/>
    <w:rsid w:val="00996A59"/>
    <w:rsid w:val="009970A1"/>
    <w:rsid w:val="009A630A"/>
    <w:rsid w:val="009B2006"/>
    <w:rsid w:val="009C77AE"/>
    <w:rsid w:val="009D0CE6"/>
    <w:rsid w:val="009D100B"/>
    <w:rsid w:val="009E5A85"/>
    <w:rsid w:val="009F08B6"/>
    <w:rsid w:val="009F0F2A"/>
    <w:rsid w:val="009F1982"/>
    <w:rsid w:val="009F53FD"/>
    <w:rsid w:val="00A006EC"/>
    <w:rsid w:val="00A022D6"/>
    <w:rsid w:val="00A075FE"/>
    <w:rsid w:val="00A11B03"/>
    <w:rsid w:val="00A12EF0"/>
    <w:rsid w:val="00A13FA3"/>
    <w:rsid w:val="00A1579F"/>
    <w:rsid w:val="00A22C5A"/>
    <w:rsid w:val="00A24F1E"/>
    <w:rsid w:val="00A2596F"/>
    <w:rsid w:val="00A31110"/>
    <w:rsid w:val="00A32B84"/>
    <w:rsid w:val="00A36A1D"/>
    <w:rsid w:val="00A37E06"/>
    <w:rsid w:val="00A6525A"/>
    <w:rsid w:val="00A656C1"/>
    <w:rsid w:val="00A66EAD"/>
    <w:rsid w:val="00A71B48"/>
    <w:rsid w:val="00A72B78"/>
    <w:rsid w:val="00A77527"/>
    <w:rsid w:val="00A80E63"/>
    <w:rsid w:val="00A82FC8"/>
    <w:rsid w:val="00A91864"/>
    <w:rsid w:val="00A95BCA"/>
    <w:rsid w:val="00AA26DE"/>
    <w:rsid w:val="00AA7FF2"/>
    <w:rsid w:val="00AB1F72"/>
    <w:rsid w:val="00AB2272"/>
    <w:rsid w:val="00AB370A"/>
    <w:rsid w:val="00AB4024"/>
    <w:rsid w:val="00AB45B7"/>
    <w:rsid w:val="00AB46FA"/>
    <w:rsid w:val="00AB496C"/>
    <w:rsid w:val="00AB51D1"/>
    <w:rsid w:val="00AC2807"/>
    <w:rsid w:val="00AD2CC6"/>
    <w:rsid w:val="00AE762E"/>
    <w:rsid w:val="00AE7FAD"/>
    <w:rsid w:val="00AF4074"/>
    <w:rsid w:val="00B04ABB"/>
    <w:rsid w:val="00B06BDB"/>
    <w:rsid w:val="00B15B59"/>
    <w:rsid w:val="00B17C09"/>
    <w:rsid w:val="00B20131"/>
    <w:rsid w:val="00B21FBB"/>
    <w:rsid w:val="00B266A6"/>
    <w:rsid w:val="00B32CF9"/>
    <w:rsid w:val="00B343E3"/>
    <w:rsid w:val="00B36F5E"/>
    <w:rsid w:val="00B40E35"/>
    <w:rsid w:val="00B46585"/>
    <w:rsid w:val="00B53EE8"/>
    <w:rsid w:val="00B71D7F"/>
    <w:rsid w:val="00B768F3"/>
    <w:rsid w:val="00B77F22"/>
    <w:rsid w:val="00B8385B"/>
    <w:rsid w:val="00B8751B"/>
    <w:rsid w:val="00BC02CB"/>
    <w:rsid w:val="00BC36AB"/>
    <w:rsid w:val="00BC7C67"/>
    <w:rsid w:val="00BD11B6"/>
    <w:rsid w:val="00BD313F"/>
    <w:rsid w:val="00BD4DC5"/>
    <w:rsid w:val="00BE5555"/>
    <w:rsid w:val="00BE5CE9"/>
    <w:rsid w:val="00BF03AF"/>
    <w:rsid w:val="00BF137C"/>
    <w:rsid w:val="00BF7635"/>
    <w:rsid w:val="00C0062F"/>
    <w:rsid w:val="00C031C3"/>
    <w:rsid w:val="00C0438D"/>
    <w:rsid w:val="00C1169C"/>
    <w:rsid w:val="00C130FC"/>
    <w:rsid w:val="00C1535E"/>
    <w:rsid w:val="00C1585E"/>
    <w:rsid w:val="00C246C7"/>
    <w:rsid w:val="00C27AB5"/>
    <w:rsid w:val="00C3110E"/>
    <w:rsid w:val="00C40CF4"/>
    <w:rsid w:val="00C42D86"/>
    <w:rsid w:val="00C43317"/>
    <w:rsid w:val="00C44522"/>
    <w:rsid w:val="00C4514A"/>
    <w:rsid w:val="00C46A81"/>
    <w:rsid w:val="00C47E26"/>
    <w:rsid w:val="00C544AA"/>
    <w:rsid w:val="00C57A09"/>
    <w:rsid w:val="00C66F40"/>
    <w:rsid w:val="00C72DF1"/>
    <w:rsid w:val="00C76C64"/>
    <w:rsid w:val="00C77B8B"/>
    <w:rsid w:val="00C85C37"/>
    <w:rsid w:val="00C86718"/>
    <w:rsid w:val="00C86AF2"/>
    <w:rsid w:val="00C86EA7"/>
    <w:rsid w:val="00C9080B"/>
    <w:rsid w:val="00CA02FC"/>
    <w:rsid w:val="00CA0A3D"/>
    <w:rsid w:val="00CA40B1"/>
    <w:rsid w:val="00CA4CD0"/>
    <w:rsid w:val="00CA5999"/>
    <w:rsid w:val="00CA71A0"/>
    <w:rsid w:val="00CB481F"/>
    <w:rsid w:val="00CB52F0"/>
    <w:rsid w:val="00CB5DC6"/>
    <w:rsid w:val="00CC097E"/>
    <w:rsid w:val="00CC1383"/>
    <w:rsid w:val="00CC1FED"/>
    <w:rsid w:val="00CC3D9A"/>
    <w:rsid w:val="00CC7A38"/>
    <w:rsid w:val="00CD1170"/>
    <w:rsid w:val="00CD6886"/>
    <w:rsid w:val="00CE0455"/>
    <w:rsid w:val="00CE2858"/>
    <w:rsid w:val="00CE48DF"/>
    <w:rsid w:val="00CE7120"/>
    <w:rsid w:val="00D01464"/>
    <w:rsid w:val="00D03BF8"/>
    <w:rsid w:val="00D06546"/>
    <w:rsid w:val="00D17BF9"/>
    <w:rsid w:val="00D21D8E"/>
    <w:rsid w:val="00D2510D"/>
    <w:rsid w:val="00D32B69"/>
    <w:rsid w:val="00D3732E"/>
    <w:rsid w:val="00D40098"/>
    <w:rsid w:val="00D420C7"/>
    <w:rsid w:val="00D42BF7"/>
    <w:rsid w:val="00D57272"/>
    <w:rsid w:val="00D7189E"/>
    <w:rsid w:val="00D723CC"/>
    <w:rsid w:val="00D737D4"/>
    <w:rsid w:val="00D7483E"/>
    <w:rsid w:val="00D82BF1"/>
    <w:rsid w:val="00D90ABB"/>
    <w:rsid w:val="00D91B3E"/>
    <w:rsid w:val="00D93CA5"/>
    <w:rsid w:val="00D97B77"/>
    <w:rsid w:val="00DA3EDB"/>
    <w:rsid w:val="00DB4484"/>
    <w:rsid w:val="00DB4737"/>
    <w:rsid w:val="00DB6C03"/>
    <w:rsid w:val="00DD0193"/>
    <w:rsid w:val="00DE2C5A"/>
    <w:rsid w:val="00DE681D"/>
    <w:rsid w:val="00DF6444"/>
    <w:rsid w:val="00E0304A"/>
    <w:rsid w:val="00E11646"/>
    <w:rsid w:val="00E1701D"/>
    <w:rsid w:val="00E273BF"/>
    <w:rsid w:val="00E41955"/>
    <w:rsid w:val="00E42BB8"/>
    <w:rsid w:val="00E433F4"/>
    <w:rsid w:val="00E5028B"/>
    <w:rsid w:val="00E66E06"/>
    <w:rsid w:val="00E67307"/>
    <w:rsid w:val="00E70E4C"/>
    <w:rsid w:val="00E71E08"/>
    <w:rsid w:val="00E826B9"/>
    <w:rsid w:val="00E85CEE"/>
    <w:rsid w:val="00E86FD4"/>
    <w:rsid w:val="00E942BF"/>
    <w:rsid w:val="00E9673D"/>
    <w:rsid w:val="00EA066D"/>
    <w:rsid w:val="00EA5BD1"/>
    <w:rsid w:val="00EA6D8A"/>
    <w:rsid w:val="00EB4E57"/>
    <w:rsid w:val="00EC52DF"/>
    <w:rsid w:val="00EC7555"/>
    <w:rsid w:val="00ED24C3"/>
    <w:rsid w:val="00ED3AD1"/>
    <w:rsid w:val="00ED588F"/>
    <w:rsid w:val="00EE1B8D"/>
    <w:rsid w:val="00EE6E5F"/>
    <w:rsid w:val="00EF00EC"/>
    <w:rsid w:val="00EF0112"/>
    <w:rsid w:val="00EF66DC"/>
    <w:rsid w:val="00F0126F"/>
    <w:rsid w:val="00F01ADC"/>
    <w:rsid w:val="00F1139D"/>
    <w:rsid w:val="00F1595B"/>
    <w:rsid w:val="00F20A80"/>
    <w:rsid w:val="00F210F7"/>
    <w:rsid w:val="00F262C3"/>
    <w:rsid w:val="00F2789E"/>
    <w:rsid w:val="00F3163B"/>
    <w:rsid w:val="00F320CF"/>
    <w:rsid w:val="00F32AF7"/>
    <w:rsid w:val="00F34BF2"/>
    <w:rsid w:val="00F35FCB"/>
    <w:rsid w:val="00F4221D"/>
    <w:rsid w:val="00F42326"/>
    <w:rsid w:val="00F47A82"/>
    <w:rsid w:val="00F51B75"/>
    <w:rsid w:val="00F6501F"/>
    <w:rsid w:val="00F7228B"/>
    <w:rsid w:val="00F80DEA"/>
    <w:rsid w:val="00F870D9"/>
    <w:rsid w:val="00F967D0"/>
    <w:rsid w:val="00F96FDC"/>
    <w:rsid w:val="00F97B3B"/>
    <w:rsid w:val="00FA4620"/>
    <w:rsid w:val="00FA79BE"/>
    <w:rsid w:val="00FB6A1C"/>
    <w:rsid w:val="00FB6CE7"/>
    <w:rsid w:val="00FD6332"/>
    <w:rsid w:val="00FE3DD3"/>
    <w:rsid w:val="00FE7F4C"/>
    <w:rsid w:val="00FF026F"/>
    <w:rsid w:val="00FF0F47"/>
    <w:rsid w:val="00FF1638"/>
    <w:rsid w:val="00FF79A5"/>
    <w:rsid w:val="08A16041"/>
    <w:rsid w:val="0D4F5918"/>
    <w:rsid w:val="0D8630A3"/>
    <w:rsid w:val="1504E64D"/>
    <w:rsid w:val="156313B0"/>
    <w:rsid w:val="1779BFEF"/>
    <w:rsid w:val="220AC7F3"/>
    <w:rsid w:val="22AFF951"/>
    <w:rsid w:val="28FF16BC"/>
    <w:rsid w:val="2B026A0F"/>
    <w:rsid w:val="2CEDA56B"/>
    <w:rsid w:val="326F47F1"/>
    <w:rsid w:val="387DFC1D"/>
    <w:rsid w:val="3982C483"/>
    <w:rsid w:val="3B5C05C5"/>
    <w:rsid w:val="3C45BBA3"/>
    <w:rsid w:val="3CACFD50"/>
    <w:rsid w:val="44C826A1"/>
    <w:rsid w:val="474B2A14"/>
    <w:rsid w:val="49256AF7"/>
    <w:rsid w:val="4CA9FB29"/>
    <w:rsid w:val="528D55C8"/>
    <w:rsid w:val="5BD74420"/>
    <w:rsid w:val="5EA468D6"/>
    <w:rsid w:val="64BEE51B"/>
    <w:rsid w:val="695F0CDE"/>
    <w:rsid w:val="766D99F6"/>
    <w:rsid w:val="7A69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7DD960"/>
  <w15:chartTrackingRefBased/>
  <w15:docId w15:val="{A95D0007-228D-45F1-8DC5-4740C70E0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0E9"/>
    <w:pPr>
      <w:spacing w:after="120" w:line="26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D4783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color w:val="18345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3FD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color w:val="18345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53FD"/>
    <w:pPr>
      <w:keepNext/>
      <w:keepLines/>
      <w:spacing w:before="120" w:after="0"/>
      <w:outlineLvl w:val="2"/>
    </w:pPr>
    <w:rPr>
      <w:rFonts w:asciiTheme="majorHAnsi" w:eastAsiaTheme="majorEastAsia" w:hAnsiTheme="majorHAnsi" w:cs="Times New Roman (Headings CS)"/>
      <w:b/>
      <w:color w:val="182D4D" w:themeColor="text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53F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18345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D4783"/>
    <w:rPr>
      <w:rFonts w:eastAsiaTheme="minorEastAsia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4D4783"/>
    <w:rPr>
      <w:rFonts w:eastAsiaTheme="minorEastAsia"/>
      <w:szCs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196D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6D5F"/>
  </w:style>
  <w:style w:type="paragraph" w:styleId="Footer">
    <w:name w:val="footer"/>
    <w:basedOn w:val="Normal"/>
    <w:link w:val="FooterChar"/>
    <w:unhideWhenUsed/>
    <w:rsid w:val="00196D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96D5F"/>
  </w:style>
  <w:style w:type="table" w:styleId="TableGrid">
    <w:name w:val="Table Grid"/>
    <w:basedOn w:val="TableNormal"/>
    <w:uiPriority w:val="39"/>
    <w:rsid w:val="00A32B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E2858"/>
    <w:pPr>
      <w:contextualSpacing/>
    </w:pPr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858"/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D4783"/>
    <w:rPr>
      <w:rFonts w:asciiTheme="majorHAnsi" w:eastAsiaTheme="majorEastAsia" w:hAnsiTheme="majorHAnsi" w:cstheme="majorBidi"/>
      <w:b/>
      <w:color w:val="18345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53FD"/>
    <w:rPr>
      <w:rFonts w:asciiTheme="majorHAnsi" w:eastAsiaTheme="majorEastAsia" w:hAnsiTheme="majorHAnsi" w:cstheme="majorBidi"/>
      <w:b/>
      <w:color w:val="18345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F53FD"/>
    <w:rPr>
      <w:rFonts w:asciiTheme="majorHAnsi" w:eastAsiaTheme="majorEastAsia" w:hAnsiTheme="majorHAnsi" w:cs="Times New Roman (Headings CS)"/>
      <w:b/>
      <w:color w:val="182D4D" w:themeColor="text2"/>
    </w:rPr>
  </w:style>
  <w:style w:type="paragraph" w:styleId="ListParagraph">
    <w:name w:val="List Paragraph"/>
    <w:basedOn w:val="Normal"/>
    <w:uiPriority w:val="34"/>
    <w:qFormat/>
    <w:rsid w:val="00555900"/>
    <w:pPr>
      <w:spacing w:before="60" w:after="60"/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03206E"/>
  </w:style>
  <w:style w:type="table" w:styleId="GridTable4-Accent1">
    <w:name w:val="Grid Table 4 Accent 1"/>
    <w:basedOn w:val="TableNormal"/>
    <w:uiPriority w:val="49"/>
    <w:rsid w:val="00560765"/>
    <w:tblPr>
      <w:tblStyleRowBandSize w:val="1"/>
      <w:tblStyleColBandSize w:val="1"/>
      <w:tblBorders>
        <w:top w:val="single" w:sz="4" w:space="0" w:color="548DD0" w:themeColor="accent1" w:themeTint="99"/>
        <w:left w:val="single" w:sz="4" w:space="0" w:color="548DD0" w:themeColor="accent1" w:themeTint="99"/>
        <w:bottom w:val="single" w:sz="4" w:space="0" w:color="548DD0" w:themeColor="accent1" w:themeTint="99"/>
        <w:right w:val="single" w:sz="4" w:space="0" w:color="548DD0" w:themeColor="accent1" w:themeTint="99"/>
        <w:insideH w:val="single" w:sz="4" w:space="0" w:color="548DD0" w:themeColor="accent1" w:themeTint="99"/>
        <w:insideV w:val="single" w:sz="4" w:space="0" w:color="548D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04774" w:themeColor="accent1"/>
          <w:left w:val="single" w:sz="4" w:space="0" w:color="204774" w:themeColor="accent1"/>
          <w:bottom w:val="single" w:sz="4" w:space="0" w:color="204774" w:themeColor="accent1"/>
          <w:right w:val="single" w:sz="4" w:space="0" w:color="204774" w:themeColor="accent1"/>
          <w:insideH w:val="nil"/>
          <w:insideV w:val="nil"/>
        </w:tcBorders>
        <w:shd w:val="clear" w:color="auto" w:fill="204774" w:themeFill="accent1"/>
      </w:tcPr>
    </w:tblStylePr>
    <w:tblStylePr w:type="lastRow">
      <w:rPr>
        <w:b/>
        <w:bCs/>
      </w:rPr>
      <w:tblPr/>
      <w:tcPr>
        <w:tcBorders>
          <w:top w:val="double" w:sz="4" w:space="0" w:color="2047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D9EF" w:themeFill="accent1" w:themeFillTint="33"/>
      </w:tcPr>
    </w:tblStylePr>
    <w:tblStylePr w:type="band1Horz">
      <w:tblPr/>
      <w:tcPr>
        <w:shd w:val="clear" w:color="auto" w:fill="C6D9EF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583D1D"/>
    <w:pPr>
      <w:spacing w:before="480" w:line="276" w:lineRule="auto"/>
      <w:outlineLvl w:val="9"/>
    </w:pPr>
  </w:style>
  <w:style w:type="paragraph" w:styleId="TOC2">
    <w:name w:val="toc 2"/>
    <w:basedOn w:val="Heading3"/>
    <w:next w:val="Normal"/>
    <w:autoRedefine/>
    <w:uiPriority w:val="39"/>
    <w:unhideWhenUsed/>
    <w:rsid w:val="00C1169C"/>
    <w:pPr>
      <w:tabs>
        <w:tab w:val="right" w:pos="9350"/>
      </w:tabs>
      <w:ind w:left="240"/>
    </w:pPr>
    <w:rPr>
      <w:i/>
      <w:iCs/>
      <w:sz w:val="18"/>
      <w:szCs w:val="20"/>
    </w:rPr>
  </w:style>
  <w:style w:type="paragraph" w:styleId="TOC1">
    <w:name w:val="toc 1"/>
    <w:basedOn w:val="Heading2"/>
    <w:next w:val="Normal"/>
    <w:autoRedefine/>
    <w:uiPriority w:val="39"/>
    <w:unhideWhenUsed/>
    <w:rsid w:val="00583D1D"/>
    <w:pPr>
      <w:tabs>
        <w:tab w:val="right" w:pos="8828"/>
      </w:tabs>
    </w:pPr>
    <w:rPr>
      <w:sz w:val="22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E06"/>
    <w:pPr>
      <w:tabs>
        <w:tab w:val="right" w:pos="9350"/>
      </w:tabs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86FD4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86FD4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86FD4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86FD4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86FD4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86FD4"/>
    <w:pPr>
      <w:ind w:left="1920"/>
    </w:pPr>
    <w:rPr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9F53FD"/>
    <w:rPr>
      <w:rFonts w:asciiTheme="majorHAnsi" w:eastAsiaTheme="majorEastAsia" w:hAnsiTheme="majorHAnsi" w:cstheme="majorBidi"/>
      <w:iCs/>
      <w:color w:val="183456" w:themeColor="accent1" w:themeShade="BF"/>
    </w:rPr>
  </w:style>
  <w:style w:type="character" w:styleId="Hyperlink">
    <w:name w:val="Hyperlink"/>
    <w:basedOn w:val="DefaultParagraphFont"/>
    <w:uiPriority w:val="99"/>
    <w:unhideWhenUsed/>
    <w:rsid w:val="00583D1D"/>
    <w:rPr>
      <w:color w:val="155395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rsid w:val="009D0C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D0CE6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D0CE6"/>
    <w:rPr>
      <w:sz w:val="16"/>
      <w:szCs w:val="16"/>
    </w:rPr>
  </w:style>
  <w:style w:type="table" w:customStyle="1" w:styleId="GridTable4-Accent11">
    <w:name w:val="Grid Table 4 - Accent 11"/>
    <w:basedOn w:val="TableNormal"/>
    <w:next w:val="GridTable4-Accent1"/>
    <w:uiPriority w:val="49"/>
    <w:rsid w:val="00DE2C5A"/>
    <w:pPr>
      <w:spacing w:after="200" w:line="276" w:lineRule="auto"/>
    </w:pPr>
    <w:tblPr>
      <w:tblStyleRowBandSize w:val="1"/>
      <w:tblStyleColBandSize w:val="1"/>
      <w:tblBorders>
        <w:top w:val="single" w:sz="4" w:space="0" w:color="548DD0" w:themeColor="accent1" w:themeTint="99"/>
        <w:left w:val="single" w:sz="4" w:space="0" w:color="548DD0" w:themeColor="accent1" w:themeTint="99"/>
        <w:bottom w:val="single" w:sz="4" w:space="0" w:color="548DD0" w:themeColor="accent1" w:themeTint="99"/>
        <w:right w:val="single" w:sz="4" w:space="0" w:color="548DD0" w:themeColor="accent1" w:themeTint="99"/>
        <w:insideH w:val="single" w:sz="4" w:space="0" w:color="548DD0" w:themeColor="accent1" w:themeTint="99"/>
        <w:insideV w:val="single" w:sz="4" w:space="0" w:color="548D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04774" w:themeColor="accent1"/>
          <w:left w:val="single" w:sz="4" w:space="0" w:color="204774" w:themeColor="accent1"/>
          <w:bottom w:val="single" w:sz="4" w:space="0" w:color="204774" w:themeColor="accent1"/>
          <w:right w:val="single" w:sz="4" w:space="0" w:color="204774" w:themeColor="accent1"/>
          <w:insideH w:val="nil"/>
          <w:insideV w:val="nil"/>
        </w:tcBorders>
        <w:shd w:val="clear" w:color="auto" w:fill="204774" w:themeFill="accent1"/>
      </w:tcPr>
    </w:tblStylePr>
    <w:tblStylePr w:type="lastRow">
      <w:rPr>
        <w:b/>
        <w:bCs/>
      </w:rPr>
      <w:tblPr/>
      <w:tcPr>
        <w:tcBorders>
          <w:top w:val="double" w:sz="4" w:space="0" w:color="2047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D9EF" w:themeFill="accent1" w:themeFillTint="33"/>
      </w:tcPr>
    </w:tblStylePr>
    <w:tblStylePr w:type="band1Horz">
      <w:tblPr/>
      <w:tcPr>
        <w:shd w:val="clear" w:color="auto" w:fill="C6D9EF" w:themeFill="accent1" w:themeFillTint="33"/>
      </w:tcPr>
    </w:tblStylePr>
  </w:style>
  <w:style w:type="table" w:customStyle="1" w:styleId="GridTable4-Accent12">
    <w:name w:val="Grid Table 4 - Accent 12"/>
    <w:basedOn w:val="TableNormal"/>
    <w:next w:val="GridTable4-Accent1"/>
    <w:uiPriority w:val="49"/>
    <w:rsid w:val="001E7309"/>
    <w:tblPr>
      <w:tblStyleRowBandSize w:val="1"/>
      <w:tblStyleColBandSize w:val="1"/>
      <w:tblBorders>
        <w:top w:val="single" w:sz="4" w:space="0" w:color="548DD0" w:themeColor="accent1" w:themeTint="99"/>
        <w:left w:val="single" w:sz="4" w:space="0" w:color="548DD0" w:themeColor="accent1" w:themeTint="99"/>
        <w:bottom w:val="single" w:sz="4" w:space="0" w:color="548DD0" w:themeColor="accent1" w:themeTint="99"/>
        <w:right w:val="single" w:sz="4" w:space="0" w:color="548DD0" w:themeColor="accent1" w:themeTint="99"/>
        <w:insideH w:val="single" w:sz="4" w:space="0" w:color="548DD0" w:themeColor="accent1" w:themeTint="99"/>
        <w:insideV w:val="single" w:sz="4" w:space="0" w:color="548D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04774" w:themeColor="accent1"/>
          <w:left w:val="single" w:sz="4" w:space="0" w:color="204774" w:themeColor="accent1"/>
          <w:bottom w:val="single" w:sz="4" w:space="0" w:color="204774" w:themeColor="accent1"/>
          <w:right w:val="single" w:sz="4" w:space="0" w:color="204774" w:themeColor="accent1"/>
          <w:insideH w:val="nil"/>
          <w:insideV w:val="nil"/>
        </w:tcBorders>
        <w:shd w:val="clear" w:color="auto" w:fill="204774" w:themeFill="accent1"/>
      </w:tcPr>
    </w:tblStylePr>
    <w:tblStylePr w:type="lastRow">
      <w:rPr>
        <w:b/>
        <w:bCs/>
      </w:rPr>
      <w:tblPr/>
      <w:tcPr>
        <w:tcBorders>
          <w:top w:val="double" w:sz="4" w:space="0" w:color="2047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D9EF" w:themeFill="accent1" w:themeFillTint="33"/>
      </w:tcPr>
    </w:tblStylePr>
    <w:tblStylePr w:type="band1Horz">
      <w:tblPr/>
      <w:tcPr>
        <w:shd w:val="clear" w:color="auto" w:fill="C6D9EF" w:themeFill="accent1" w:themeFillTint="33"/>
      </w:tcPr>
    </w:tblStylePr>
  </w:style>
  <w:style w:type="table" w:customStyle="1" w:styleId="GridTable4-Accent14">
    <w:name w:val="Grid Table 4 - Accent 14"/>
    <w:basedOn w:val="TableNormal"/>
    <w:next w:val="GridTable4-Accent1"/>
    <w:uiPriority w:val="49"/>
    <w:rsid w:val="006F4E99"/>
    <w:tblPr>
      <w:tblStyleRowBandSize w:val="1"/>
      <w:tblStyleColBandSize w:val="1"/>
      <w:tblBorders>
        <w:top w:val="single" w:sz="4" w:space="0" w:color="548DD0" w:themeColor="accent1" w:themeTint="99"/>
        <w:left w:val="single" w:sz="4" w:space="0" w:color="548DD0" w:themeColor="accent1" w:themeTint="99"/>
        <w:bottom w:val="single" w:sz="4" w:space="0" w:color="548DD0" w:themeColor="accent1" w:themeTint="99"/>
        <w:right w:val="single" w:sz="4" w:space="0" w:color="548DD0" w:themeColor="accent1" w:themeTint="99"/>
        <w:insideH w:val="single" w:sz="4" w:space="0" w:color="548DD0" w:themeColor="accent1" w:themeTint="99"/>
        <w:insideV w:val="single" w:sz="4" w:space="0" w:color="548D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04774" w:themeColor="accent1"/>
          <w:left w:val="single" w:sz="4" w:space="0" w:color="204774" w:themeColor="accent1"/>
          <w:bottom w:val="single" w:sz="4" w:space="0" w:color="204774" w:themeColor="accent1"/>
          <w:right w:val="single" w:sz="4" w:space="0" w:color="204774" w:themeColor="accent1"/>
          <w:insideH w:val="nil"/>
          <w:insideV w:val="nil"/>
        </w:tcBorders>
        <w:shd w:val="clear" w:color="auto" w:fill="204774" w:themeFill="accent1"/>
      </w:tcPr>
    </w:tblStylePr>
    <w:tblStylePr w:type="lastRow">
      <w:rPr>
        <w:b/>
        <w:bCs/>
      </w:rPr>
      <w:tblPr/>
      <w:tcPr>
        <w:tcBorders>
          <w:top w:val="double" w:sz="4" w:space="0" w:color="2047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D9EF" w:themeFill="accent1" w:themeFillTint="33"/>
      </w:tcPr>
    </w:tblStylePr>
    <w:tblStylePr w:type="band1Horz">
      <w:tblPr/>
      <w:tcPr>
        <w:shd w:val="clear" w:color="auto" w:fill="C6D9EF" w:themeFill="accent1" w:themeFillTint="33"/>
      </w:tcPr>
    </w:tblStylePr>
  </w:style>
  <w:style w:type="paragraph" w:styleId="Revision">
    <w:name w:val="Revision"/>
    <w:hidden/>
    <w:uiPriority w:val="99"/>
    <w:semiHidden/>
    <w:rsid w:val="00B8751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46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46B5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075FE"/>
    <w:pPr>
      <w:spacing w:after="200" w:line="240" w:lineRule="auto"/>
    </w:pPr>
    <w:rPr>
      <w:i/>
      <w:iCs/>
      <w:color w:val="182D4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7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wille\Desktop\HTOC%20Report%20Word%20Doc%20Template_v1.2.dotx" TargetMode="External"/></Relationships>
</file>

<file path=word/theme/theme1.xml><?xml version="1.0" encoding="utf-8"?>
<a:theme xmlns:a="http://schemas.openxmlformats.org/drawingml/2006/main" name="Office Theme">
  <a:themeElements>
    <a:clrScheme name="OISP">
      <a:dk1>
        <a:srgbClr val="000000"/>
      </a:dk1>
      <a:lt1>
        <a:srgbClr val="FFFFFF"/>
      </a:lt1>
      <a:dk2>
        <a:srgbClr val="182D4D"/>
      </a:dk2>
      <a:lt2>
        <a:srgbClr val="E9ECEE"/>
      </a:lt2>
      <a:accent1>
        <a:srgbClr val="204774"/>
      </a:accent1>
      <a:accent2>
        <a:srgbClr val="4C9DC8"/>
      </a:accent2>
      <a:accent3>
        <a:srgbClr val="4F5155"/>
      </a:accent3>
      <a:accent4>
        <a:srgbClr val="F9AD1C"/>
      </a:accent4>
      <a:accent5>
        <a:srgbClr val="D54327"/>
      </a:accent5>
      <a:accent6>
        <a:srgbClr val="4E9F9A"/>
      </a:accent6>
      <a:hlink>
        <a:srgbClr val="155395"/>
      </a:hlink>
      <a:folHlink>
        <a:srgbClr val="724A9D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CF4B2913B96A488E0F743192725261" ma:contentTypeVersion="10" ma:contentTypeDescription="Create a new document." ma:contentTypeScope="" ma:versionID="2a3907d622944450d873795b62bd3fd1">
  <xsd:schema xmlns:xsd="http://www.w3.org/2001/XMLSchema" xmlns:xs="http://www.w3.org/2001/XMLSchema" xmlns:p="http://schemas.microsoft.com/office/2006/metadata/properties" xmlns:ns2="afb72fb5-58d3-46e0-8b83-6204a9ccb897" xmlns:ns3="7eeb797a-e46d-47e3-9f8b-1124477eb690" targetNamespace="http://schemas.microsoft.com/office/2006/metadata/properties" ma:root="true" ma:fieldsID="95604d8cadeb01aab63de2737106632d" ns2:_="" ns3:_="">
    <xsd:import namespace="afb72fb5-58d3-46e0-8b83-6204a9ccb897"/>
    <xsd:import namespace="7eeb797a-e46d-47e3-9f8b-1124477eb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72fb5-58d3-46e0-8b83-6204a9ccb8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f4345e-8d67-48af-bef8-91c58d16f7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eb797a-e46d-47e3-9f8b-1124477eb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2e062b7-8811-4fe9-a875-6f944a0046e1}" ma:internalName="TaxCatchAll" ma:showField="CatchAllData" ma:web="7eeb797a-e46d-47e3-9f8b-1124477eb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b72fb5-58d3-46e0-8b83-6204a9ccb897">
      <Terms xmlns="http://schemas.microsoft.com/office/infopath/2007/PartnerControls"/>
    </lcf76f155ced4ddcb4097134ff3c332f>
    <TaxCatchAll xmlns="7eeb797a-e46d-47e3-9f8b-1124477eb690" xsi:nil="true"/>
  </documentManagement>
</p:properties>
</file>

<file path=customXml/itemProps1.xml><?xml version="1.0" encoding="utf-8"?>
<ds:datastoreItem xmlns:ds="http://schemas.openxmlformats.org/officeDocument/2006/customXml" ds:itemID="{4C9DE648-81B7-4867-9DBA-8D42A68144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B6F7E9-CC77-46A3-8137-2A102AA864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72fb5-58d3-46e0-8b83-6204a9ccb897"/>
    <ds:schemaRef ds:uri="7eeb797a-e46d-47e3-9f8b-1124477eb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19324B5-EF86-1D45-B65C-69FFDDC5F25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B00A5AB-C3F4-4CD2-AAC1-F40B6DF48AEE}">
  <ds:schemaRefs>
    <ds:schemaRef ds:uri="http://schemas.microsoft.com/office/2006/metadata/properties"/>
    <ds:schemaRef ds:uri="http://schemas.microsoft.com/office/infopath/2007/PartnerControls"/>
    <ds:schemaRef ds:uri="afb72fb5-58d3-46e0-8b83-6204a9ccb897"/>
    <ds:schemaRef ds:uri="7eeb797a-e46d-47e3-9f8b-1124477eb690"/>
  </ds:schemaRefs>
</ds:datastoreItem>
</file>

<file path=docMetadata/LabelInfo.xml><?xml version="1.0" encoding="utf-8"?>
<clbl:labelList xmlns:clbl="http://schemas.microsoft.com/office/2020/mipLabelMetadata">
  <clbl:label id="{d58addea-5053-4a80-8499-ba4d944910df}" enabled="0" method="" siteId="{d58addea-5053-4a80-8499-ba4d944910d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HTOC Report Word Doc Template_v1.2.dotx</Template>
  <TotalTime>30</TotalTime>
  <Pages>6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HTOC Report Template</vt:lpstr>
    </vt:vector>
  </TitlesOfParts>
  <Company>Alyn, Inc.</Company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HTOC  Insight Report Distro SOP</dc:title>
  <dc:subject/>
  <dc:creator>Rodger Wille</dc:creator>
  <cp:keywords/>
  <cp:lastModifiedBy>Wille, Rodger (OS/ASA) (CTR)</cp:lastModifiedBy>
  <cp:revision>4</cp:revision>
  <dcterms:created xsi:type="dcterms:W3CDTF">2026-04-01T11:40:00Z</dcterms:created>
  <dcterms:modified xsi:type="dcterms:W3CDTF">2026-04-09T12:30:00Z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0x010100AFCF4B2913B96A488E0F743192725261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Order">
    <vt:r8>351300</vt:r8>
  </property>
</Properties>
</file>