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spacing w:after="800"/>
        <w:jc w:val="center"/>
      </w:pPr>
      <w:r>
        <w:rPr>
          <w:rFonts w:ascii="Calibri" w:hAnsi="Calibri"/>
          <w:b w:val="0"/>
          <w:i w:val="0"/>
          <w:sz w:val="20"/>
        </w:rPr>
      </w:r>
    </w:p>
    <w:p>
      <w:pPr>
        <w:spacing w:after="80"/>
        <w:jc w:val="center"/>
      </w:pPr>
      <w:r>
        <w:rPr>
          <w:rFonts w:ascii="Calibri" w:hAnsi="Calibri"/>
          <w:b/>
          <w:i w:val="0"/>
          <w:color w:val="1F3864"/>
          <w:sz w:val="24"/>
        </w:rPr>
        <w:t>PDPM Indian Institute of Information Technology, Design and Manufacturing, Jabalpur</w:t>
      </w:r>
    </w:p>
    <w:p>
      <w:pPr>
        <w:spacing w:after="1200"/>
        <w:jc w:val="center"/>
      </w:pPr>
      <w:r>
        <w:rPr>
          <w:rFonts w:ascii="Calibri" w:hAnsi="Calibri"/>
          <w:b w:val="0"/>
          <w:i w:val="0"/>
          <w:color w:val="595959"/>
          <w:sz w:val="22"/>
        </w:rPr>
        <w:t>CS3011 Artificial Intelligence: course project report</w:t>
      </w:r>
    </w:p>
    <w:p>
      <w:pPr>
        <w:spacing w:after="360"/>
        <w:jc w:val="center"/>
      </w:pPr>
      <w:r>
        <w:rPr>
          <w:rFonts w:ascii="Cambria" w:hAnsi="Cambria"/>
          <w:b/>
          <w:i w:val="0"/>
          <w:color w:val="1F3864"/>
          <w:sz w:val="52"/>
        </w:rPr>
        <w:t>AI Based Public Transport Demand and Occupancy Prediction</w:t>
      </w:r>
    </w:p>
    <w:p>
      <w:pPr>
        <w:spacing w:after="560"/>
        <w:jc w:val="center"/>
      </w:pPr>
      <w:r>
        <w:rPr>
          <w:rFonts w:ascii="Calibri" w:hAnsi="Calibri"/>
          <w:b/>
          <w:i w:val="0"/>
          <w:color w:val="2E4A86"/>
          <w:sz w:val="26"/>
        </w:rPr>
        <w:t>Group 52 · Domain: Machine Learning</w:t>
      </w:r>
    </w:p>
    <w:p>
      <w:pPr>
        <w:keepNext/>
        <w:spacing w:after="0"/>
        <w:jc w:val="center"/>
      </w:pPr>
      <w:r>
        <w:rPr>
          <w:rFonts w:ascii="Calibri" w:hAnsi="Calibri"/>
          <w:b w:val="0"/>
          <w:i w:val="0"/>
          <w:sz w:val="8"/>
        </w:rPr>
      </w:r>
    </w:p>
    <w:tbl>
      <w:tblPr>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Column="1" w:firstRow="1" w:lastColumn="0" w:lastRow="0" w:noHBand="0" w:noVBand="1" w:val="04A0"/>
      </w:tblPr>
      <w:tblGrid>
        <w:gridCol w:w="3495"/>
        <w:gridCol w:w="5689"/>
      </w:tblGrid>
      <w:tr>
        <w:trPr>
          <w:cantSplit/>
          <w:tblHeader/>
        </w:trPr>
        <w:tc>
          <w:tcPr>
            <w:tcW w:type="dxa" w:w="3495"/>
            <w:shd w:val="clear" w:color="auto" w:fill="DCE3F0"/>
          </w:tcPr>
          <w:p>
            <w:pPr>
              <w:spacing w:after="0" w:before="0" w:line="240" w:lineRule="auto"/>
            </w:pPr>
            <w:r>
              <w:rPr>
                <w:rFonts w:ascii="Calibri" w:hAnsi="Calibri"/>
                <w:b/>
                <w:sz w:val="19"/>
              </w:rPr>
              <w:t>Member</w:t>
            </w:r>
          </w:p>
        </w:tc>
        <w:tc>
          <w:tcPr>
            <w:tcW w:type="dxa" w:w="5689"/>
            <w:shd w:val="clear" w:color="auto" w:fill="DCE3F0"/>
          </w:tcPr>
          <w:p>
            <w:pPr>
              <w:spacing w:after="0" w:before="0" w:line="240" w:lineRule="auto"/>
            </w:pPr>
            <w:r>
              <w:rPr>
                <w:rFonts w:ascii="Calibri" w:hAnsi="Calibri"/>
                <w:b/>
                <w:sz w:val="19"/>
              </w:rPr>
              <w:t>Presents and answers questions on (provisional)</w:t>
            </w:r>
          </w:p>
        </w:tc>
      </w:tr>
      <w:tr>
        <w:trPr>
          <w:cantSplit/>
        </w:trPr>
        <w:tc>
          <w:tcPr>
            <w:tcW w:type="dxa" w:w="3495"/>
          </w:tcPr>
          <w:p>
            <w:pPr>
              <w:spacing w:after="0" w:before="0" w:line="240" w:lineRule="auto"/>
            </w:pPr>
            <w:r>
              <w:rPr>
                <w:rFonts w:ascii="Calibri" w:hAnsi="Calibri"/>
                <w:b w:val="0"/>
                <w:sz w:val="19"/>
              </w:rPr>
              <w:t>Jay Pravin Vaghela (group lead)</w:t>
            </w:r>
          </w:p>
        </w:tc>
        <w:tc>
          <w:tcPr>
            <w:tcW w:type="dxa" w:w="5689"/>
          </w:tcPr>
          <w:p>
            <w:pPr>
              <w:spacing w:after="0" w:before="0" w:line="240" w:lineRule="auto"/>
            </w:pPr>
            <w:r>
              <w:rPr>
                <w:rFonts w:ascii="Calibri" w:hAnsi="Calibri"/>
                <w:b w:val="0"/>
                <w:sz w:val="19"/>
              </w:rPr>
              <w:t>Framing, architecture, models and the blend decision</w:t>
            </w:r>
          </w:p>
        </w:tc>
      </w:tr>
      <w:tr>
        <w:trPr>
          <w:cantSplit/>
        </w:trPr>
        <w:tc>
          <w:tcPr>
            <w:tcW w:type="dxa" w:w="3495"/>
          </w:tcPr>
          <w:p>
            <w:pPr>
              <w:spacing w:after="0" w:before="0" w:line="240" w:lineRule="auto"/>
            </w:pPr>
            <w:r>
              <w:rPr>
                <w:rFonts w:ascii="Calibri" w:hAnsi="Calibri"/>
                <w:b w:val="0"/>
                <w:sz w:val="19"/>
              </w:rPr>
              <w:t>Akshar Jasoliya</w:t>
            </w:r>
          </w:p>
        </w:tc>
        <w:tc>
          <w:tcPr>
            <w:tcW w:type="dxa" w:w="5689"/>
          </w:tcPr>
          <w:p>
            <w:pPr>
              <w:spacing w:after="0" w:before="0" w:line="240" w:lineRule="auto"/>
            </w:pPr>
            <w:r>
              <w:rPr>
                <w:rFonts w:ascii="Calibri" w:hAnsi="Calibri"/>
                <w:b w:val="0"/>
                <w:sz w:val="19"/>
              </w:rPr>
              <w:t>Data, licence, pipeline and quality rules</w:t>
            </w:r>
          </w:p>
        </w:tc>
      </w:tr>
      <w:tr>
        <w:trPr>
          <w:cantSplit/>
        </w:trPr>
        <w:tc>
          <w:tcPr>
            <w:tcW w:type="dxa" w:w="3495"/>
          </w:tcPr>
          <w:p>
            <w:pPr>
              <w:spacing w:after="0" w:before="0" w:line="240" w:lineRule="auto"/>
            </w:pPr>
            <w:r>
              <w:rPr>
                <w:rFonts w:ascii="Calibri" w:hAnsi="Calibri"/>
                <w:b w:val="0"/>
                <w:sz w:val="19"/>
              </w:rPr>
              <w:t>Tirth Jasoliya</w:t>
            </w:r>
          </w:p>
        </w:tc>
        <w:tc>
          <w:tcPr>
            <w:tcW w:type="dxa" w:w="5689"/>
          </w:tcPr>
          <w:p>
            <w:pPr>
              <w:spacing w:after="0" w:before="0" w:line="240" w:lineRule="auto"/>
            </w:pPr>
            <w:r>
              <w:rPr>
                <w:rFonts w:ascii="Calibri" w:hAnsi="Calibri"/>
                <w:b w:val="0"/>
                <w:sz w:val="19"/>
              </w:rPr>
              <w:t>Evaluation protocol, results and error analysis</w:t>
            </w:r>
          </w:p>
        </w:tc>
      </w:tr>
      <w:tr>
        <w:trPr>
          <w:cantSplit/>
        </w:trPr>
        <w:tc>
          <w:tcPr>
            <w:tcW w:type="dxa" w:w="3495"/>
          </w:tcPr>
          <w:p>
            <w:pPr>
              <w:spacing w:after="0" w:before="0" w:line="240" w:lineRule="auto"/>
            </w:pPr>
            <w:r>
              <w:rPr>
                <w:rFonts w:ascii="Calibri" w:hAnsi="Calibri"/>
                <w:b w:val="0"/>
                <w:sz w:val="19"/>
              </w:rPr>
              <w:t>Disha Khushalani</w:t>
            </w:r>
          </w:p>
        </w:tc>
        <w:tc>
          <w:tcPr>
            <w:tcW w:type="dxa" w:w="5689"/>
          </w:tcPr>
          <w:p>
            <w:pPr>
              <w:spacing w:after="0" w:before="0" w:line="240" w:lineRule="auto"/>
            </w:pPr>
            <w:r>
              <w:rPr>
                <w:rFonts w:ascii="Calibri" w:hAnsi="Calibri"/>
                <w:b w:val="0"/>
                <w:sz w:val="19"/>
              </w:rPr>
              <w:t>Dashboard demo and deployment</w:t>
            </w:r>
          </w:p>
        </w:tc>
      </w:tr>
      <w:tr>
        <w:trPr>
          <w:cantSplit/>
        </w:trPr>
        <w:tc>
          <w:tcPr>
            <w:tcW w:type="dxa" w:w="3495"/>
          </w:tcPr>
          <w:p>
            <w:pPr>
              <w:spacing w:after="0" w:before="0" w:line="240" w:lineRule="auto"/>
            </w:pPr>
            <w:r>
              <w:rPr>
                <w:rFonts w:ascii="Calibri" w:hAnsi="Calibri"/>
                <w:b w:val="0"/>
                <w:sz w:val="19"/>
              </w:rPr>
              <w:t>Shivani Mahour</w:t>
            </w:r>
          </w:p>
        </w:tc>
        <w:tc>
          <w:tcPr>
            <w:tcW w:type="dxa" w:w="5689"/>
          </w:tcPr>
          <w:p>
            <w:pPr>
              <w:spacing w:after="0" w:before="0" w:line="240" w:lineRule="auto"/>
            </w:pPr>
            <w:r>
              <w:rPr>
                <w:rFonts w:ascii="Calibri" w:hAnsi="Calibri"/>
                <w:b w:val="0"/>
                <w:sz w:val="19"/>
              </w:rPr>
              <w:t>Crowding, capacity assumption and limitations</w:t>
            </w:r>
          </w:p>
        </w:tc>
      </w:tr>
    </w:tbl>
    <w:p>
      <w:pPr>
        <w:spacing w:after="1000" w:before="160"/>
        <w:jc w:val="center"/>
      </w:pPr>
      <w:r>
        <w:rPr>
          <w:rFonts w:ascii="Calibri" w:hAnsi="Calibri"/>
          <w:b w:val="0"/>
          <w:i w:val="0"/>
          <w:sz w:val="20"/>
        </w:rPr>
      </w:r>
    </w:p>
    <w:p>
      <w:pPr>
        <w:spacing w:after="80"/>
        <w:jc w:val="center"/>
      </w:pPr>
      <w:r>
        <w:rPr>
          <w:rFonts w:ascii="Calibri" w:hAnsi="Calibri"/>
          <w:b w:val="0"/>
          <w:i w:val="0"/>
          <w:color w:val="595959"/>
          <w:sz w:val="20"/>
        </w:rPr>
        <w:t>Report date: 24 October 2026</w:t>
      </w:r>
    </w:p>
    <w:p>
      <w:pPr>
        <w:spacing w:after="80"/>
        <w:jc w:val="center"/>
      </w:pPr>
      <w:r>
        <w:rPr>
          <w:rFonts w:ascii="Calibri" w:hAnsi="Calibri"/>
          <w:b w:val="0"/>
          <w:i w:val="0"/>
          <w:color w:val="595959"/>
          <w:sz w:val="20"/>
        </w:rPr>
        <w:t>Code and results: https://github.com/jayvaghela779/cs3011-public-transport-demand-occupancy (branch main)</w:t>
      </w:r>
    </w:p>
    <w:p>
      <w:pPr>
        <w:spacing w:after="80"/>
        <w:jc w:val="center"/>
      </w:pPr>
      <w:r>
        <w:rPr>
          <w:rFonts w:ascii="Calibri" w:hAnsi="Calibri"/>
          <w:b w:val="0"/>
          <w:i w:val="0"/>
          <w:color w:val="595959"/>
          <w:sz w:val="20"/>
        </w:rPr>
        <w:t>Data: Salvador Urban Network Transportation (SUNT) dataset, Ferreira et al. (2025), CC BY 4.0</w:t>
      </w:r>
    </w:p>
    <w:p>
      <w:r>
        <w:br w:type="page"/>
      </w:r>
    </w:p>
    <w:p>
      <w:pPr>
        <w:spacing w:after="240"/>
      </w:pPr>
      <w:r>
        <w:rPr>
          <w:rFonts w:ascii="Cambria" w:hAnsi="Cambria"/>
          <w:b/>
          <w:color w:val="1F3864"/>
          <w:sz w:val="34"/>
        </w:rPr>
        <w:t>Contents</w:t>
      </w:r>
    </w:p>
    <w:p>
      <w:pPr>
        <w:tabs>
          <w:tab w:pos="9184" w:val="right" w:leader="dot"/>
        </w:tabs>
        <w:spacing w:after="60" w:before="100"/>
        <w:ind w:left="0"/>
      </w:pPr>
      <w:r>
        <w:fldChar w:fldCharType="begin"/>
      </w:r>
      <w:r>
        <w:instrText xml:space="preserve">TOC \o "1-2" \h \z \u</w:instrText>
      </w:r>
      <w:r>
        <w:fldChar w:fldCharType="separate"/>
      </w:r>
      <w:r>
        <w:rPr>
          <w:rFonts w:ascii="Calibri" w:hAnsi="Calibri"/>
          <w:b/>
          <w:sz w:val="21"/>
        </w:rPr>
        <w:t>Abstract</w:t>
        <w:tab/>
        <w:t>4</w:t>
      </w:r>
    </w:p>
    <w:p>
      <w:pPr>
        <w:tabs>
          <w:tab w:pos="9184" w:val="right" w:leader="dot"/>
        </w:tabs>
        <w:spacing w:after="60" w:before="100"/>
        <w:ind w:left="0"/>
      </w:pPr>
      <w:r>
        <w:rPr>
          <w:rFonts w:ascii="Calibri" w:hAnsi="Calibri"/>
          <w:b/>
          <w:sz w:val="21"/>
        </w:rPr>
        <w:t>How to read this report</w:t>
        <w:tab/>
        <w:t>4</w:t>
      </w:r>
    </w:p>
    <w:p>
      <w:pPr>
        <w:tabs>
          <w:tab w:pos="9184" w:val="right" w:leader="dot"/>
        </w:tabs>
        <w:spacing w:after="60" w:before="100"/>
        <w:ind w:left="0"/>
      </w:pPr>
      <w:r>
        <w:rPr>
          <w:rFonts w:ascii="Calibri" w:hAnsi="Calibri"/>
          <w:b/>
          <w:sz w:val="21"/>
        </w:rPr>
        <w:t>1. Problem statement, objectives and scope</w:t>
        <w:tab/>
        <w:t>5</w:t>
      </w:r>
    </w:p>
    <w:p>
      <w:pPr>
        <w:tabs>
          <w:tab w:pos="9184" w:val="right" w:leader="dot"/>
        </w:tabs>
        <w:spacing w:after="20" w:before="0"/>
        <w:ind w:left="340"/>
      </w:pPr>
      <w:r>
        <w:rPr>
          <w:rFonts w:ascii="Calibri" w:hAnsi="Calibri"/>
          <w:b w:val="0"/>
          <w:sz w:val="20"/>
        </w:rPr>
        <w:t>1.1 Problem</w:t>
        <w:tab/>
        <w:t>5</w:t>
      </w:r>
    </w:p>
    <w:p>
      <w:pPr>
        <w:tabs>
          <w:tab w:pos="9184" w:val="right" w:leader="dot"/>
        </w:tabs>
        <w:spacing w:after="20" w:before="0"/>
        <w:ind w:left="340"/>
      </w:pPr>
      <w:r>
        <w:rPr>
          <w:rFonts w:ascii="Calibri" w:hAnsi="Calibri"/>
          <w:b w:val="0"/>
          <w:sz w:val="20"/>
        </w:rPr>
        <w:t>1.2 Learning problem</w:t>
        <w:tab/>
        <w:t>5</w:t>
      </w:r>
    </w:p>
    <w:p>
      <w:pPr>
        <w:tabs>
          <w:tab w:pos="9184" w:val="right" w:leader="dot"/>
        </w:tabs>
        <w:spacing w:after="20" w:before="0"/>
        <w:ind w:left="340"/>
      </w:pPr>
      <w:r>
        <w:rPr>
          <w:rFonts w:ascii="Calibri" w:hAnsi="Calibri"/>
          <w:b w:val="0"/>
          <w:sz w:val="20"/>
        </w:rPr>
        <w:t>1.3 Objectives</w:t>
        <w:tab/>
        <w:t>5</w:t>
      </w:r>
    </w:p>
    <w:p>
      <w:pPr>
        <w:tabs>
          <w:tab w:pos="9184" w:val="right" w:leader="dot"/>
        </w:tabs>
        <w:spacing w:after="20" w:before="0"/>
        <w:ind w:left="340"/>
      </w:pPr>
      <w:r>
        <w:rPr>
          <w:rFonts w:ascii="Calibri" w:hAnsi="Calibri"/>
          <w:b w:val="0"/>
          <w:sz w:val="20"/>
        </w:rPr>
        <w:t>1.4 Scope</w:t>
        <w:tab/>
        <w:t>5</w:t>
      </w:r>
    </w:p>
    <w:p>
      <w:pPr>
        <w:tabs>
          <w:tab w:pos="9184" w:val="right" w:leader="dot"/>
        </w:tabs>
        <w:spacing w:after="60" w:before="100"/>
        <w:ind w:left="0"/>
      </w:pPr>
      <w:r>
        <w:rPr>
          <w:rFonts w:ascii="Calibri" w:hAnsi="Calibri"/>
          <w:b/>
          <w:sz w:val="21"/>
        </w:rPr>
        <w:t>2. Dataset selection, provenance, licensing and limitations</w:t>
        <w:tab/>
        <w:t>6</w:t>
      </w:r>
    </w:p>
    <w:p>
      <w:pPr>
        <w:tabs>
          <w:tab w:pos="9184" w:val="right" w:leader="dot"/>
        </w:tabs>
        <w:spacing w:after="20" w:before="0"/>
        <w:ind w:left="340"/>
      </w:pPr>
      <w:r>
        <w:rPr>
          <w:rFonts w:ascii="Calibri" w:hAnsi="Calibri"/>
          <w:b w:val="0"/>
          <w:sz w:val="20"/>
        </w:rPr>
        <w:t>2.1 Selection</w:t>
        <w:tab/>
        <w:t>6</w:t>
      </w:r>
    </w:p>
    <w:p>
      <w:pPr>
        <w:tabs>
          <w:tab w:pos="9184" w:val="right" w:leader="dot"/>
        </w:tabs>
        <w:spacing w:after="20" w:before="0"/>
        <w:ind w:left="340"/>
      </w:pPr>
      <w:r>
        <w:rPr>
          <w:rFonts w:ascii="Calibri" w:hAnsi="Calibri"/>
          <w:b w:val="0"/>
          <w:sz w:val="20"/>
        </w:rPr>
        <w:t>2.2 Provenance</w:t>
        <w:tab/>
        <w:t>6</w:t>
      </w:r>
    </w:p>
    <w:p>
      <w:pPr>
        <w:tabs>
          <w:tab w:pos="9184" w:val="right" w:leader="dot"/>
        </w:tabs>
        <w:spacing w:after="20" w:before="0"/>
        <w:ind w:left="340"/>
      </w:pPr>
      <w:r>
        <w:rPr>
          <w:rFonts w:ascii="Calibri" w:hAnsi="Calibri"/>
          <w:b w:val="0"/>
          <w:sz w:val="20"/>
        </w:rPr>
        <w:t>2.3 Licence</w:t>
        <w:tab/>
        <w:t>7</w:t>
      </w:r>
    </w:p>
    <w:p>
      <w:pPr>
        <w:tabs>
          <w:tab w:pos="9184" w:val="right" w:leader="dot"/>
        </w:tabs>
        <w:spacing w:after="20" w:before="0"/>
        <w:ind w:left="340"/>
      </w:pPr>
      <w:r>
        <w:rPr>
          <w:rFonts w:ascii="Calibri" w:hAnsi="Calibri"/>
          <w:b w:val="0"/>
          <w:sz w:val="20"/>
        </w:rPr>
        <w:t>2.4 Data quality (measured)</w:t>
        <w:tab/>
        <w:t>7</w:t>
      </w:r>
    </w:p>
    <w:p>
      <w:pPr>
        <w:tabs>
          <w:tab w:pos="9184" w:val="right" w:leader="dot"/>
        </w:tabs>
        <w:spacing w:after="20" w:before="0"/>
        <w:ind w:left="340"/>
      </w:pPr>
      <w:r>
        <w:rPr>
          <w:rFonts w:ascii="Calibri" w:hAnsi="Calibri"/>
          <w:b w:val="0"/>
          <w:sz w:val="20"/>
        </w:rPr>
        <w:t>2.5 Data limitations and how each is handled</w:t>
        <w:tab/>
        <w:t>7</w:t>
      </w:r>
    </w:p>
    <w:p>
      <w:pPr>
        <w:tabs>
          <w:tab w:pos="9184" w:val="right" w:leader="dot"/>
        </w:tabs>
        <w:spacing w:after="60" w:before="100"/>
        <w:ind w:left="0"/>
      </w:pPr>
      <w:r>
        <w:rPr>
          <w:rFonts w:ascii="Calibri" w:hAnsi="Calibri"/>
          <w:b/>
          <w:sz w:val="21"/>
        </w:rPr>
        <w:t>3. System architecture and data-processing pipeline</w:t>
        <w:tab/>
        <w:t>8</w:t>
      </w:r>
    </w:p>
    <w:p>
      <w:pPr>
        <w:tabs>
          <w:tab w:pos="9184" w:val="right" w:leader="dot"/>
        </w:tabs>
        <w:spacing w:after="20" w:before="0"/>
        <w:ind w:left="340"/>
      </w:pPr>
      <w:r>
        <w:rPr>
          <w:rFonts w:ascii="Calibri" w:hAnsi="Calibri"/>
          <w:b w:val="0"/>
          <w:sz w:val="20"/>
        </w:rPr>
        <w:t>3.1 Overview</w:t>
        <w:tab/>
        <w:t>8</w:t>
      </w:r>
    </w:p>
    <w:p>
      <w:pPr>
        <w:tabs>
          <w:tab w:pos="9184" w:val="right" w:leader="dot"/>
        </w:tabs>
        <w:spacing w:after="20" w:before="0"/>
        <w:ind w:left="340"/>
      </w:pPr>
      <w:r>
        <w:rPr>
          <w:rFonts w:ascii="Calibri" w:hAnsi="Calibri"/>
          <w:b w:val="0"/>
          <w:sz w:val="20"/>
        </w:rPr>
        <w:t>3.2 Aggregation to route-hours</w:t>
        <w:tab/>
        <w:t>10</w:t>
      </w:r>
    </w:p>
    <w:p>
      <w:pPr>
        <w:tabs>
          <w:tab w:pos="9184" w:val="right" w:leader="dot"/>
        </w:tabs>
        <w:spacing w:after="20" w:before="0"/>
        <w:ind w:left="340"/>
      </w:pPr>
      <w:r>
        <w:rPr>
          <w:rFonts w:ascii="Calibri" w:hAnsi="Calibri"/>
          <w:b w:val="0"/>
          <w:sz w:val="20"/>
        </w:rPr>
        <w:t>3.3 Missing route-hours (decision D8)</w:t>
        <w:tab/>
        <w:t>10</w:t>
      </w:r>
    </w:p>
    <w:p>
      <w:pPr>
        <w:tabs>
          <w:tab w:pos="9184" w:val="right" w:leader="dot"/>
        </w:tabs>
        <w:spacing w:after="60" w:before="100"/>
        <w:ind w:left="0"/>
      </w:pPr>
      <w:r>
        <w:rPr>
          <w:rFonts w:ascii="Calibri" w:hAnsi="Calibri"/>
          <w:b/>
          <w:sz w:val="21"/>
        </w:rPr>
        <w:t>4. Targets, features, models and baselines</w:t>
        <w:tab/>
        <w:t>10</w:t>
      </w:r>
    </w:p>
    <w:p>
      <w:pPr>
        <w:tabs>
          <w:tab w:pos="9184" w:val="right" w:leader="dot"/>
        </w:tabs>
        <w:spacing w:after="20" w:before="0"/>
        <w:ind w:left="340"/>
      </w:pPr>
      <w:r>
        <w:rPr>
          <w:rFonts w:ascii="Calibri" w:hAnsi="Calibri"/>
          <w:b w:val="0"/>
          <w:sz w:val="20"/>
        </w:rPr>
        <w:t>4.1 Forecasting targets</w:t>
        <w:tab/>
        <w:t>10</w:t>
      </w:r>
    </w:p>
    <w:p>
      <w:pPr>
        <w:tabs>
          <w:tab w:pos="9184" w:val="right" w:leader="dot"/>
        </w:tabs>
        <w:spacing w:after="20" w:before="0"/>
        <w:ind w:left="340"/>
      </w:pPr>
      <w:r>
        <w:rPr>
          <w:rFonts w:ascii="Calibri" w:hAnsi="Calibri"/>
          <w:b w:val="0"/>
          <w:sz w:val="20"/>
        </w:rPr>
        <w:t>4.2 Forecast setting</w:t>
        <w:tab/>
        <w:t>11</w:t>
      </w:r>
    </w:p>
    <w:p>
      <w:pPr>
        <w:tabs>
          <w:tab w:pos="9184" w:val="right" w:leader="dot"/>
        </w:tabs>
        <w:spacing w:after="20" w:before="0"/>
        <w:ind w:left="340"/>
      </w:pPr>
      <w:r>
        <w:rPr>
          <w:rFonts w:ascii="Calibri" w:hAnsi="Calibri"/>
          <w:b w:val="0"/>
          <w:sz w:val="20"/>
        </w:rPr>
        <w:t>4.3 Features</w:t>
        <w:tab/>
        <w:t>11</w:t>
      </w:r>
    </w:p>
    <w:p>
      <w:pPr>
        <w:tabs>
          <w:tab w:pos="9184" w:val="right" w:leader="dot"/>
        </w:tabs>
        <w:spacing w:after="20" w:before="0"/>
        <w:ind w:left="340"/>
      </w:pPr>
      <w:r>
        <w:rPr>
          <w:rFonts w:ascii="Calibri" w:hAnsi="Calibri"/>
          <w:b w:val="0"/>
          <w:sz w:val="20"/>
        </w:rPr>
        <w:t>4.4 Baselines</w:t>
        <w:tab/>
        <w:t>11</w:t>
      </w:r>
    </w:p>
    <w:p>
      <w:pPr>
        <w:tabs>
          <w:tab w:pos="9184" w:val="right" w:leader="dot"/>
        </w:tabs>
        <w:spacing w:after="20" w:before="0"/>
        <w:ind w:left="340"/>
      </w:pPr>
      <w:r>
        <w:rPr>
          <w:rFonts w:ascii="Calibri" w:hAnsi="Calibri"/>
          <w:b w:val="0"/>
          <w:sz w:val="20"/>
        </w:rPr>
        <w:t>4.5 Model: LightGBM</w:t>
        <w:tab/>
        <w:t>11</w:t>
      </w:r>
    </w:p>
    <w:p>
      <w:pPr>
        <w:tabs>
          <w:tab w:pos="9184" w:val="right" w:leader="dot"/>
        </w:tabs>
        <w:spacing w:after="20" w:before="0"/>
        <w:ind w:left="340"/>
      </w:pPr>
      <w:r>
        <w:rPr>
          <w:rFonts w:ascii="Calibri" w:hAnsi="Calibri"/>
          <w:b w:val="0"/>
          <w:sz w:val="20"/>
        </w:rPr>
        <w:t>4.6 Final forecast: a validation-chosen blend (decision D12)</w:t>
        <w:tab/>
        <w:t>12</w:t>
      </w:r>
    </w:p>
    <w:p>
      <w:pPr>
        <w:tabs>
          <w:tab w:pos="9184" w:val="right" w:leader="dot"/>
        </w:tabs>
        <w:spacing w:after="20" w:before="0"/>
        <w:ind w:left="340"/>
      </w:pPr>
      <w:r>
        <w:rPr>
          <w:rFonts w:ascii="Calibri" w:hAnsi="Calibri"/>
          <w:b w:val="0"/>
          <w:sz w:val="20"/>
        </w:rPr>
        <w:t>4.7 Prediction intervals (decision D13)</w:t>
        <w:tab/>
        <w:t>12</w:t>
      </w:r>
    </w:p>
    <w:p>
      <w:pPr>
        <w:tabs>
          <w:tab w:pos="9184" w:val="right" w:leader="dot"/>
        </w:tabs>
        <w:spacing w:after="60" w:before="100"/>
        <w:ind w:left="0"/>
      </w:pPr>
      <w:r>
        <w:rPr>
          <w:rFonts w:ascii="Calibri" w:hAnsi="Calibri"/>
          <w:b/>
          <w:sz w:val="21"/>
        </w:rPr>
        <w:t>5. Experimental methodology</w:t>
        <w:tab/>
        <w:t>12</w:t>
      </w:r>
    </w:p>
    <w:p>
      <w:pPr>
        <w:tabs>
          <w:tab w:pos="9184" w:val="right" w:leader="dot"/>
        </w:tabs>
        <w:spacing w:after="20" w:before="0"/>
        <w:ind w:left="340"/>
      </w:pPr>
      <w:r>
        <w:rPr>
          <w:rFonts w:ascii="Calibri" w:hAnsi="Calibri"/>
          <w:b w:val="0"/>
          <w:sz w:val="20"/>
        </w:rPr>
        <w:t>5.1 Chronological split</w:t>
        <w:tab/>
        <w:t>12</w:t>
      </w:r>
    </w:p>
    <w:p>
      <w:pPr>
        <w:tabs>
          <w:tab w:pos="9184" w:val="right" w:leader="dot"/>
        </w:tabs>
        <w:spacing w:after="20" w:before="0"/>
        <w:ind w:left="340"/>
      </w:pPr>
      <w:r>
        <w:rPr>
          <w:rFonts w:ascii="Calibri" w:hAnsi="Calibri"/>
          <w:b w:val="0"/>
          <w:sz w:val="20"/>
        </w:rPr>
        <w:t>5.2 Protocol</w:t>
        <w:tab/>
        <w:t>12</w:t>
      </w:r>
    </w:p>
    <w:p>
      <w:pPr>
        <w:tabs>
          <w:tab w:pos="9184" w:val="right" w:leader="dot"/>
        </w:tabs>
        <w:spacing w:after="20" w:before="0"/>
        <w:ind w:left="340"/>
      </w:pPr>
      <w:r>
        <w:rPr>
          <w:rFonts w:ascii="Calibri" w:hAnsi="Calibri"/>
          <w:b w:val="0"/>
          <w:sz w:val="20"/>
        </w:rPr>
        <w:t>5.3 Metrics</w:t>
        <w:tab/>
        <w:t>13</w:t>
      </w:r>
    </w:p>
    <w:p>
      <w:pPr>
        <w:tabs>
          <w:tab w:pos="9184" w:val="right" w:leader="dot"/>
        </w:tabs>
        <w:spacing w:after="20" w:before="0"/>
        <w:ind w:left="340"/>
      </w:pPr>
      <w:r>
        <w:rPr>
          <w:rFonts w:ascii="Calibri" w:hAnsi="Calibri"/>
          <w:b w:val="0"/>
          <w:sz w:val="20"/>
        </w:rPr>
        <w:t>5.4 Test-set disclosure: the test weeks were scored twice</w:t>
        <w:tab/>
        <w:t>13</w:t>
      </w:r>
    </w:p>
    <w:p>
      <w:pPr>
        <w:tabs>
          <w:tab w:pos="9184" w:val="right" w:leader="dot"/>
        </w:tabs>
        <w:spacing w:after="60" w:before="100"/>
        <w:ind w:left="0"/>
      </w:pPr>
      <w:r>
        <w:rPr>
          <w:rFonts w:ascii="Calibri" w:hAnsi="Calibri"/>
          <w:b/>
          <w:sz w:val="21"/>
        </w:rPr>
        <w:t>6. Results</w:t>
        <w:tab/>
        <w:t>13</w:t>
      </w:r>
    </w:p>
    <w:p>
      <w:pPr>
        <w:tabs>
          <w:tab w:pos="9184" w:val="right" w:leader="dot"/>
        </w:tabs>
        <w:spacing w:after="20" w:before="0"/>
        <w:ind w:left="340"/>
      </w:pPr>
      <w:r>
        <w:rPr>
          <w:rFonts w:ascii="Calibri" w:hAnsi="Calibri"/>
          <w:b w:val="0"/>
          <w:sz w:val="20"/>
        </w:rPr>
        <w:t>6.1 Main results</w:t>
        <w:tab/>
        <w:t>13</w:t>
      </w:r>
    </w:p>
    <w:p>
      <w:pPr>
        <w:tabs>
          <w:tab w:pos="9184" w:val="right" w:leader="dot"/>
        </w:tabs>
        <w:spacing w:after="20" w:before="0"/>
        <w:ind w:left="340"/>
      </w:pPr>
      <w:r>
        <w:rPr>
          <w:rFonts w:ascii="Calibri" w:hAnsi="Calibri"/>
          <w:b w:val="0"/>
          <w:sz w:val="20"/>
        </w:rPr>
        <w:t>6.2 Model selection and ablation (validation week)</w:t>
        <w:tab/>
        <w:t>14</w:t>
      </w:r>
    </w:p>
    <w:p>
      <w:pPr>
        <w:tabs>
          <w:tab w:pos="9184" w:val="right" w:leader="dot"/>
        </w:tabs>
        <w:spacing w:after="20" w:before="0"/>
        <w:ind w:left="340"/>
      </w:pPr>
      <w:r>
        <w:rPr>
          <w:rFonts w:ascii="Calibri" w:hAnsi="Calibri"/>
          <w:b w:val="0"/>
          <w:sz w:val="20"/>
        </w:rPr>
        <w:t>6.3 Is the improvement real?</w:t>
        <w:tab/>
        <w:t>15</w:t>
      </w:r>
    </w:p>
    <w:p>
      <w:pPr>
        <w:tabs>
          <w:tab w:pos="9184" w:val="right" w:leader="dot"/>
        </w:tabs>
        <w:spacing w:after="20" w:before="0"/>
        <w:ind w:left="340"/>
      </w:pPr>
      <w:r>
        <w:rPr>
          <w:rFonts w:ascii="Calibri" w:hAnsi="Calibri"/>
          <w:b w:val="0"/>
          <w:sz w:val="20"/>
        </w:rPr>
        <w:t>6.4 Error analysis</w:t>
        <w:tab/>
        <w:t>16</w:t>
      </w:r>
    </w:p>
    <w:p>
      <w:pPr>
        <w:tabs>
          <w:tab w:pos="9184" w:val="right" w:leader="dot"/>
        </w:tabs>
        <w:spacing w:after="60" w:before="100"/>
        <w:ind w:left="0"/>
      </w:pPr>
      <w:r>
        <w:rPr>
          <w:rFonts w:ascii="Calibri" w:hAnsi="Calibri"/>
          <w:b/>
          <w:sz w:val="21"/>
        </w:rPr>
        <w:t>7. Crowding classification and bus-capacity sensitivity</w:t>
        <w:tab/>
        <w:t>17</w:t>
      </w:r>
    </w:p>
    <w:p>
      <w:pPr>
        <w:tabs>
          <w:tab w:pos="9184" w:val="right" w:leader="dot"/>
        </w:tabs>
        <w:spacing w:after="20" w:before="0"/>
        <w:ind w:left="340"/>
      </w:pPr>
      <w:r>
        <w:rPr>
          <w:rFonts w:ascii="Calibri" w:hAnsi="Calibri"/>
          <w:b w:val="0"/>
          <w:sz w:val="20"/>
        </w:rPr>
        <w:t>7.1 Method (assumption)</w:t>
        <w:tab/>
        <w:t>17</w:t>
      </w:r>
    </w:p>
    <w:p>
      <w:pPr>
        <w:tabs>
          <w:tab w:pos="9184" w:val="right" w:leader="dot"/>
        </w:tabs>
        <w:spacing w:after="20" w:before="0"/>
        <w:ind w:left="340"/>
      </w:pPr>
      <w:r>
        <w:rPr>
          <w:rFonts w:ascii="Calibri" w:hAnsi="Calibri"/>
          <w:b w:val="0"/>
          <w:sz w:val="20"/>
        </w:rPr>
        <w:t>7.2 Results (measured)</w:t>
        <w:tab/>
        <w:t>18</w:t>
      </w:r>
    </w:p>
    <w:p>
      <w:pPr>
        <w:tabs>
          <w:tab w:pos="9184" w:val="right" w:leader="dot"/>
        </w:tabs>
        <w:spacing w:after="20" w:before="0"/>
        <w:ind w:left="340"/>
      </w:pPr>
      <w:r>
        <w:rPr>
          <w:rFonts w:ascii="Calibri" w:hAnsi="Calibri"/>
          <w:b w:val="0"/>
          <w:sz w:val="20"/>
        </w:rPr>
        <w:t>7.3 Planning use: a daily crowding alert list (measured)</w:t>
        <w:tab/>
        <w:t>19</w:t>
      </w:r>
    </w:p>
    <w:p>
      <w:pPr>
        <w:tabs>
          <w:tab w:pos="9184" w:val="right" w:leader="dot"/>
        </w:tabs>
        <w:spacing w:after="60" w:before="100"/>
        <w:ind w:left="0"/>
      </w:pPr>
      <w:r>
        <w:rPr>
          <w:rFonts w:ascii="Calibri" w:hAnsi="Calibri"/>
          <w:b/>
          <w:sz w:val="21"/>
        </w:rPr>
        <w:t>8. Prediction intervals and uncertainty</w:t>
        <w:tab/>
        <w:t>19</w:t>
      </w:r>
    </w:p>
    <w:p>
      <w:pPr>
        <w:tabs>
          <w:tab w:pos="9184" w:val="right" w:leader="dot"/>
        </w:tabs>
        <w:spacing w:after="20" w:before="0"/>
        <w:ind w:left="340"/>
      </w:pPr>
      <w:r>
        <w:rPr>
          <w:rFonts w:ascii="Calibri" w:hAnsi="Calibri"/>
          <w:b w:val="0"/>
          <w:sz w:val="20"/>
        </w:rPr>
        <w:t>8.1 Overall coverage (measured)</w:t>
        <w:tab/>
        <w:t>19</w:t>
      </w:r>
    </w:p>
    <w:p>
      <w:pPr>
        <w:tabs>
          <w:tab w:pos="9184" w:val="right" w:leader="dot"/>
        </w:tabs>
        <w:spacing w:after="20" w:before="0"/>
        <w:ind w:left="340"/>
      </w:pPr>
      <w:r>
        <w:rPr>
          <w:rFonts w:ascii="Calibri" w:hAnsi="Calibri"/>
          <w:b w:val="0"/>
          <w:sz w:val="20"/>
        </w:rPr>
        <w:t>8.2 Coverage by period: the night-time limitation</w:t>
        <w:tab/>
        <w:t>19</w:t>
      </w:r>
    </w:p>
    <w:p>
      <w:pPr>
        <w:tabs>
          <w:tab w:pos="9184" w:val="right" w:leader="dot"/>
        </w:tabs>
        <w:spacing w:after="20" w:before="0"/>
        <w:ind w:left="340"/>
      </w:pPr>
      <w:r>
        <w:rPr>
          <w:rFonts w:ascii="Calibri" w:hAnsi="Calibri"/>
          <w:b w:val="0"/>
          <w:sz w:val="20"/>
        </w:rPr>
        <w:t>8.3 Other sources of uncertainty</w:t>
        <w:tab/>
        <w:t>20</w:t>
      </w:r>
    </w:p>
    <w:p>
      <w:pPr>
        <w:tabs>
          <w:tab w:pos="9184" w:val="right" w:leader="dot"/>
        </w:tabs>
        <w:spacing w:after="60" w:before="100"/>
        <w:ind w:left="0"/>
      </w:pPr>
      <w:r>
        <w:rPr>
          <w:rFonts w:ascii="Calibri" w:hAnsi="Calibri"/>
          <w:b/>
          <w:sz w:val="21"/>
        </w:rPr>
        <w:t>9. Implementation, reproducibility, testing and dashboard</w:t>
        <w:tab/>
        <w:t>20</w:t>
      </w:r>
    </w:p>
    <w:p>
      <w:pPr>
        <w:tabs>
          <w:tab w:pos="9184" w:val="right" w:leader="dot"/>
        </w:tabs>
        <w:spacing w:after="20" w:before="0"/>
        <w:ind w:left="340"/>
      </w:pPr>
      <w:r>
        <w:rPr>
          <w:rFonts w:ascii="Calibri" w:hAnsi="Calibri"/>
          <w:b w:val="0"/>
          <w:sz w:val="20"/>
        </w:rPr>
        <w:t>9.1 Implementation</w:t>
        <w:tab/>
        <w:t>20</w:t>
      </w:r>
    </w:p>
    <w:p>
      <w:pPr>
        <w:tabs>
          <w:tab w:pos="9184" w:val="right" w:leader="dot"/>
        </w:tabs>
        <w:spacing w:after="20" w:before="0"/>
        <w:ind w:left="340"/>
      </w:pPr>
      <w:r>
        <w:rPr>
          <w:rFonts w:ascii="Calibri" w:hAnsi="Calibri"/>
          <w:b w:val="0"/>
          <w:sz w:val="20"/>
        </w:rPr>
        <w:t>9.2 Reproducibility (measured)</w:t>
        <w:tab/>
        <w:t>21</w:t>
      </w:r>
    </w:p>
    <w:p>
      <w:pPr>
        <w:tabs>
          <w:tab w:pos="9184" w:val="right" w:leader="dot"/>
        </w:tabs>
        <w:spacing w:after="20" w:before="0"/>
        <w:ind w:left="340"/>
      </w:pPr>
      <w:r>
        <w:rPr>
          <w:rFonts w:ascii="Calibri" w:hAnsi="Calibri"/>
          <w:b w:val="0"/>
          <w:sz w:val="20"/>
        </w:rPr>
        <w:t>9.3 Testing (measured)</w:t>
        <w:tab/>
        <w:t>21</w:t>
      </w:r>
    </w:p>
    <w:p>
      <w:pPr>
        <w:tabs>
          <w:tab w:pos="9184" w:val="right" w:leader="dot"/>
        </w:tabs>
        <w:spacing w:after="20" w:before="0"/>
        <w:ind w:left="340"/>
      </w:pPr>
      <w:r>
        <w:rPr>
          <w:rFonts w:ascii="Calibri" w:hAnsi="Calibri"/>
          <w:b w:val="0"/>
          <w:sz w:val="20"/>
        </w:rPr>
        <w:t>9.4 Dashboard</w:t>
        <w:tab/>
        <w:t>22</w:t>
      </w:r>
    </w:p>
    <w:p>
      <w:pPr>
        <w:tabs>
          <w:tab w:pos="9184" w:val="right" w:leader="dot"/>
        </w:tabs>
        <w:spacing w:after="20" w:before="0"/>
        <w:ind w:left="340"/>
      </w:pPr>
      <w:r>
        <w:rPr>
          <w:rFonts w:ascii="Calibri" w:hAnsi="Calibri"/>
          <w:b w:val="0"/>
          <w:sz w:val="20"/>
        </w:rPr>
        <w:t>9.5 Public deployment (GitHub Pages)</w:t>
        <w:tab/>
        <w:t>23</w:t>
      </w:r>
    </w:p>
    <w:p>
      <w:pPr>
        <w:tabs>
          <w:tab w:pos="9184" w:val="right" w:leader="dot"/>
        </w:tabs>
        <w:spacing w:after="60" w:before="100"/>
        <w:ind w:left="0"/>
      </w:pPr>
      <w:r>
        <w:rPr>
          <w:rFonts w:ascii="Calibri" w:hAnsi="Calibri"/>
          <w:b/>
          <w:sz w:val="21"/>
        </w:rPr>
        <w:t>10. Limitations</w:t>
        <w:tab/>
        <w:t>24</w:t>
      </w:r>
    </w:p>
    <w:p>
      <w:pPr>
        <w:tabs>
          <w:tab w:pos="9184" w:val="right" w:leader="dot"/>
        </w:tabs>
        <w:spacing w:after="60" w:before="100"/>
        <w:ind w:left="0"/>
      </w:pPr>
      <w:r>
        <w:rPr>
          <w:rFonts w:ascii="Calibri" w:hAnsi="Calibri"/>
          <w:b/>
          <w:sz w:val="21"/>
        </w:rPr>
        <w:t>11. Ethical considerations</w:t>
        <w:tab/>
        <w:t>25</w:t>
      </w:r>
    </w:p>
    <w:p>
      <w:pPr>
        <w:tabs>
          <w:tab w:pos="9184" w:val="right" w:leader="dot"/>
        </w:tabs>
        <w:spacing w:after="60" w:before="100"/>
        <w:ind w:left="0"/>
      </w:pPr>
      <w:r>
        <w:rPr>
          <w:rFonts w:ascii="Calibri" w:hAnsi="Calibri"/>
          <w:b/>
          <w:sz w:val="21"/>
        </w:rPr>
        <w:t>12. Future work (proposed; none of this has been done)</w:t>
        <w:tab/>
        <w:t>26</w:t>
      </w:r>
    </w:p>
    <w:p>
      <w:pPr>
        <w:tabs>
          <w:tab w:pos="9184" w:val="right" w:leader="dot"/>
        </w:tabs>
        <w:spacing w:after="60" w:before="100"/>
        <w:ind w:left="0"/>
      </w:pPr>
      <w:r>
        <w:rPr>
          <w:rFonts w:ascii="Calibri" w:hAnsi="Calibri"/>
          <w:b/>
          <w:sz w:val="21"/>
        </w:rPr>
        <w:t>13. Conclusion</w:t>
        <w:tab/>
        <w:t>26</w:t>
      </w:r>
    </w:p>
    <w:p>
      <w:pPr>
        <w:tabs>
          <w:tab w:pos="9184" w:val="right" w:leader="dot"/>
        </w:tabs>
        <w:spacing w:after="60" w:before="100"/>
        <w:ind w:left="0"/>
      </w:pPr>
      <w:r>
        <w:rPr>
          <w:rFonts w:ascii="Calibri" w:hAnsi="Calibri"/>
          <w:b/>
          <w:sz w:val="21"/>
        </w:rPr>
        <w:t>References</w:t>
        <w:tab/>
        <w:t>27</w:t>
      </w:r>
    </w:p>
    <w:p>
      <w:pPr>
        <w:tabs>
          <w:tab w:pos="9184" w:val="right" w:leader="dot"/>
        </w:tabs>
        <w:spacing w:after="60" w:before="100"/>
        <w:ind w:left="0"/>
      </w:pPr>
      <w:r>
        <w:rPr>
          <w:rFonts w:ascii="Calibri" w:hAnsi="Calibri"/>
          <w:b/>
          <w:sz w:val="21"/>
        </w:rPr>
        <w:t>Appendix A. Team and contributions</w:t>
        <w:tab/>
        <w:t>28</w:t>
      </w:r>
    </w:p>
    <w:p>
      <w:pPr>
        <w:tabs>
          <w:tab w:pos="9184" w:val="right" w:leader="dot"/>
        </w:tabs>
        <w:spacing w:after="60" w:before="100"/>
        <w:ind w:left="0"/>
      </w:pPr>
      <w:r>
        <w:rPr>
          <w:rFonts w:ascii="Calibri" w:hAnsi="Calibri"/>
          <w:b/>
          <w:sz w:val="21"/>
        </w:rPr>
        <w:t>Appendix B. Decision log index</w:t>
        <w:tab/>
        <w:t>28</w:t>
      </w:r>
      <w:r>
        <w:fldChar w:fldCharType="end"/>
      </w:r>
    </w:p>
    <w:p>
      <w:pPr>
        <w:pStyle w:val="Heading1"/>
        <w:pageBreakBefore/>
        <w:spacing w:before="0"/>
      </w:pPr>
      <w:r>
        <w:t xml:space="preserve">Abstract</w:t>
      </w:r>
    </w:p>
    <w:p>
      <w:pPr>
        <w:pStyle w:val="FirstParagraph"/>
      </w:pPr>
      <w:r>
        <w:t xml:space="preserve">Bus operators plan frequencies and vehicle sizes from expected demand, but the passenger counts they need are rarely open. This project builds and evaluates a day-ahead forecasting system for public-transport</w:t>
      </w:r>
      <w:r>
        <w:t xml:space="preserve"> </w:t>
      </w:r>
      <w:r>
        <w:rPr>
          <w:b/>
          <w:bCs/>
        </w:rPr>
        <w:t xml:space="preserve">demand</w:t>
      </w:r>
      <w:r>
        <w:t xml:space="preserve"> </w:t>
      </w:r>
      <w:r>
        <w:t xml:space="preserve">(boardings per route, direction and hour) and</w:t>
      </w:r>
      <w:r>
        <w:t xml:space="preserve"> </w:t>
      </w:r>
      <w:r>
        <w:rPr>
          <w:b/>
          <w:bCs/>
        </w:rPr>
        <w:t xml:space="preserve">estimated on-board load</w:t>
      </w:r>
      <w:r>
        <w:t xml:space="preserve"> </w:t>
      </w:r>
      <w:r>
        <w:t xml:space="preserve">(our occupancy target), with crowding levels derived from the load forecast. We use the open, peer-reviewed SUNT dataset from Salvador, Brazil (CC BY 4.0): 59 days of fare-card and vehicle-location records (37.6 million stop events) aggregated to 541,611 route-hours. Alightings in SUNT are inferred by trip chaining, so load is an estimate, not a measurement.</w:t>
      </w:r>
    </w:p>
    <w:p>
      <w:pPr>
        <w:pStyle w:val="BodyText"/>
      </w:pPr>
      <w:r>
        <w:t xml:space="preserve">We compare LightGBM gradient-boosted trees with three baselines on a chronological split (train 1 March–7 April 2024, validation 8–14 April, test 15–28 April). The final forecast, an equal blend of LightGBM and a historical average with the weight chosen on validation, reaches a test weighted absolute percentage error (WAPE) of 18.15% for demand and 19.20% for estimated load. This is about 23% lower than the common</w:t>
      </w:r>
      <w:r>
        <w:t xml:space="preserve"> </w:t>
      </w:r>
      <w:r>
        <w:t xml:space="preserve">“</w:t>
      </w:r>
      <w:r>
        <w:t xml:space="preserve">same hour last week</w:t>
      </w:r>
      <w:r>
        <w:t xml:space="preserve">”</w:t>
      </w:r>
      <w:r>
        <w:t xml:space="preserve"> </w:t>
      </w:r>
      <w:r>
        <w:t xml:space="preserve">rule (23.67% and 25.39%), but only slightly better than a well-chosen historical average (18.35% and 19.35%; demand difference −0.20 points, 95% paired-bootstrap interval −0.29 to −0.06), and only in absolute error: on RMSE the historical average is slightly better for demand. Crowding levels for a 70-passenger bus reach a macro-F1 of 0.769, and between 0.683 and 0.772 across four capacity assumptions. Calibrated 80% prediction intervals cover 80.4% of test demand and 79.3% of test load, but only about 52% of night-time load values. The test weeks were scored twice, and both scorings are disclosed. Every number is produced by committed code; 93 automated tests and a verification command check that the results reproduce.</w:t>
      </w:r>
    </w:p>
    <w:p>
      <w:pPr>
        <w:pStyle w:val="BodyText"/>
      </w:pPr>
      <w:r>
        <w:rPr>
          <w:b/>
          <w:bCs/>
        </w:rPr>
        <w:t xml:space="preserve">Keywords:</w:t>
      </w:r>
      <w:r>
        <w:t xml:space="preserve"> </w:t>
      </w:r>
      <w:r>
        <w:t xml:space="preserve">public transport; passenger demand forecasting; estimated on-board load; crowding; smart-card (AFC) data; LightGBM; gradient boosting; conformal prediction; reproducibility.</w:t>
      </w:r>
    </w:p>
    <w:bookmarkEnd w:id="20"/>
    <w:bookmarkStart w:id="21" w:name="how-to-read-this-report"/>
    <w:p>
      <w:pPr>
        <w:pStyle w:val="Heading1"/>
      </w:pPr>
      <w:r>
        <w:t xml:space="preserve">How to read this report</w:t>
      </w:r>
    </w:p>
    <w:p>
      <w:pPr>
        <w:pStyle w:val="FirstParagraph"/>
      </w:pPr>
      <w:r>
        <w:t xml:space="preserve">The report separates three kinds of statement:</w:t>
      </w:r>
    </w:p>
    <w:p>
      <w:pPr>
        <w:pStyle w:val="Compact"/>
        <w:numPr>
          <w:ilvl w:val="0"/>
          <w:numId w:val="1001"/>
        </w:numPr>
      </w:pPr>
      <w:r>
        <w:rPr>
          <w:b/>
          <w:bCs/>
        </w:rPr>
        <w:t xml:space="preserve">Measured:</w:t>
      </w:r>
      <w:r>
        <w:t xml:space="preserve"> </w:t>
      </w:r>
      <w:r>
        <w:t xml:space="preserve">results of experiments that were actually run. All of them come from</w:t>
      </w:r>
      <w:r>
        <w:t xml:space="preserve"> </w:t>
      </w:r>
      <w:r>
        <w:rPr>
          <w:rStyle w:val="VerbatimChar"/>
        </w:rPr>
        <w:t xml:space="preserve">reports/metrics.json</w:t>
      </w:r>
      <w:r>
        <w:t xml:space="preserve">, the committed prediction files and</w:t>
      </w:r>
      <w:r>
        <w:t xml:space="preserve"> </w:t>
      </w:r>
      <w:r>
        <w:rPr>
          <w:rStyle w:val="VerbatimChar"/>
        </w:rPr>
        <w:t xml:space="preserve">reports/RESULTS.md</w:t>
      </w:r>
      <w:r>
        <w:t xml:space="preserve">, which</w:t>
      </w:r>
      <w:r>
        <w:t xml:space="preserve"> </w:t>
      </w:r>
      <w:r>
        <w:rPr>
          <w:rStyle w:val="VerbatimChar"/>
        </w:rPr>
        <w:t xml:space="preserve">python -m transit.report</w:t>
      </w:r>
      <w:r>
        <w:t xml:space="preserve"> </w:t>
      </w:r>
      <w:r>
        <w:t xml:space="preserve">generates from them. Where a number in this report was computed separately from the committed prediction files (for illustration only), the text says so.</w:t>
      </w:r>
    </w:p>
    <w:p>
      <w:pPr>
        <w:pStyle w:val="Compact"/>
        <w:numPr>
          <w:ilvl w:val="0"/>
          <w:numId w:val="1001"/>
        </w:numPr>
      </w:pPr>
      <w:r>
        <w:rPr>
          <w:b/>
          <w:bCs/>
        </w:rPr>
        <w:t xml:space="preserve">Assumption:</w:t>
      </w:r>
      <w:r>
        <w:t xml:space="preserve"> </w:t>
      </w:r>
      <w:r>
        <w:t xml:space="preserve">choices the data cannot settle, such as vehicle capacity. Each is labelled and, where possible, varied in a sensitivity analysis.</w:t>
      </w:r>
    </w:p>
    <w:p>
      <w:pPr>
        <w:pStyle w:val="Compact"/>
        <w:numPr>
          <w:ilvl w:val="0"/>
          <w:numId w:val="1001"/>
        </w:numPr>
      </w:pPr>
      <w:r>
        <w:rPr>
          <w:b/>
          <w:bCs/>
        </w:rPr>
        <w:t xml:space="preserve">Proposed / future work:</w:t>
      </w:r>
      <w:r>
        <w:t xml:space="preserve"> </w:t>
      </w:r>
      <w:r>
        <w:t xml:space="preserve">ideas that were</w:t>
      </w:r>
      <w:r>
        <w:t xml:space="preserve"> </w:t>
      </w:r>
      <w:r>
        <w:rPr>
          <w:i/>
          <w:iCs/>
        </w:rPr>
        <w:t xml:space="preserve">not</w:t>
      </w:r>
      <w:r>
        <w:t xml:space="preserve"> </w:t>
      </w:r>
      <w:r>
        <w:t xml:space="preserve">implemented or tested.</w:t>
      </w:r>
    </w:p>
    <w:p>
      <w:pPr>
        <w:pStyle w:val="FirstParagraph"/>
      </w:pPr>
      <w:r>
        <w:t xml:space="preserve">“</w:t>
      </w:r>
      <w:r>
        <w:t xml:space="preserve">Load</w:t>
      </w:r>
      <w:r>
        <w:t xml:space="preserve">”</w:t>
      </w:r>
      <w:r>
        <w:t xml:space="preserve"> </w:t>
      </w:r>
      <w:r>
        <w:t xml:space="preserve">and</w:t>
      </w:r>
      <w:r>
        <w:t xml:space="preserve"> </w:t>
      </w:r>
      <w:r>
        <w:t xml:space="preserve">“</w:t>
      </w:r>
      <w:r>
        <w:t xml:space="preserve">occupancy</w:t>
      </w:r>
      <w:r>
        <w:t xml:space="preserve">”</w:t>
      </w:r>
      <w:r>
        <w:t xml:space="preserve"> </w:t>
      </w:r>
      <w:r>
        <w:t xml:space="preserve">in this report always mean</w:t>
      </w:r>
      <w:r>
        <w:t xml:space="preserve"> </w:t>
      </w:r>
      <w:r>
        <w:rPr>
          <w:b/>
          <w:bCs/>
        </w:rPr>
        <w:t xml:space="preserve">estimated on-board load</w:t>
      </w:r>
      <w:r>
        <w:t xml:space="preserve"> </w:t>
      </w:r>
      <w:r>
        <w:t xml:space="preserve">derived from fare-card trip chaining. It is never directly measured occupancy.</w:t>
      </w:r>
    </w:p>
    <w:bookmarkEnd w:id="21"/>
    <w:bookmarkStart w:id="26" w:name="problem-statement-objectives-and-scope"/>
    <w:p>
      <w:pPr>
        <w:pStyle w:val="Heading1"/>
        <w:pageBreakBefore/>
        <w:spacing w:before="0"/>
      </w:pPr>
      <w:r>
        <w:t xml:space="preserve">1. Problem statement, objectives and scope</w:t>
      </w:r>
    </w:p>
    <w:bookmarkStart w:id="22" w:name="problem"/>
    <w:p>
      <w:pPr>
        <w:pStyle w:val="Heading2"/>
      </w:pPr>
      <w:r>
        <w:t xml:space="preserve">1.1 Problem</w:t>
      </w:r>
    </w:p>
    <w:p>
      <w:pPr>
        <w:pStyle w:val="FirstParagraph"/>
      </w:pPr>
      <w:r>
        <w:t xml:space="preserve">Public-transport planners decide, a day or more in advance, how many trips to run on each route in each hour and which vehicles to use. Too little capacity leaves passengers behind on overcrowded buses; too much wastes fuel and crew time. Good decisions need a forecast of how many people will board, and of how full the buses will be.</w:t>
      </w:r>
    </w:p>
    <w:p>
      <w:pPr>
        <w:pStyle w:val="BodyText"/>
      </w:pPr>
      <w:r>
        <w:t xml:space="preserve">The registered project description is to analyse public-transport data to predict passenger demand and occupancy, so that service planning can respond to demand. Our working title at registration time mentioned tier-2 Indian cities. The registered title does not, and, as section 2 explains, no open dataset we found for Indian or tier-2 cities contained both demand and occupancy labels.</w:t>
      </w:r>
      <w:r>
        <w:t xml:space="preserve"> </w:t>
      </w:r>
      <w:r>
        <w:rPr>
          <w:b/>
          <w:bCs/>
        </w:rPr>
        <w:t xml:space="preserve">This project therefore makes no claim of validation for Indian or tier-2 cities.</w:t>
      </w:r>
    </w:p>
    <w:bookmarkEnd w:id="22"/>
    <w:bookmarkStart w:id="23" w:name="learning-problem"/>
    <w:p>
      <w:pPr>
        <w:pStyle w:val="Heading2"/>
      </w:pPr>
      <w:r>
        <w:t xml:space="preserve">1.2 Learning problem</w:t>
      </w:r>
    </w:p>
    <w:p>
      <w:pPr>
        <w:pStyle w:val="FirstParagraph"/>
      </w:pPr>
      <w:r>
        <w:t xml:space="preserve">Stated in the standard form of a learning problem (task, experience, performance):</w:t>
      </w:r>
    </w:p>
    <w:p>
      <w:pPr>
        <w:pStyle w:val="Compact"/>
        <w:numPr>
          <w:ilvl w:val="0"/>
          <w:numId w:val="1002"/>
        </w:numPr>
      </w:pPr>
      <w:r>
        <w:rPr>
          <w:b/>
          <w:bCs/>
        </w:rPr>
        <w:t xml:space="preserve">Task T:</w:t>
      </w:r>
      <w:r>
        <w:t xml:space="preserve"> </w:t>
      </w:r>
      <w:r>
        <w:t xml:space="preserve">before a service day starts, predict for every route, direction and clock hour (a) the number of boardings and (b) the estimated peak on-board load of a typical bus; derive a crowding level (low, medium, high) from (b).</w:t>
      </w:r>
    </w:p>
    <w:p>
      <w:pPr>
        <w:pStyle w:val="Compact"/>
        <w:numPr>
          <w:ilvl w:val="0"/>
          <w:numId w:val="1002"/>
        </w:numPr>
      </w:pPr>
      <w:r>
        <w:rPr>
          <w:b/>
          <w:bCs/>
        </w:rPr>
        <w:t xml:space="preserve">Experience E:</w:t>
      </w:r>
      <w:r>
        <w:t xml:space="preserve"> </w:t>
      </w:r>
      <w:r>
        <w:t xml:space="preserve">38 training days of SUNT records from Salvador, plus one validation week for model selection.</w:t>
      </w:r>
    </w:p>
    <w:p>
      <w:pPr>
        <w:pStyle w:val="Compact"/>
        <w:numPr>
          <w:ilvl w:val="0"/>
          <w:numId w:val="1002"/>
        </w:numPr>
      </w:pPr>
      <w:r>
        <w:rPr>
          <w:b/>
          <w:bCs/>
        </w:rPr>
        <w:t xml:space="preserve">Performance P:</w:t>
      </w:r>
      <w:r>
        <w:t xml:space="preserve"> </w:t>
      </w:r>
      <w:r>
        <w:t xml:space="preserve">WAPE, MAE and RMSE on two unseen test weeks for the two regression targets; macro-F1 and a confusion matrix for crowding levels; empirical coverage of 80% prediction intervals.</w:t>
      </w:r>
    </w:p>
    <w:p>
      <w:pPr>
        <w:pStyle w:val="FirstParagraph"/>
      </w:pPr>
      <w:r>
        <w:t xml:space="preserve">Both targets are supervised regression problems; crowding is a classification derived from the regression output.</w:t>
      </w:r>
    </w:p>
    <w:bookmarkEnd w:id="23"/>
    <w:bookmarkStart w:id="24" w:name="objectives"/>
    <w:p>
      <w:pPr>
        <w:pStyle w:val="Heading2"/>
      </w:pPr>
      <w:r>
        <w:t xml:space="preserve">1.3 Objectives</w:t>
      </w:r>
    </w:p>
    <w:p>
      <w:pPr>
        <w:pStyle w:val="Compact"/>
        <w:numPr>
          <w:ilvl w:val="0"/>
          <w:numId w:val="1003"/>
        </w:numPr>
      </w:pPr>
      <w:r>
        <w:t xml:space="preserve">Build a verified, reproducible data pipeline from the raw SUNT files to a route-hour modelling table, with written rules for every data-quality problem.</w:t>
      </w:r>
    </w:p>
    <w:p>
      <w:pPr>
        <w:pStyle w:val="Compact"/>
        <w:numPr>
          <w:ilvl w:val="0"/>
          <w:numId w:val="1003"/>
        </w:numPr>
      </w:pPr>
      <w:r>
        <w:t xml:space="preserve">Forecast day-ahead boardings per route-hour, and compare a machine-learning model honestly with simple baselines on identical rows.</w:t>
      </w:r>
    </w:p>
    <w:p>
      <w:pPr>
        <w:pStyle w:val="Compact"/>
        <w:numPr>
          <w:ilvl w:val="0"/>
          <w:numId w:val="1003"/>
        </w:numPr>
      </w:pPr>
      <w:r>
        <w:t xml:space="preserve">Forecast day-ahead estimated on-board load and derive crowding levels under documented, varied capacity assumptions.</w:t>
      </w:r>
    </w:p>
    <w:p>
      <w:pPr>
        <w:pStyle w:val="Compact"/>
        <w:numPr>
          <w:ilvl w:val="0"/>
          <w:numId w:val="1003"/>
        </w:numPr>
      </w:pPr>
      <w:r>
        <w:t xml:space="preserve">Quantify uncertainty: confidence intervals for the improvement over baselines, and prediction intervals for individual forecasts.</w:t>
      </w:r>
    </w:p>
    <w:p>
      <w:pPr>
        <w:pStyle w:val="Compact"/>
        <w:numPr>
          <w:ilvl w:val="0"/>
          <w:numId w:val="1003"/>
        </w:numPr>
      </w:pPr>
      <w:r>
        <w:t xml:space="preserve">Provide an interactive dashboard that runs offline on a laptop.</w:t>
      </w:r>
    </w:p>
    <w:p>
      <w:pPr>
        <w:pStyle w:val="Compact"/>
        <w:numPr>
          <w:ilvl w:val="0"/>
          <w:numId w:val="1003"/>
        </w:numPr>
      </w:pPr>
      <w:r>
        <w:t xml:space="preserve">Make every reported number traceable to committed code and outputs.</w:t>
      </w:r>
    </w:p>
    <w:bookmarkEnd w:id="24"/>
    <w:bookmarkStart w:id="25" w:name="scope"/>
    <w:p>
      <w:pPr>
        <w:pStyle w:val="Heading2"/>
      </w:pPr>
      <w:r>
        <w:t xml:space="preserve">1.4 Scope</w:t>
      </w:r>
    </w:p>
    <w:p>
      <w:pPr>
        <w:pStyle w:val="FirstParagraph"/>
      </w:pPr>
      <w:r>
        <w:rPr>
          <w:b/>
          <w:bCs/>
        </w:rPr>
        <w:t xml:space="preserve">In scope:</w:t>
      </w:r>
      <w:r>
        <w:t xml:space="preserve"> </w:t>
      </w:r>
      <w:r>
        <w:t xml:space="preserve">bus routes of Salvador, Brazil, 1 March–28 April 2024; route × direction × hour; day-ahead forecasts; crowding under assumed capacities; a local Streamlit dashboard.</w:t>
      </w:r>
    </w:p>
    <w:p>
      <w:pPr>
        <w:pStyle w:val="BodyText"/>
      </w:pPr>
      <w:r>
        <w:rPr>
          <w:b/>
          <w:bCs/>
        </w:rPr>
        <w:t xml:space="preserve">Out of scope:</w:t>
      </w:r>
      <w:r>
        <w:t xml:space="preserve"> </w:t>
      </w:r>
      <w:r>
        <w:t xml:space="preserve">stop-level or real-time (within-day) forecasting; cancellations and timetable changes; holiday effects (none in the test weeks); recommending a specific number of extra trips (decision D5 leaves this optional; it was not built); deployment as a production service. The dashboard runs locally and</w:t>
      </w:r>
      <w:r>
        <w:t xml:space="preserve"> </w:t>
      </w:r>
      <w:r>
        <w:rPr>
          <w:b/>
          <w:bCs/>
        </w:rPr>
        <w:t xml:space="preserve">has not been deployed</w:t>
      </w:r>
      <w:r>
        <w:t xml:space="preserve"> </w:t>
      </w:r>
      <w:r>
        <w:t xml:space="preserve">at the time of writing.</w:t>
      </w:r>
    </w:p>
    <w:bookmarkEnd w:id="25"/>
    <w:bookmarkEnd w:id="26"/>
    <w:bookmarkStart w:id="32" w:name="Xbb60833244a4236858b784fc0497c6a17136525"/>
    <w:p>
      <w:pPr>
        <w:pStyle w:val="Heading1"/>
      </w:pPr>
      <w:r>
        <w:t xml:space="preserve">2. Dataset selection, provenance, licensing and limitations</w:t>
      </w:r>
    </w:p>
    <w:bookmarkStart w:id="27" w:name="selection"/>
    <w:p>
      <w:pPr>
        <w:pStyle w:val="Heading2"/>
      </w:pPr>
      <w:r>
        <w:t xml:space="preserve">2.1 Selection</w:t>
      </w:r>
    </w:p>
    <w:p>
      <w:pPr>
        <w:pStyle w:val="FirstParagraph"/>
      </w:pPr>
      <w:r>
        <w:t xml:space="preserve">We needed open data with (i) passenger demand, (ii) some measure of how full vehicles are, (iii) at least several weeks of history, and (iv) a licence allowing reuse. Decision D1 in the repository records the comparison. Candidates included Victoria train counts, UrbanBus, TfNSW bus occupancy, TfL BUSTO, MTA hourly ridership, Trafiklab KoDa, Bengaluru metro (BMRCL) ridership and the repositories the team first collected (SUNT, the PMPML Pune GTFS generator, and an Aarhus University thesis repository). Timetable-only sources such as GTFS contain routes and schedules but no passenger counts, so they cannot provide training labels. The Indian sources we found had demand counts only (Bengaluru metro: hourly entries for about seven weeks) or nothing usable for tier-2 cities. The Ahmedabad–Gandhinagar dataset on Mendeley Data infers crowdedness from the smartphone sensors of a few commuters and has no route-level counts; the team read its description but did not inspect its files.</w:t>
      </w:r>
    </w:p>
    <w:p>
      <w:pPr>
        <w:pStyle w:val="BodyText"/>
      </w:pPr>
      <w:r>
        <w:rPr>
          <w:b/>
          <w:bCs/>
        </w:rPr>
        <w:t xml:space="preserve">SUNT</w:t>
      </w:r>
      <w:r>
        <w:t xml:space="preserve"> </w:t>
      </w:r>
      <w:r>
        <w:t xml:space="preserve">was the only candidate we could download and open that contained both boardings and an on-board load estimate, under an open licence and with a peer-reviewed description (Ferreira et al., 2025).</w:t>
      </w:r>
    </w:p>
    <w:bookmarkEnd w:id="27"/>
    <w:bookmarkStart w:id="28" w:name="provenance"/>
    <w:p>
      <w:pPr>
        <w:pStyle w:val="Heading2"/>
        <w:keepNext/>
      </w:pPr>
      <w:r>
        <w:t xml:space="preserve">2.2 Provenance</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1946"/>
        <w:gridCol w:w="7237"/>
      </w:tblGrid>
      <w:tr>
        <w:trPr>
          <w:tblHeader w:val="true"/>
          <w:cantSplit/>
          <w:tblHeader/>
        </w:trPr>
        <w:tc>
          <w:tcPr>
            <w:tcW w:type="dxa" w:w="1946"/>
            <w:shd w:val="clear" w:color="auto" w:fill="DCE3F0"/>
          </w:tcPr>
          <w:p>
            <w:pPr>
              <w:pStyle w:val="Compact"/>
              <w:spacing w:after="0" w:before="0" w:line="240" w:lineRule="auto"/>
              <w:jc w:val="left"/>
            </w:pPr>
            <w:r>
              <w:rPr>
                <w:b/>
                <w:sz w:val="19"/>
              </w:rPr>
              <w:t xml:space="preserve">Item</w:t>
            </w:r>
          </w:p>
        </w:tc>
        <w:tc>
          <w:tcPr>
            <w:tcW w:type="dxa" w:w="7238"/>
            <w:shd w:val="clear" w:color="auto" w:fill="DCE3F0"/>
          </w:tcPr>
          <w:p>
            <w:pPr>
              <w:pStyle w:val="Compact"/>
              <w:spacing w:after="0" w:before="0" w:line="240" w:lineRule="auto"/>
              <w:jc w:val="left"/>
            </w:pPr>
            <w:r>
              <w:rPr>
                <w:b/>
                <w:sz w:val="19"/>
              </w:rPr>
              <w:t xml:space="preserve">Value</w:t>
            </w:r>
          </w:p>
        </w:tc>
      </w:tr>
      <w:tr>
        <w:trPr>
          <w:cantSplit/>
        </w:trPr>
        <w:tc>
          <w:tcPr>
            <w:tcW w:type="dxa" w:w="1946"/>
          </w:tcPr>
          <w:p>
            <w:pPr>
              <w:pStyle w:val="Compact"/>
              <w:spacing w:after="0" w:before="0" w:line="240" w:lineRule="auto"/>
              <w:jc w:val="left"/>
            </w:pPr>
            <w:r>
              <w:rPr>
                <w:sz w:val="19"/>
              </w:rPr>
              <w:t xml:space="preserve">Dataset</w:t>
            </w:r>
          </w:p>
        </w:tc>
        <w:tc>
          <w:tcPr>
            <w:tcW w:type="dxa" w:w="7238"/>
          </w:tcPr>
          <w:p>
            <w:pPr>
              <w:pStyle w:val="Compact"/>
              <w:spacing w:after="0" w:before="0" w:line="240" w:lineRule="auto"/>
              <w:jc w:val="left"/>
            </w:pPr>
            <w:r>
              <w:rPr>
                <w:sz w:val="19"/>
              </w:rPr>
              <w:t xml:space="preserve">Salvador Urban Network Transportation (SUNT), LabIA, Federal University of Bahia</w:t>
            </w:r>
          </w:p>
        </w:tc>
      </w:tr>
      <w:tr>
        <w:trPr>
          <w:cantSplit/>
        </w:trPr>
        <w:tc>
          <w:tcPr>
            <w:tcW w:type="dxa" w:w="1946"/>
          </w:tcPr>
          <w:p>
            <w:pPr>
              <w:pStyle w:val="Compact"/>
              <w:spacing w:after="0" w:before="0" w:line="240" w:lineRule="auto"/>
              <w:jc w:val="left"/>
            </w:pPr>
            <w:r>
              <w:rPr>
                <w:sz w:val="19"/>
              </w:rPr>
              <w:t xml:space="preserve">Description paper</w:t>
            </w:r>
          </w:p>
        </w:tc>
        <w:tc>
          <w:tcPr>
            <w:tcW w:type="dxa" w:w="7238"/>
          </w:tcPr>
          <w:p>
            <w:pPr>
              <w:pStyle w:val="Compact"/>
              <w:spacing w:after="0" w:before="0" w:line="240" w:lineRule="auto"/>
              <w:jc w:val="left"/>
            </w:pPr>
            <w:r>
              <w:rPr>
                <w:sz w:val="19"/>
              </w:rPr>
              <w:t xml:space="preserve">Ferreira et al.,</w:t>
            </w:r>
            <w:r>
              <w:rPr>
                <w:sz w:val="19"/>
              </w:rPr>
              <w:t xml:space="preserve"> </w:t>
            </w:r>
            <w:r>
              <w:rPr>
                <w:i/>
                <w:iCs/>
                <w:sz w:val="19"/>
              </w:rPr>
              <w:t xml:space="preserve">Scientific Data</w:t>
            </w:r>
            <w:r>
              <w:rPr>
                <w:sz w:val="19"/>
              </w:rPr>
              <w:t xml:space="preserve"> </w:t>
            </w:r>
            <w:r>
              <w:rPr>
                <w:sz w:val="19"/>
              </w:rPr>
              <w:t xml:space="preserve">12, 1320 (2025)</w:t>
            </w:r>
          </w:p>
        </w:tc>
      </w:tr>
      <w:tr>
        <w:trPr>
          <w:cantSplit/>
        </w:trPr>
        <w:tc>
          <w:tcPr>
            <w:tcW w:type="dxa" w:w="1946"/>
          </w:tcPr>
          <w:p>
            <w:pPr>
              <w:pStyle w:val="Compact"/>
              <w:spacing w:after="0" w:before="0" w:line="240" w:lineRule="auto"/>
              <w:jc w:val="left"/>
            </w:pPr>
            <w:r>
              <w:rPr>
                <w:sz w:val="19"/>
              </w:rPr>
              <w:t xml:space="preserve">Dataset DOI</w:t>
            </w:r>
          </w:p>
        </w:tc>
        <w:tc>
          <w:tcPr>
            <w:tcW w:type="dxa" w:w="7238"/>
          </w:tcPr>
          <w:p>
            <w:pPr>
              <w:pStyle w:val="Compact"/>
              <w:spacing w:after="0" w:before="0" w:line="240" w:lineRule="auto"/>
              <w:jc w:val="left"/>
            </w:pPr>
            <w:r>
              <w:rPr>
                <w:sz w:val="19"/>
              </w:rPr>
              <w:t xml:space="preserve">10.17632/85fdtx3kr5.1 (Mendeley Data, version 1)</w:t>
            </w:r>
          </w:p>
        </w:tc>
      </w:tr>
      <w:tr>
        <w:trPr>
          <w:cantSplit/>
        </w:trPr>
        <w:tc>
          <w:tcPr>
            <w:tcW w:type="dxa" w:w="1946"/>
          </w:tcPr>
          <w:p>
            <w:pPr>
              <w:pStyle w:val="Compact"/>
              <w:spacing w:after="0" w:before="0" w:line="240" w:lineRule="auto"/>
              <w:jc w:val="left"/>
            </w:pPr>
            <w:r>
              <w:rPr>
                <w:sz w:val="19"/>
              </w:rPr>
              <w:t xml:space="preserve">Files used</w:t>
            </w:r>
          </w:p>
        </w:tc>
        <w:tc>
          <w:tcPr>
            <w:tcW w:type="dxa" w:w="7238"/>
          </w:tcPr>
          <w:p>
            <w:pPr>
              <w:pStyle w:val="Compact"/>
              <w:spacing w:after="0" w:before="0" w:line="240" w:lineRule="auto"/>
              <w:jc w:val="left"/>
            </w:pPr>
            <w:r>
              <w:rPr>
                <w:sz w:val="19"/>
              </w:rPr>
              <w:t xml:space="preserve">Daily origin-destination (OD) tables</w:t>
            </w:r>
            <w:r>
              <w:rPr>
                <w:sz w:val="19"/>
              </w:rPr>
              <w:t xml:space="preserve"> </w:t>
            </w:r>
            <w:r>
              <w:rPr>
                <w:rStyle w:val="VerbatimChar"/>
                <w:sz w:val="19"/>
              </w:rPr>
              <w:t xml:space="preserve">data/od/od-YYYY-MM-DD.parquet</w:t>
            </w:r>
            <w:r>
              <w:rPr>
                <w:sz w:val="19"/>
              </w:rPr>
              <w:t xml:space="preserve"> </w:t>
            </w:r>
            <w:r>
              <w:rPr>
                <w:sz w:val="19"/>
              </w:rPr>
              <w:t xml:space="preserve">from the LabIA-UFBA/SUNT GitHub repository</w:t>
            </w:r>
          </w:p>
        </w:tc>
      </w:tr>
      <w:tr>
        <w:trPr>
          <w:cantSplit/>
        </w:trPr>
        <w:tc>
          <w:tcPr>
            <w:tcW w:type="dxa" w:w="1946"/>
          </w:tcPr>
          <w:p>
            <w:pPr>
              <w:pStyle w:val="Compact"/>
              <w:spacing w:after="0" w:before="0" w:line="240" w:lineRule="auto"/>
              <w:jc w:val="left"/>
            </w:pPr>
            <w:r>
              <w:rPr>
                <w:sz w:val="19"/>
              </w:rPr>
              <w:t xml:space="preserve">Pinned version</w:t>
            </w:r>
          </w:p>
        </w:tc>
        <w:tc>
          <w:tcPr>
            <w:tcW w:type="dxa" w:w="7238"/>
          </w:tcPr>
          <w:p>
            <w:pPr>
              <w:pStyle w:val="Compact"/>
              <w:spacing w:after="0" w:before="0" w:line="240" w:lineRule="auto"/>
              <w:jc w:val="left"/>
            </w:pPr>
            <w:r>
              <w:rPr>
                <w:sz w:val="19"/>
              </w:rPr>
              <w:t xml:space="preserve">SUNT commit</w:t>
            </w:r>
            <w:r>
              <w:rPr>
                <w:sz w:val="19"/>
              </w:rPr>
              <w:t xml:space="preserve"> </w:t>
            </w:r>
            <w:r>
              <w:rPr>
                <w:rStyle w:val="VerbatimChar"/>
                <w:sz w:val="19"/>
              </w:rPr>
              <w:t xml:space="preserve">f8d90fb38f3b1a6f74a18f0298d72fe0c6eaa54c</w:t>
            </w:r>
          </w:p>
        </w:tc>
      </w:tr>
      <w:tr>
        <w:trPr>
          <w:cantSplit/>
        </w:trPr>
        <w:tc>
          <w:tcPr>
            <w:tcW w:type="dxa" w:w="1946"/>
          </w:tcPr>
          <w:p>
            <w:pPr>
              <w:pStyle w:val="Compact"/>
              <w:spacing w:after="0" w:before="0" w:line="240" w:lineRule="auto"/>
              <w:jc w:val="left"/>
            </w:pPr>
            <w:r>
              <w:rPr>
                <w:sz w:val="19"/>
              </w:rPr>
              <w:t xml:space="preserve">Period</w:t>
            </w:r>
          </w:p>
        </w:tc>
        <w:tc>
          <w:tcPr>
            <w:tcW w:type="dxa" w:w="7238"/>
          </w:tcPr>
          <w:p>
            <w:pPr>
              <w:pStyle w:val="Compact"/>
              <w:spacing w:after="0" w:before="0" w:line="240" w:lineRule="auto"/>
              <w:jc w:val="left"/>
            </w:pPr>
            <w:r>
              <w:rPr>
                <w:sz w:val="19"/>
              </w:rPr>
              <w:t xml:space="preserve">1 March–28 April 2024: 59 daily files, about 510 MB</w:t>
            </w:r>
          </w:p>
        </w:tc>
      </w:tr>
      <w:tr>
        <w:trPr>
          <w:cantSplit/>
        </w:trPr>
        <w:tc>
          <w:tcPr>
            <w:tcW w:type="dxa" w:w="1946"/>
          </w:tcPr>
          <w:p>
            <w:pPr>
              <w:pStyle w:val="Compact"/>
              <w:spacing w:after="0" w:before="0" w:line="240" w:lineRule="auto"/>
              <w:jc w:val="left"/>
            </w:pPr>
            <w:r>
              <w:rPr>
                <w:sz w:val="19"/>
              </w:rPr>
              <w:t xml:space="preserve">Integrity</w:t>
            </w:r>
          </w:p>
        </w:tc>
        <w:tc>
          <w:tcPr>
            <w:tcW w:type="dxa" w:w="7238"/>
          </w:tcPr>
          <w:p>
            <w:pPr>
              <w:pStyle w:val="Compact"/>
              <w:spacing w:after="0" w:before="0" w:line="240" w:lineRule="auto"/>
              <w:jc w:val="left"/>
            </w:pPr>
            <w:r>
              <w:rPr>
                <w:sz w:val="19"/>
              </w:rPr>
              <w:t xml:space="preserve">SHA-256 checksum of every file, in</w:t>
            </w:r>
            <w:r>
              <w:rPr>
                <w:sz w:val="19"/>
              </w:rPr>
              <w:t xml:space="preserve"> </w:t>
            </w:r>
            <w:r>
              <w:rPr>
                <w:rStyle w:val="VerbatimChar"/>
                <w:sz w:val="19"/>
              </w:rPr>
              <w:t xml:space="preserve">data/manifest/sunt_od_manifest.csv</w:t>
            </w:r>
          </w:p>
        </w:tc>
      </w:tr>
    </w:tbl>
    <w:p>
      <w:pPr>
        <w:pStyle w:val="BodyText"/>
        <w:spacing w:before="160"/>
      </w:pPr>
      <w:r>
        <w:t xml:space="preserve">29 and 30 April 2024 are excluded because those files cover noticeably fewer routes than other weekdays.</w:t>
      </w:r>
    </w:p>
    <w:p>
      <w:pPr>
        <w:pStyle w:val="BodyText"/>
      </w:pPr>
      <w:r>
        <w:t xml:space="preserve">Each OD row is one vehicle stop event on a trip (route, direction, trip, stop, timestamp) with the number of boardings, the number of inferred alightings and the estimated load. According to the SUNT description, boardings come from contactless fare-card validations matched to vehicle GPS. Salvador has no exit validators, so</w:t>
      </w:r>
      <w:r>
        <w:t xml:space="preserve"> </w:t>
      </w:r>
      <w:r>
        <w:rPr>
          <w:b/>
          <w:bCs/>
        </w:rPr>
        <w:t xml:space="preserve">alightings are inferred</w:t>
      </w:r>
      <w:r>
        <w:t xml:space="preserve"> </w:t>
      </w:r>
      <w:r>
        <w:t xml:space="preserve">by trip chaining: a passenger’s alighting stop is taken from their next boarding, within walking distance. Load is boardings minus inferred alightings, accumulated along the trip, and is therefore an estimate.</w:t>
      </w:r>
    </w:p>
    <w:bookmarkEnd w:id="28"/>
    <w:bookmarkStart w:id="29" w:name="licence"/>
    <w:p>
      <w:pPr>
        <w:pStyle w:val="Heading2"/>
      </w:pPr>
      <w:r>
        <w:t xml:space="preserve">2.3 Licence</w:t>
      </w:r>
    </w:p>
    <w:p>
      <w:pPr>
        <w:pStyle w:val="FirstParagraph"/>
      </w:pPr>
      <w:r>
        <w:t xml:space="preserve">The SUNT data is licensed</w:t>
      </w:r>
      <w:r>
        <w:t xml:space="preserve"> </w:t>
      </w:r>
      <w:r>
        <w:rPr>
          <w:b/>
          <w:bCs/>
        </w:rPr>
        <w:t xml:space="preserve">CC BY 4.0</w:t>
      </w:r>
      <w:r>
        <w:t xml:space="preserve">. The team checked this on 24 October 2026 on all three hosts: the GitHub README, the Mendeley Data record and the Hugging Face dataset card. CC BY 4.0 allows sharing adapted data with attribution, a link to the licence and a statement of changes. Our changes are: selection of 59 daily files at the pinned commit; renaming of columns; aggregation from stop events to route × direction × hour; and removal of stop, vehicle and register identifiers from the output. No values were edited, capped or removed. Raw SUNT files are never committed to our repository; the pipeline downloads them.</w:t>
      </w:r>
    </w:p>
    <w:p>
      <w:pPr>
        <w:pStyle w:val="BodyText"/>
      </w:pPr>
      <w:r>
        <w:t xml:space="preserve">The</w:t>
      </w:r>
      <w:r>
        <w:t xml:space="preserve"> </w:t>
      </w:r>
      <w:r>
        <w:rPr>
          <w:i/>
          <w:iCs/>
        </w:rPr>
        <w:t xml:space="preserve">Scientific Data</w:t>
      </w:r>
      <w:r>
        <w:t xml:space="preserve"> </w:t>
      </w:r>
      <w:r>
        <w:t xml:space="preserve">article carries its own licence (CC BY-NC-ND 4.0 according to its rights section). We cite it; we do not reproduce its text.</w:t>
      </w:r>
    </w:p>
    <w:p>
      <w:pPr>
        <w:pStyle w:val="BodyText"/>
      </w:pPr>
      <w:r>
        <w:t xml:space="preserve">No code was copied from the repositories that have no licence (the SUNT examples repository and the Aarhus thesis repository). They were read for ideas and are cited (decision D6). The licence for our own code is still to be agreed by the team.</w:t>
      </w:r>
    </w:p>
    <w:bookmarkEnd w:id="29"/>
    <w:bookmarkStart w:id="30" w:name="data-quality-measured"/>
    <w:p>
      <w:pPr>
        <w:pStyle w:val="Heading2"/>
      </w:pPr>
      <w:r>
        <w:t xml:space="preserve">2.4 Data quality (measured)</w:t>
      </w:r>
    </w:p>
    <w:p>
      <w:pPr>
        <w:pStyle w:val="FirstParagraph"/>
        <w:keepNext/>
      </w:pPr>
      <w:r>
        <w:t xml:space="preserve">The build step (</w:t>
      </w:r>
      <w:r>
        <w:rPr>
          <w:rStyle w:val="VerbatimChar"/>
        </w:rPr>
        <w:t xml:space="preserve">python -m transit.data.build</w:t>
      </w:r>
      <w:r>
        <w:t xml:space="preserve">) writes</w:t>
      </w:r>
      <w:r>
        <w:t xml:space="preserve"> </w:t>
      </w:r>
      <w:r>
        <w:rPr>
          <w:rStyle w:val="VerbatimChar"/>
        </w:rPr>
        <w:t xml:space="preserve">data/processed/quality_report.json</w:t>
      </w:r>
      <w:r>
        <w:t xml:space="preserve">. All six automated checks passed.</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5071"/>
        <w:gridCol w:w="4112"/>
      </w:tblGrid>
      <w:tr>
        <w:trPr>
          <w:tblHeader w:val="true"/>
          <w:cantSplit/>
          <w:tblHeader/>
        </w:trPr>
        <w:tc>
          <w:tcPr>
            <w:tcW w:type="dxa" w:w="5072"/>
            <w:shd w:val="clear" w:color="auto" w:fill="DCE3F0"/>
          </w:tcPr>
          <w:p>
            <w:pPr>
              <w:pStyle w:val="Compact"/>
              <w:spacing w:after="0" w:before="0" w:line="240" w:lineRule="auto"/>
              <w:jc w:val="left"/>
            </w:pPr>
            <w:r>
              <w:rPr>
                <w:b/>
                <w:sz w:val="19"/>
              </w:rPr>
              <w:t xml:space="preserve">Measure</w:t>
            </w:r>
          </w:p>
        </w:tc>
        <w:tc>
          <w:tcPr>
            <w:tcW w:type="dxa" w:w="4113"/>
            <w:shd w:val="clear" w:color="auto" w:fill="DCE3F0"/>
          </w:tcPr>
          <w:p>
            <w:pPr>
              <w:pStyle w:val="Compact"/>
              <w:spacing w:after="0" w:before="0" w:line="240" w:lineRule="auto"/>
              <w:jc w:val="left"/>
            </w:pPr>
            <w:r>
              <w:rPr>
                <w:b/>
                <w:sz w:val="19"/>
              </w:rPr>
              <w:t xml:space="preserve">Value</w:t>
            </w:r>
          </w:p>
        </w:tc>
      </w:tr>
      <w:tr>
        <w:trPr>
          <w:cantSplit/>
        </w:trPr>
        <w:tc>
          <w:tcPr>
            <w:tcW w:type="dxa" w:w="5072"/>
          </w:tcPr>
          <w:p>
            <w:pPr>
              <w:pStyle w:val="Compact"/>
              <w:spacing w:after="0" w:before="0" w:line="240" w:lineRule="auto"/>
              <w:jc w:val="left"/>
            </w:pPr>
            <w:r>
              <w:rPr>
                <w:sz w:val="19"/>
              </w:rPr>
              <w:t xml:space="preserve">Stop events read</w:t>
            </w:r>
          </w:p>
        </w:tc>
        <w:tc>
          <w:tcPr>
            <w:tcW w:type="dxa" w:w="4113"/>
          </w:tcPr>
          <w:p>
            <w:pPr>
              <w:pStyle w:val="Compact"/>
              <w:spacing w:after="0" w:before="0" w:line="240" w:lineRule="auto"/>
              <w:jc w:val="left"/>
            </w:pPr>
            <w:r>
              <w:rPr>
                <w:sz w:val="19"/>
              </w:rPr>
              <w:t xml:space="preserve">37,600,997</w:t>
            </w:r>
          </w:p>
        </w:tc>
      </w:tr>
      <w:tr>
        <w:trPr>
          <w:cantSplit/>
        </w:trPr>
        <w:tc>
          <w:tcPr>
            <w:tcW w:type="dxa" w:w="5072"/>
          </w:tcPr>
          <w:p>
            <w:pPr>
              <w:pStyle w:val="Compact"/>
              <w:spacing w:after="0" w:before="0" w:line="240" w:lineRule="auto"/>
              <w:jc w:val="left"/>
            </w:pPr>
            <w:r>
              <w:rPr>
                <w:sz w:val="19"/>
              </w:rPr>
              <w:t xml:space="preserve">Route-hour rows produced</w:t>
            </w:r>
          </w:p>
        </w:tc>
        <w:tc>
          <w:tcPr>
            <w:tcW w:type="dxa" w:w="4113"/>
          </w:tcPr>
          <w:p>
            <w:pPr>
              <w:pStyle w:val="Compact"/>
              <w:spacing w:after="0" w:before="0" w:line="240" w:lineRule="auto"/>
              <w:jc w:val="left"/>
            </w:pPr>
            <w:r>
              <w:rPr>
                <w:sz w:val="19"/>
              </w:rPr>
              <w:t xml:space="preserve">541,611</w:t>
            </w:r>
          </w:p>
        </w:tc>
      </w:tr>
      <w:tr>
        <w:trPr>
          <w:cantSplit/>
        </w:trPr>
        <w:tc>
          <w:tcPr>
            <w:tcW w:type="dxa" w:w="5072"/>
          </w:tcPr>
          <w:p>
            <w:pPr>
              <w:pStyle w:val="Compact"/>
              <w:spacing w:after="0" w:before="0" w:line="240" w:lineRule="auto"/>
              <w:jc w:val="left"/>
            </w:pPr>
            <w:r>
              <w:rPr>
                <w:sz w:val="19"/>
              </w:rPr>
              <w:t xml:space="preserve">Routes; route-directions</w:t>
            </w:r>
          </w:p>
        </w:tc>
        <w:tc>
          <w:tcPr>
            <w:tcW w:type="dxa" w:w="4113"/>
          </w:tcPr>
          <w:p>
            <w:pPr>
              <w:pStyle w:val="Compact"/>
              <w:spacing w:after="0" w:before="0" w:line="240" w:lineRule="auto"/>
              <w:jc w:val="left"/>
            </w:pPr>
            <w:r>
              <w:rPr>
                <w:sz w:val="19"/>
              </w:rPr>
              <w:t xml:space="preserve">410; 713</w:t>
            </w:r>
          </w:p>
        </w:tc>
      </w:tr>
      <w:tr>
        <w:trPr>
          <w:cantSplit/>
        </w:trPr>
        <w:tc>
          <w:tcPr>
            <w:tcW w:type="dxa" w:w="5072"/>
          </w:tcPr>
          <w:p>
            <w:pPr>
              <w:pStyle w:val="Compact"/>
              <w:spacing w:after="0" w:before="0" w:line="240" w:lineRule="auto"/>
              <w:jc w:val="left"/>
            </w:pPr>
            <w:r>
              <w:rPr>
                <w:sz w:val="19"/>
              </w:rPr>
              <w:t xml:space="preserve">Total boardings</w:t>
            </w:r>
          </w:p>
        </w:tc>
        <w:tc>
          <w:tcPr>
            <w:tcW w:type="dxa" w:w="4113"/>
          </w:tcPr>
          <w:p>
            <w:pPr>
              <w:pStyle w:val="Compact"/>
              <w:spacing w:after="0" w:before="0" w:line="240" w:lineRule="auto"/>
              <w:jc w:val="left"/>
            </w:pPr>
            <w:r>
              <w:rPr>
                <w:sz w:val="19"/>
              </w:rPr>
              <w:t xml:space="preserve">51,353,180</w:t>
            </w:r>
          </w:p>
        </w:tc>
      </w:tr>
      <w:tr>
        <w:trPr>
          <w:cantSplit/>
        </w:trPr>
        <w:tc>
          <w:tcPr>
            <w:tcW w:type="dxa" w:w="5072"/>
          </w:tcPr>
          <w:p>
            <w:pPr>
              <w:pStyle w:val="Compact"/>
              <w:spacing w:after="0" w:before="0" w:line="240" w:lineRule="auto"/>
              <w:jc w:val="left"/>
            </w:pPr>
            <w:r>
              <w:rPr>
                <w:sz w:val="19"/>
              </w:rPr>
              <w:t xml:space="preserve">Burst stop events (more than 100 boardings at one stop)</w:t>
            </w:r>
          </w:p>
        </w:tc>
        <w:tc>
          <w:tcPr>
            <w:tcW w:type="dxa" w:w="4113"/>
          </w:tcPr>
          <w:p>
            <w:pPr>
              <w:pStyle w:val="Compact"/>
              <w:spacing w:after="0" w:before="0" w:line="240" w:lineRule="auto"/>
              <w:jc w:val="left"/>
            </w:pPr>
            <w:r>
              <w:rPr>
                <w:sz w:val="19"/>
              </w:rPr>
              <w:t xml:space="preserve">2,685</w:t>
            </w:r>
          </w:p>
        </w:tc>
      </w:tr>
      <w:tr>
        <w:trPr>
          <w:cantSplit/>
        </w:trPr>
        <w:tc>
          <w:tcPr>
            <w:tcW w:type="dxa" w:w="5072"/>
          </w:tcPr>
          <w:p>
            <w:pPr>
              <w:pStyle w:val="Compact"/>
              <w:spacing w:after="0" w:before="0" w:line="240" w:lineRule="auto"/>
              <w:jc w:val="left"/>
            </w:pPr>
            <w:r>
              <w:rPr>
                <w:sz w:val="19"/>
              </w:rPr>
              <w:t xml:space="preserve">Trips repeating a stop sequence number (malformed)</w:t>
            </w:r>
          </w:p>
        </w:tc>
        <w:tc>
          <w:tcPr>
            <w:tcW w:type="dxa" w:w="4113"/>
          </w:tcPr>
          <w:p>
            <w:pPr>
              <w:pStyle w:val="Compact"/>
              <w:spacing w:after="0" w:before="0" w:line="240" w:lineRule="auto"/>
              <w:jc w:val="left"/>
            </w:pPr>
            <w:r>
              <w:rPr>
                <w:sz w:val="19"/>
              </w:rPr>
              <w:t xml:space="preserve">222 of 1,168,044 (0.019%), in 116 route-hours</w:t>
            </w:r>
          </w:p>
        </w:tc>
      </w:tr>
      <w:tr>
        <w:trPr>
          <w:cantSplit/>
        </w:trPr>
        <w:tc>
          <w:tcPr>
            <w:tcW w:type="dxa" w:w="5072"/>
          </w:tcPr>
          <w:p>
            <w:pPr>
              <w:pStyle w:val="Compact"/>
              <w:spacing w:after="0" w:before="0" w:line="240" w:lineRule="auto"/>
              <w:jc w:val="left"/>
            </w:pPr>
            <w:r>
              <w:rPr>
                <w:sz w:val="19"/>
              </w:rPr>
              <w:t xml:space="preserve">Raw stop events with a negative value</w:t>
            </w:r>
          </w:p>
        </w:tc>
        <w:tc>
          <w:tcPr>
            <w:tcW w:type="dxa" w:w="4113"/>
          </w:tcPr>
          <w:p>
            <w:pPr>
              <w:pStyle w:val="Compact"/>
              <w:spacing w:after="0" w:before="0" w:line="240" w:lineRule="auto"/>
              <w:jc w:val="left"/>
            </w:pPr>
            <w:r>
              <w:rPr>
                <w:sz w:val="19"/>
              </w:rPr>
              <w:t xml:space="preserve">1</w:t>
            </w:r>
          </w:p>
        </w:tc>
      </w:tr>
      <w:tr>
        <w:trPr>
          <w:cantSplit/>
        </w:trPr>
        <w:tc>
          <w:tcPr>
            <w:tcW w:type="dxa" w:w="5072"/>
          </w:tcPr>
          <w:p>
            <w:pPr>
              <w:pStyle w:val="Compact"/>
              <w:spacing w:after="0" w:before="0" w:line="240" w:lineRule="auto"/>
              <w:jc w:val="left"/>
            </w:pPr>
            <w:r>
              <w:rPr>
                <w:sz w:val="19"/>
              </w:rPr>
              <w:t xml:space="preserve">Route-hours with no load value</w:t>
            </w:r>
          </w:p>
        </w:tc>
        <w:tc>
          <w:tcPr>
            <w:tcW w:type="dxa" w:w="4113"/>
          </w:tcPr>
          <w:p>
            <w:pPr>
              <w:pStyle w:val="Compact"/>
              <w:spacing w:after="0" w:before="0" w:line="240" w:lineRule="auto"/>
              <w:jc w:val="left"/>
            </w:pPr>
            <w:r>
              <w:rPr>
                <w:sz w:val="19"/>
              </w:rPr>
              <w:t xml:space="preserve">340</w:t>
            </w:r>
          </w:p>
        </w:tc>
      </w:tr>
      <w:tr>
        <w:trPr>
          <w:cantSplit/>
        </w:trPr>
        <w:tc>
          <w:tcPr>
            <w:tcW w:type="dxa" w:w="5072"/>
          </w:tcPr>
          <w:p>
            <w:pPr>
              <w:pStyle w:val="Compact"/>
              <w:spacing w:after="0" w:before="0" w:line="240" w:lineRule="auto"/>
              <w:jc w:val="left"/>
            </w:pPr>
            <w:r>
              <w:rPr>
                <w:sz w:val="19"/>
              </w:rPr>
              <w:t xml:space="preserve">Highest estimated load at one stop event</w:t>
            </w:r>
          </w:p>
        </w:tc>
        <w:tc>
          <w:tcPr>
            <w:tcW w:type="dxa" w:w="4113"/>
          </w:tcPr>
          <w:p>
            <w:pPr>
              <w:pStyle w:val="Compact"/>
              <w:spacing w:after="0" w:before="0" w:line="240" w:lineRule="auto"/>
              <w:jc w:val="left"/>
            </w:pPr>
            <w:r>
              <w:rPr>
                <w:sz w:val="19"/>
              </w:rPr>
              <w:t xml:space="preserve">469.6</w:t>
            </w:r>
          </w:p>
        </w:tc>
      </w:tr>
    </w:tbl>
    <w:p>
      <w:pPr>
        <w:pStyle w:val="BodyText"/>
        <w:spacing w:before="160"/>
      </w:pPr>
      <w:r>
        <w:t xml:space="preserve">The six checks are: unique (route, direction, hour) keys; all 59 days present; boardings conserved exactly between raw and aggregated data (largest relative difference 0); no negative aggregated values; malformed trips under 0.1%; and no stop events outside a 30-hour service window.</w:t>
      </w:r>
    </w:p>
    <w:p>
      <w:pPr>
        <w:pStyle w:val="BodyText"/>
      </w:pPr>
      <w:r>
        <w:rPr>
          <w:b/>
          <w:bCs/>
        </w:rPr>
        <w:t xml:space="preserve">External plausibility check.</w:t>
      </w:r>
      <w:r>
        <w:t xml:space="preserve"> </w:t>
      </w:r>
      <w:r>
        <w:t xml:space="preserve">Salvador’s mobility department reports that the conventional bus system carried about 1.25 million passengers per day in 2024 (Prefeitura de Salvador, 2025). SUNT’s mean over the 40 ordinary weekdays in our period is 1,061,538 recorded boardings, about 85% of that figure. The gap is consistent with SUNT’s documented exclusions (riders aged 65 and over travel without cards; some validations cannot be matched to a trip). Because the published figure is rounded and its day basis is not stated, this is a sanity check, not a reconciliation.</w:t>
      </w:r>
    </w:p>
    <w:bookmarkEnd w:id="30"/>
    <w:bookmarkStart w:id="31" w:name="data-limitations-and-how-each-is-handled"/>
    <w:p>
      <w:pPr>
        <w:pStyle w:val="Heading2"/>
        <w:keepNext/>
      </w:pPr>
      <w:r>
        <w:t xml:space="preserve">2.5 Data limitations and how each is handled</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3442"/>
        <w:gridCol w:w="3102"/>
        <w:gridCol w:w="2638"/>
      </w:tblGrid>
      <w:tr>
        <w:trPr>
          <w:tblHeader w:val="true"/>
          <w:cantSplit/>
          <w:tblHeader/>
        </w:trPr>
        <w:tc>
          <w:tcPr>
            <w:tcW w:type="dxa" w:w="3443"/>
            <w:shd w:val="clear" w:color="auto" w:fill="DCE3F0"/>
          </w:tcPr>
          <w:p>
            <w:pPr>
              <w:pStyle w:val="Compact"/>
              <w:spacing w:after="0" w:before="0" w:line="240" w:lineRule="auto"/>
              <w:jc w:val="left"/>
            </w:pPr>
            <w:r>
              <w:rPr>
                <w:b/>
                <w:sz w:val="19"/>
              </w:rPr>
              <w:t xml:space="preserve">Limitation</w:t>
            </w:r>
          </w:p>
        </w:tc>
        <w:tc>
          <w:tcPr>
            <w:tcW w:type="dxa" w:w="3103"/>
            <w:shd w:val="clear" w:color="auto" w:fill="DCE3F0"/>
          </w:tcPr>
          <w:p>
            <w:pPr>
              <w:pStyle w:val="Compact"/>
              <w:spacing w:after="0" w:before="0" w:line="240" w:lineRule="auto"/>
              <w:jc w:val="left"/>
            </w:pPr>
            <w:r>
              <w:rPr>
                <w:b/>
                <w:sz w:val="19"/>
              </w:rPr>
              <w:t xml:space="preserve">Effect</w:t>
            </w:r>
          </w:p>
        </w:tc>
        <w:tc>
          <w:tcPr>
            <w:tcW w:type="dxa" w:w="2638"/>
            <w:shd w:val="clear" w:color="auto" w:fill="DCE3F0"/>
          </w:tcPr>
          <w:p>
            <w:pPr>
              <w:pStyle w:val="Compact"/>
              <w:spacing w:after="0" w:before="0" w:line="240" w:lineRule="auto"/>
              <w:jc w:val="left"/>
            </w:pPr>
            <w:r>
              <w:rPr>
                <w:b/>
                <w:sz w:val="19"/>
              </w:rPr>
              <w:t xml:space="preserve">Handling (decision)</w:t>
            </w:r>
          </w:p>
        </w:tc>
      </w:tr>
      <w:tr>
        <w:trPr>
          <w:cantSplit/>
        </w:trPr>
        <w:tc>
          <w:tcPr>
            <w:tcW w:type="dxa" w:w="3443"/>
          </w:tcPr>
          <w:p>
            <w:pPr>
              <w:pStyle w:val="Compact"/>
              <w:spacing w:after="0" w:before="0" w:line="240" w:lineRule="auto"/>
              <w:jc w:val="left"/>
            </w:pPr>
            <w:r>
              <w:rPr>
                <w:sz w:val="19"/>
              </w:rPr>
              <w:t xml:space="preserve">Alightings are inferred, not counted</w:t>
            </w:r>
          </w:p>
        </w:tc>
        <w:tc>
          <w:tcPr>
            <w:tcW w:type="dxa" w:w="3103"/>
          </w:tcPr>
          <w:p>
            <w:pPr>
              <w:pStyle w:val="Compact"/>
              <w:spacing w:after="0" w:before="0" w:line="240" w:lineRule="auto"/>
              <w:jc w:val="left"/>
            </w:pPr>
            <w:r>
              <w:rPr>
                <w:sz w:val="19"/>
              </w:rPr>
              <w:t xml:space="preserve">Load is an estimate</w:t>
            </w:r>
          </w:p>
        </w:tc>
        <w:tc>
          <w:tcPr>
            <w:tcW w:type="dxa" w:w="2638"/>
          </w:tcPr>
          <w:p>
            <w:pPr>
              <w:pStyle w:val="Compact"/>
              <w:spacing w:after="0" w:before="0" w:line="240" w:lineRule="auto"/>
              <w:jc w:val="left"/>
            </w:pPr>
            <w:r>
              <w:rPr>
                <w:sz w:val="19"/>
              </w:rPr>
              <w:t xml:space="preserve">Called</w:t>
            </w:r>
            <w:r>
              <w:rPr>
                <w:sz w:val="19"/>
              </w:rPr>
              <w:t xml:space="preserve"> </w:t>
            </w:r>
            <w:r>
              <w:rPr>
                <w:sz w:val="19"/>
              </w:rPr>
              <w:t xml:space="preserve">“</w:t>
            </w:r>
            <w:r>
              <w:rPr>
                <w:sz w:val="19"/>
              </w:rPr>
              <w:t xml:space="preserve">estimated on-board load</w:t>
            </w:r>
            <w:r>
              <w:rPr>
                <w:sz w:val="19"/>
              </w:rPr>
              <w:t xml:space="preserve">”</w:t>
            </w:r>
            <w:r>
              <w:rPr>
                <w:sz w:val="19"/>
              </w:rPr>
              <w:t xml:space="preserve"> </w:t>
            </w:r>
            <w:r>
              <w:rPr>
                <w:sz w:val="19"/>
              </w:rPr>
              <w:t xml:space="preserve">everywhere (D2)</w:t>
            </w:r>
          </w:p>
        </w:tc>
      </w:tr>
      <w:tr>
        <w:trPr>
          <w:cantSplit/>
        </w:trPr>
        <w:tc>
          <w:tcPr>
            <w:tcW w:type="dxa" w:w="3443"/>
          </w:tcPr>
          <w:p>
            <w:pPr>
              <w:pStyle w:val="Compact"/>
              <w:spacing w:after="0" w:before="0" w:line="240" w:lineRule="auto"/>
              <w:jc w:val="left"/>
            </w:pPr>
            <w:r>
              <w:rPr>
                <w:sz w:val="19"/>
              </w:rPr>
              <w:t xml:space="preserve">Riders aged 65+ have no card</w:t>
            </w:r>
          </w:p>
        </w:tc>
        <w:tc>
          <w:tcPr>
            <w:tcW w:type="dxa" w:w="3103"/>
          </w:tcPr>
          <w:p>
            <w:pPr>
              <w:pStyle w:val="Compact"/>
              <w:spacing w:after="0" w:before="0" w:line="240" w:lineRule="auto"/>
              <w:jc w:val="left"/>
            </w:pPr>
            <w:r>
              <w:rPr>
                <w:sz w:val="19"/>
              </w:rPr>
              <w:t xml:space="preserve">Demand and load are under-counted</w:t>
            </w:r>
          </w:p>
        </w:tc>
        <w:tc>
          <w:tcPr>
            <w:tcW w:type="dxa" w:w="2638"/>
          </w:tcPr>
          <w:p>
            <w:pPr>
              <w:pStyle w:val="Compact"/>
              <w:spacing w:after="0" w:before="0" w:line="240" w:lineRule="auto"/>
              <w:jc w:val="left"/>
            </w:pPr>
            <w:r>
              <w:rPr>
                <w:sz w:val="19"/>
              </w:rPr>
              <w:t xml:space="preserve">Stated as a limitation</w:t>
            </w:r>
          </w:p>
        </w:tc>
      </w:tr>
      <w:tr>
        <w:trPr>
          <w:cantSplit/>
        </w:trPr>
        <w:tc>
          <w:tcPr>
            <w:tcW w:type="dxa" w:w="3443"/>
          </w:tcPr>
          <w:p>
            <w:pPr>
              <w:pStyle w:val="Compact"/>
              <w:spacing w:after="0" w:before="0" w:line="240" w:lineRule="auto"/>
              <w:jc w:val="left"/>
            </w:pPr>
            <w:r>
              <w:rPr>
                <w:sz w:val="19"/>
              </w:rPr>
              <w:t xml:space="preserve">No vehicle capacity in the data</w:t>
            </w:r>
          </w:p>
        </w:tc>
        <w:tc>
          <w:tcPr>
            <w:tcW w:type="dxa" w:w="3103"/>
          </w:tcPr>
          <w:p>
            <w:pPr>
              <w:pStyle w:val="Compact"/>
              <w:spacing w:after="0" w:before="0" w:line="240" w:lineRule="auto"/>
              <w:jc w:val="left"/>
            </w:pPr>
            <w:r>
              <w:rPr>
                <w:sz w:val="19"/>
              </w:rPr>
              <w:t xml:space="preserve">Crowding needs an assumption</w:t>
            </w:r>
          </w:p>
        </w:tc>
        <w:tc>
          <w:tcPr>
            <w:tcW w:type="dxa" w:w="2638"/>
          </w:tcPr>
          <w:p>
            <w:pPr>
              <w:pStyle w:val="Compact"/>
              <w:spacing w:after="0" w:before="0" w:line="240" w:lineRule="auto"/>
              <w:jc w:val="left"/>
            </w:pPr>
            <w:r>
              <w:rPr>
                <w:sz w:val="19"/>
              </w:rPr>
              <w:t xml:space="preserve">ABNT NBR 15570 capacities, four scenarios (D10)</w:t>
            </w:r>
          </w:p>
        </w:tc>
      </w:tr>
      <w:tr>
        <w:trPr>
          <w:cantSplit/>
        </w:trPr>
        <w:tc>
          <w:tcPr>
            <w:tcW w:type="dxa" w:w="3443"/>
          </w:tcPr>
          <w:p>
            <w:pPr>
              <w:pStyle w:val="Compact"/>
              <w:spacing w:after="0" w:before="0" w:line="240" w:lineRule="auto"/>
              <w:jc w:val="left"/>
            </w:pPr>
            <w:r>
              <w:rPr>
                <w:sz w:val="19"/>
              </w:rPr>
              <w:t xml:space="preserve">Burst validations at terminals (99.8% at 10 stops, first stop of a trip, peak hours)</w:t>
            </w:r>
          </w:p>
        </w:tc>
        <w:tc>
          <w:tcPr>
            <w:tcW w:type="dxa" w:w="3103"/>
          </w:tcPr>
          <w:p>
            <w:pPr>
              <w:pStyle w:val="Compact"/>
              <w:spacing w:after="0" w:before="0" w:line="240" w:lineRule="auto"/>
              <w:jc w:val="left"/>
            </w:pPr>
            <w:r>
              <w:rPr>
                <w:sz w:val="19"/>
              </w:rPr>
              <w:t xml:space="preserve">Very large single-stop counts; highest load 469.6</w:t>
            </w:r>
          </w:p>
        </w:tc>
        <w:tc>
          <w:tcPr>
            <w:tcW w:type="dxa" w:w="2638"/>
          </w:tcPr>
          <w:p>
            <w:pPr>
              <w:pStyle w:val="Compact"/>
              <w:spacing w:after="0" w:before="0" w:line="240" w:lineRule="auto"/>
              <w:jc w:val="left"/>
            </w:pPr>
            <w:r>
              <w:rPr>
                <w:sz w:val="19"/>
              </w:rPr>
              <w:t xml:space="preserve">Kept and flagged, reported separately, not capped (D11)</w:t>
            </w:r>
          </w:p>
        </w:tc>
      </w:tr>
      <w:tr>
        <w:trPr>
          <w:cantSplit/>
        </w:trPr>
        <w:tc>
          <w:tcPr>
            <w:tcW w:type="dxa" w:w="3443"/>
          </w:tcPr>
          <w:p>
            <w:pPr>
              <w:pStyle w:val="Compact"/>
              <w:spacing w:after="0" w:before="0" w:line="240" w:lineRule="auto"/>
              <w:jc w:val="left"/>
            </w:pPr>
            <w:r>
              <w:rPr>
                <w:sz w:val="19"/>
              </w:rPr>
              <w:t xml:space="preserve">222 malformed trips on 2–3 April (three route-directions)</w:t>
            </w:r>
          </w:p>
        </w:tc>
        <w:tc>
          <w:tcPr>
            <w:tcW w:type="dxa" w:w="3103"/>
          </w:tcPr>
          <w:p>
            <w:pPr>
              <w:pStyle w:val="Compact"/>
              <w:spacing w:after="0" w:before="0" w:line="240" w:lineRule="auto"/>
              <w:jc w:val="left"/>
            </w:pPr>
            <w:r>
              <w:rPr>
                <w:sz w:val="19"/>
              </w:rPr>
              <w:t xml:space="preserve">Load chain broken</w:t>
            </w:r>
          </w:p>
        </w:tc>
        <w:tc>
          <w:tcPr>
            <w:tcW w:type="dxa" w:w="2638"/>
          </w:tcPr>
          <w:p>
            <w:pPr>
              <w:pStyle w:val="Compact"/>
              <w:spacing w:after="0" w:before="0" w:line="240" w:lineRule="auto"/>
              <w:jc w:val="left"/>
            </w:pPr>
            <w:r>
              <w:rPr>
                <w:sz w:val="19"/>
              </w:rPr>
              <w:t xml:space="preserve">Flagged; their loads are never used as targets (D9)</w:t>
            </w:r>
          </w:p>
        </w:tc>
      </w:tr>
      <w:tr>
        <w:trPr>
          <w:cantSplit/>
        </w:trPr>
        <w:tc>
          <w:tcPr>
            <w:tcW w:type="dxa" w:w="3443"/>
          </w:tcPr>
          <w:p>
            <w:pPr>
              <w:pStyle w:val="Compact"/>
              <w:spacing w:after="0" w:before="0" w:line="240" w:lineRule="auto"/>
              <w:jc w:val="left"/>
            </w:pPr>
            <w:r>
              <w:rPr>
                <w:sz w:val="19"/>
              </w:rPr>
              <w:t xml:space="preserve">Absent route-hours:</w:t>
            </w:r>
            <w:r>
              <w:rPr>
                <w:sz w:val="19"/>
              </w:rPr>
              <w:t xml:space="preserve"> </w:t>
            </w:r>
            <w:r>
              <w:rPr>
                <w:sz w:val="19"/>
              </w:rPr>
              <w:t xml:space="preserve">“</w:t>
            </w:r>
            <w:r>
              <w:rPr>
                <w:sz w:val="19"/>
              </w:rPr>
              <w:t xml:space="preserve">no bus</w:t>
            </w:r>
            <w:r>
              <w:rPr>
                <w:sz w:val="19"/>
              </w:rPr>
              <w:t xml:space="preserve">”</w:t>
            </w:r>
            <w:r>
              <w:rPr>
                <w:sz w:val="19"/>
              </w:rPr>
              <w:t xml:space="preserve"> </w:t>
            </w:r>
            <w:r>
              <w:rPr>
                <w:sz w:val="19"/>
              </w:rPr>
              <w:t xml:space="preserve">or</w:t>
            </w:r>
            <w:r>
              <w:rPr>
                <w:sz w:val="19"/>
              </w:rPr>
              <w:t xml:space="preserve"> </w:t>
            </w:r>
            <w:r>
              <w:rPr>
                <w:sz w:val="19"/>
              </w:rPr>
              <w:t xml:space="preserve">“</w:t>
            </w:r>
            <w:r>
              <w:rPr>
                <w:sz w:val="19"/>
              </w:rPr>
              <w:t xml:space="preserve">no record</w:t>
            </w:r>
            <w:r>
              <w:rPr>
                <w:sz w:val="19"/>
              </w:rPr>
              <w:t xml:space="preserve">”</w:t>
            </w:r>
            <w:r>
              <w:rPr>
                <w:sz w:val="19"/>
              </w:rPr>
              <w:t xml:space="preserve">? SUNT’s timetable covers 21 May–21 June 2024, not our period</w:t>
            </w:r>
          </w:p>
        </w:tc>
        <w:tc>
          <w:tcPr>
            <w:tcW w:type="dxa" w:w="3103"/>
          </w:tcPr>
          <w:p>
            <w:pPr>
              <w:pStyle w:val="Compact"/>
              <w:spacing w:after="0" w:before="0" w:line="240" w:lineRule="auto"/>
              <w:jc w:val="left"/>
            </w:pPr>
            <w:r>
              <w:rPr>
                <w:sz w:val="19"/>
              </w:rPr>
              <w:t xml:space="preserve">Cannot distinguish missing data from no service</w:t>
            </w:r>
          </w:p>
        </w:tc>
        <w:tc>
          <w:tcPr>
            <w:tcW w:type="dxa" w:w="2638"/>
          </w:tcPr>
          <w:p>
            <w:pPr>
              <w:pStyle w:val="Compact"/>
              <w:spacing w:after="0" w:before="0" w:line="240" w:lineRule="auto"/>
              <w:jc w:val="left"/>
            </w:pPr>
            <w:r>
              <w:rPr>
                <w:sz w:val="19"/>
              </w:rPr>
              <w:t xml:space="preserve">Missing records are never treated as zero (D8, section 3.3)</w:t>
            </w:r>
          </w:p>
        </w:tc>
      </w:tr>
      <w:tr>
        <w:trPr>
          <w:cantSplit/>
        </w:trPr>
        <w:tc>
          <w:tcPr>
            <w:tcW w:type="dxa" w:w="3443"/>
          </w:tcPr>
          <w:p>
            <w:pPr>
              <w:pStyle w:val="Compact"/>
              <w:spacing w:after="0" w:before="0" w:line="240" w:lineRule="auto"/>
              <w:jc w:val="left"/>
            </w:pPr>
            <w:r>
              <w:rPr>
                <w:sz w:val="19"/>
              </w:rPr>
              <w:t xml:space="preserve">2 April 2024 looks like a partial outage</w:t>
            </w:r>
          </w:p>
        </w:tc>
        <w:tc>
          <w:tcPr>
            <w:tcW w:type="dxa" w:w="3103"/>
          </w:tcPr>
          <w:p>
            <w:pPr>
              <w:pStyle w:val="Compact"/>
              <w:spacing w:after="0" w:before="0" w:line="240" w:lineRule="auto"/>
              <w:jc w:val="left"/>
            </w:pPr>
            <w:r>
              <w:rPr>
                <w:sz w:val="19"/>
              </w:rPr>
              <w:t xml:space="preserve">About 911,000 boardings against about 1.1 million on other Tuesdays</w:t>
            </w:r>
          </w:p>
        </w:tc>
        <w:tc>
          <w:tcPr>
            <w:tcW w:type="dxa" w:w="2638"/>
          </w:tcPr>
          <w:p>
            <w:pPr>
              <w:pStyle w:val="Compact"/>
              <w:spacing w:after="0" w:before="0" w:line="240" w:lineRule="auto"/>
              <w:jc w:val="left"/>
            </w:pPr>
            <w:r>
              <w:rPr>
                <w:sz w:val="19"/>
              </w:rPr>
              <w:t xml:space="preserve">Affected hours become missing records</w:t>
            </w:r>
          </w:p>
        </w:tc>
      </w:tr>
      <w:tr>
        <w:trPr>
          <w:cantSplit/>
        </w:trPr>
        <w:tc>
          <w:tcPr>
            <w:tcW w:type="dxa" w:w="3443"/>
          </w:tcPr>
          <w:p>
            <w:pPr>
              <w:pStyle w:val="Compact"/>
              <w:spacing w:after="0" w:before="0" w:line="240" w:lineRule="auto"/>
              <w:jc w:val="left"/>
            </w:pPr>
            <w:r>
              <w:rPr>
                <w:sz w:val="19"/>
              </w:rPr>
              <w:t xml:space="preserve">One city, 59 days, no holiday in the test weeks</w:t>
            </w:r>
          </w:p>
        </w:tc>
        <w:tc>
          <w:tcPr>
            <w:tcW w:type="dxa" w:w="3103"/>
          </w:tcPr>
          <w:p>
            <w:pPr>
              <w:pStyle w:val="Compact"/>
              <w:spacing w:after="0" w:before="0" w:line="240" w:lineRule="auto"/>
              <w:jc w:val="left"/>
            </w:pPr>
            <w:r>
              <w:rPr>
                <w:sz w:val="19"/>
              </w:rPr>
              <w:t xml:space="preserve">Limited generalisation</w:t>
            </w:r>
          </w:p>
        </w:tc>
        <w:tc>
          <w:tcPr>
            <w:tcW w:type="dxa" w:w="2638"/>
          </w:tcPr>
          <w:p>
            <w:pPr>
              <w:pStyle w:val="Compact"/>
              <w:spacing w:after="0" w:before="0" w:line="240" w:lineRule="auto"/>
              <w:jc w:val="left"/>
            </w:pPr>
            <w:r>
              <w:rPr>
                <w:sz w:val="19"/>
              </w:rPr>
              <w:t xml:space="preserve">Stated; no claim beyond Salvador</w:t>
            </w:r>
          </w:p>
        </w:tc>
      </w:tr>
    </w:tbl>
    <w:bookmarkEnd w:id="31"/>
    <w:bookmarkEnd w:id="32"/>
    <w:bookmarkStart w:id="39" w:name="X73e1594271a3ff83b1d4bd872bcce42a1052029"/>
    <w:p>
      <w:pPr>
        <w:pStyle w:val="Heading1"/>
      </w:pPr>
      <w:r>
        <w:t xml:space="preserve">3. System architecture and data-processing pipeline</w:t>
      </w:r>
    </w:p>
    <w:bookmarkStart w:id="36" w:name="overview"/>
    <w:p>
      <w:pPr>
        <w:pStyle w:val="Heading2"/>
      </w:pPr>
      <w:r>
        <w:t xml:space="preserve">3.1 Overview</w:t>
      </w:r>
    </w:p>
    <w:p>
      <w:pPr>
        <w:pStyle w:val="FirstParagraph"/>
      </w:pPr>
      <w:r>
        <w:t xml:space="preserve">Data flows in one direction (Figure 1). Each stage is a command that reads the previous stage’s output and writes files, so any stage can be rerun and compared. The code is a Python package,</w:t>
      </w:r>
      <w:r>
        <w:t xml:space="preserve"> </w:t>
      </w:r>
      <w:r>
        <w:rPr>
          <w:rStyle w:val="VerbatimChar"/>
        </w:rPr>
        <w:t xml:space="preserve">transit</w:t>
      </w:r>
      <w:r>
        <w:t xml:space="preserve">, in</w:t>
      </w:r>
      <w:r>
        <w:t xml:space="preserve"> </w:t>
      </w:r>
      <w:r>
        <w:rPr>
          <w:rStyle w:val="VerbatimChar"/>
        </w:rPr>
        <w:t xml:space="preserve">src/transit/</w:t>
      </w:r>
      <w:r>
        <w:t xml:space="preserve">.</w:t>
      </w:r>
    </w:p>
    <w:p>
      <w:pPr>
        <w:pStyle w:val="CaptionedFigure"/>
      </w:pPr>
      <w:r>
        <w:drawing>
          <wp:inline>
            <wp:extent cx="3200400" cy="5067300"/>
            <wp:effectExtent b="0" l="0" r="0" t="0"/>
            <wp:docPr descr="Figure 1. Pipeline from the raw SUNT files to the report and the dashboard. Commands are in monospace; the dashboard reads only committed outputs." title="" id="34" name="Picture"/>
            <a:graphic>
              <a:graphicData uri="http://schemas.openxmlformats.org/drawingml/2006/picture">
                <pic:pic>
                  <pic:nvPicPr>
                    <pic:cNvPr descr="figures/architecture.png" id="35" name="Picture"/>
                    <pic:cNvPicPr>
                      <a:picLocks noChangeArrowheads="1" noChangeAspect="1"/>
                    </pic:cNvPicPr>
                  </pic:nvPicPr>
                  <pic:blipFill>
                    <a:blip r:embed="rId33"/>
                    <a:stretch>
                      <a:fillRect/>
                    </a:stretch>
                  </pic:blipFill>
                  <pic:spPr bwMode="auto">
                    <a:xfrm>
                      <a:off x="0" y="0"/>
                      <a:ext cx="3200400" cy="5067300"/>
                    </a:xfrm>
                    <a:prstGeom prst="rect">
                      <a:avLst/>
                    </a:prstGeom>
                    <a:noFill/>
                    <a:ln w="9525">
                      <a:noFill/>
                      <a:headEnd/>
                      <a:tailEnd/>
                    </a:ln>
                  </pic:spPr>
                </pic:pic>
              </a:graphicData>
            </a:graphic>
          </wp:inline>
        </w:drawing>
      </w:r>
    </w:p>
    <w:p>
      <w:pPr>
        <w:pStyle w:val="ImageCaption"/>
        <w:keepNext/>
      </w:pPr>
      <w:r>
        <w:t xml:space="preserve">Figure 1. Pipeline from the raw SUNT files to the report and the dashboard. Commands are in monospace; the dashboard reads only committed outputs.</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1758"/>
        <w:gridCol w:w="3894"/>
        <w:gridCol w:w="3532"/>
      </w:tblGrid>
      <w:tr>
        <w:trPr>
          <w:tblHeader w:val="true"/>
          <w:cantSplit/>
          <w:tblHeader/>
        </w:trPr>
        <w:tc>
          <w:tcPr>
            <w:tcW w:type="dxa" w:w="1758"/>
            <w:shd w:val="clear" w:color="auto" w:fill="DCE3F0"/>
          </w:tcPr>
          <w:p>
            <w:pPr>
              <w:pStyle w:val="Compact"/>
              <w:spacing w:after="0" w:before="0" w:line="240" w:lineRule="auto"/>
              <w:jc w:val="left"/>
            </w:pPr>
            <w:r>
              <w:rPr>
                <w:b/>
                <w:sz w:val="19"/>
              </w:rPr>
              <w:t xml:space="preserve">Stage</w:t>
            </w:r>
          </w:p>
        </w:tc>
        <w:tc>
          <w:tcPr>
            <w:tcW w:type="dxa" w:w="3894"/>
            <w:shd w:val="clear" w:color="auto" w:fill="DCE3F0"/>
          </w:tcPr>
          <w:p>
            <w:pPr>
              <w:pStyle w:val="Compact"/>
              <w:spacing w:after="0" w:before="0" w:line="240" w:lineRule="auto"/>
              <w:jc w:val="left"/>
            </w:pPr>
            <w:r>
              <w:rPr>
                <w:b/>
                <w:sz w:val="19"/>
              </w:rPr>
              <w:t xml:space="preserve">Command or function</w:t>
            </w:r>
          </w:p>
        </w:tc>
        <w:tc>
          <w:tcPr>
            <w:tcW w:type="dxa" w:w="3532"/>
            <w:shd w:val="clear" w:color="auto" w:fill="DCE3F0"/>
          </w:tcPr>
          <w:p>
            <w:pPr>
              <w:pStyle w:val="Compact"/>
              <w:spacing w:after="0" w:before="0" w:line="240" w:lineRule="auto"/>
              <w:jc w:val="left"/>
            </w:pPr>
            <w:r>
              <w:rPr>
                <w:b/>
                <w:sz w:val="19"/>
              </w:rPr>
              <w:t xml:space="preserve">Main output</w:t>
            </w:r>
          </w:p>
        </w:tc>
      </w:tr>
      <w:tr>
        <w:trPr>
          <w:cantSplit/>
        </w:trPr>
        <w:tc>
          <w:tcPr>
            <w:tcW w:type="dxa" w:w="1758"/>
          </w:tcPr>
          <w:p>
            <w:pPr>
              <w:pStyle w:val="Compact"/>
              <w:spacing w:after="0" w:before="0" w:line="240" w:lineRule="auto"/>
              <w:jc w:val="left"/>
            </w:pPr>
            <w:r>
              <w:rPr>
                <w:sz w:val="19"/>
              </w:rPr>
              <w:t xml:space="preserve">Download and verify</w:t>
            </w:r>
          </w:p>
        </w:tc>
        <w:tc>
          <w:tcPr>
            <w:tcW w:type="dxa" w:w="3894"/>
          </w:tcPr>
          <w:p>
            <w:pPr>
              <w:pStyle w:val="Compact"/>
              <w:spacing w:after="0" w:before="0" w:line="240" w:lineRule="auto"/>
              <w:jc w:val="left"/>
            </w:pPr>
            <w:r>
              <w:rPr>
                <w:rStyle w:val="VerbatimChar"/>
                <w:sz w:val="19"/>
              </w:rPr>
              <w:t xml:space="preserve">python -m transit.data.download</w:t>
            </w:r>
          </w:p>
        </w:tc>
        <w:tc>
          <w:tcPr>
            <w:tcW w:type="dxa" w:w="3532"/>
          </w:tcPr>
          <w:p>
            <w:pPr>
              <w:pStyle w:val="Compact"/>
              <w:spacing w:after="0" w:before="0" w:line="240" w:lineRule="auto"/>
              <w:jc w:val="left"/>
            </w:pPr>
            <w:r>
              <w:rPr>
                <w:sz w:val="19"/>
              </w:rPr>
              <w:t xml:space="preserve">59 raw files, each checked against its SHA-256</w:t>
            </w:r>
          </w:p>
        </w:tc>
      </w:tr>
      <w:tr>
        <w:trPr>
          <w:cantSplit/>
        </w:trPr>
        <w:tc>
          <w:tcPr>
            <w:tcW w:type="dxa" w:w="1758"/>
          </w:tcPr>
          <w:p>
            <w:pPr>
              <w:pStyle w:val="Compact"/>
              <w:spacing w:after="0" w:before="0" w:line="240" w:lineRule="auto"/>
              <w:jc w:val="left"/>
            </w:pPr>
            <w:r>
              <w:rPr>
                <w:sz w:val="19"/>
              </w:rPr>
              <w:t xml:space="preserve">Aggregate and check</w:t>
            </w:r>
          </w:p>
        </w:tc>
        <w:tc>
          <w:tcPr>
            <w:tcW w:type="dxa" w:w="3894"/>
          </w:tcPr>
          <w:p>
            <w:pPr>
              <w:pStyle w:val="Compact"/>
              <w:spacing w:after="0" w:before="0" w:line="240" w:lineRule="auto"/>
              <w:jc w:val="left"/>
            </w:pPr>
            <w:r>
              <w:rPr>
                <w:rStyle w:val="VerbatimChar"/>
                <w:sz w:val="19"/>
              </w:rPr>
              <w:t xml:space="preserve">python -m transit.data.build</w:t>
            </w:r>
          </w:p>
        </w:tc>
        <w:tc>
          <w:tcPr>
            <w:tcW w:type="dxa" w:w="3532"/>
          </w:tcPr>
          <w:p>
            <w:pPr>
              <w:pStyle w:val="Compact"/>
              <w:spacing w:after="0" w:before="0" w:line="240" w:lineRule="auto"/>
              <w:jc w:val="left"/>
            </w:pPr>
            <w:r>
              <w:rPr>
                <w:rStyle w:val="VerbatimChar"/>
                <w:sz w:val="19"/>
              </w:rPr>
              <w:t xml:space="preserve">route_hour.parquet</w:t>
            </w:r>
            <w:r>
              <w:rPr>
                <w:sz w:val="19"/>
              </w:rPr>
              <w:t xml:space="preserve"> </w:t>
            </w:r>
            <w:r>
              <w:rPr>
                <w:sz w:val="19"/>
              </w:rPr>
              <w:t xml:space="preserve">(541,611 rows),</w:t>
            </w:r>
            <w:r>
              <w:rPr>
                <w:sz w:val="19"/>
              </w:rPr>
              <w:t xml:space="preserve"> </w:t>
            </w:r>
            <w:r>
              <w:rPr>
                <w:rStyle w:val="VerbatimChar"/>
                <w:sz w:val="19"/>
              </w:rPr>
              <w:t xml:space="preserve">quality_report.json</w:t>
            </w:r>
          </w:p>
        </w:tc>
      </w:tr>
      <w:tr>
        <w:trPr>
          <w:cantSplit/>
        </w:trPr>
        <w:tc>
          <w:tcPr>
            <w:tcW w:type="dxa" w:w="1758"/>
          </w:tcPr>
          <w:p>
            <w:pPr>
              <w:pStyle w:val="Compact"/>
              <w:spacing w:after="0" w:before="0" w:line="240" w:lineRule="auto"/>
              <w:jc w:val="left"/>
            </w:pPr>
            <w:r>
              <w:rPr>
                <w:sz w:val="19"/>
              </w:rPr>
              <w:t xml:space="preserve">Service profile and slots</w:t>
            </w:r>
          </w:p>
        </w:tc>
        <w:tc>
          <w:tcPr>
            <w:tcW w:type="dxa" w:w="3894"/>
          </w:tcPr>
          <w:p>
            <w:pPr>
              <w:pStyle w:val="Compact"/>
              <w:spacing w:after="0" w:before="0" w:line="240" w:lineRule="auto"/>
              <w:jc w:val="left"/>
            </w:pPr>
            <w:r>
              <w:rPr>
                <w:rStyle w:val="VerbatimChar"/>
                <w:sz w:val="19"/>
              </w:rPr>
              <w:t xml:space="preserve">transit.data.service.build_slots</w:t>
            </w:r>
          </w:p>
        </w:tc>
        <w:tc>
          <w:tcPr>
            <w:tcW w:type="dxa" w:w="3532"/>
          </w:tcPr>
          <w:p>
            <w:pPr>
              <w:pStyle w:val="Compact"/>
              <w:spacing w:after="0" w:before="0" w:line="240" w:lineRule="auto"/>
              <w:jc w:val="left"/>
            </w:pPr>
            <w:r>
              <w:rPr>
                <w:sz w:val="19"/>
              </w:rPr>
              <w:t xml:space="preserve">observed and missing-record slots (in memory)</w:t>
            </w:r>
          </w:p>
        </w:tc>
      </w:tr>
      <w:tr>
        <w:trPr>
          <w:cantSplit/>
        </w:trPr>
        <w:tc>
          <w:tcPr>
            <w:tcW w:type="dxa" w:w="1758"/>
          </w:tcPr>
          <w:p>
            <w:pPr>
              <w:pStyle w:val="Compact"/>
              <w:spacing w:after="0" w:before="0" w:line="240" w:lineRule="auto"/>
              <w:jc w:val="left"/>
            </w:pPr>
            <w:r>
              <w:rPr>
                <w:sz w:val="19"/>
              </w:rPr>
              <w:t xml:space="preserve">Features</w:t>
            </w:r>
          </w:p>
        </w:tc>
        <w:tc>
          <w:tcPr>
            <w:tcW w:type="dxa" w:w="3894"/>
          </w:tcPr>
          <w:p>
            <w:pPr>
              <w:pStyle w:val="Compact"/>
              <w:spacing w:after="0" w:before="0" w:line="240" w:lineRule="auto"/>
              <w:jc w:val="left"/>
            </w:pPr>
            <w:r>
              <w:rPr>
                <w:rStyle w:val="VerbatimChar"/>
                <w:sz w:val="19"/>
              </w:rPr>
              <w:t xml:space="preserve">transit.features.build_features</w:t>
            </w:r>
          </w:p>
        </w:tc>
        <w:tc>
          <w:tcPr>
            <w:tcW w:type="dxa" w:w="3532"/>
          </w:tcPr>
          <w:p>
            <w:pPr>
              <w:pStyle w:val="Compact"/>
              <w:spacing w:after="0" w:before="0" w:line="240" w:lineRule="auto"/>
              <w:jc w:val="left"/>
            </w:pPr>
            <w:r>
              <w:rPr>
                <w:sz w:val="19"/>
              </w:rPr>
              <w:t xml:space="preserve">day-ahead feature frame per target (in memory)</w:t>
            </w:r>
          </w:p>
        </w:tc>
      </w:tr>
      <w:tr>
        <w:trPr>
          <w:cantSplit/>
        </w:trPr>
        <w:tc>
          <w:tcPr>
            <w:tcW w:type="dxa" w:w="1758"/>
          </w:tcPr>
          <w:p>
            <w:pPr>
              <w:pStyle w:val="Compact"/>
              <w:spacing w:after="0" w:before="0" w:line="240" w:lineRule="auto"/>
              <w:jc w:val="left"/>
            </w:pPr>
            <w:r>
              <w:rPr>
                <w:sz w:val="19"/>
              </w:rPr>
              <w:t xml:space="preserve">Train, tune, evaluate</w:t>
            </w:r>
          </w:p>
        </w:tc>
        <w:tc>
          <w:tcPr>
            <w:tcW w:type="dxa" w:w="3894"/>
          </w:tcPr>
          <w:p>
            <w:pPr>
              <w:pStyle w:val="Compact"/>
              <w:spacing w:after="0" w:before="0" w:line="240" w:lineRule="auto"/>
              <w:jc w:val="left"/>
            </w:pPr>
            <w:r>
              <w:rPr>
                <w:rStyle w:val="VerbatimChar"/>
                <w:sz w:val="19"/>
              </w:rPr>
              <w:t xml:space="preserve">python -m transit.models.run</w:t>
            </w:r>
          </w:p>
        </w:tc>
        <w:tc>
          <w:tcPr>
            <w:tcW w:type="dxa" w:w="3532"/>
          </w:tcPr>
          <w:p>
            <w:pPr>
              <w:pStyle w:val="Compact"/>
              <w:spacing w:after="0" w:before="0" w:line="240" w:lineRule="auto"/>
              <w:jc w:val="left"/>
            </w:pPr>
            <w:r>
              <w:rPr>
                <w:rStyle w:val="VerbatimChar"/>
                <w:sz w:val="19"/>
              </w:rPr>
              <w:t xml:space="preserve">metrics.json</w:t>
            </w:r>
            <w:r>
              <w:rPr>
                <w:sz w:val="19"/>
              </w:rPr>
              <w:t xml:space="preserve">, prediction files, tuning tables</w:t>
            </w:r>
          </w:p>
        </w:tc>
      </w:tr>
      <w:tr>
        <w:trPr>
          <w:cantSplit/>
        </w:trPr>
        <w:tc>
          <w:tcPr>
            <w:tcW w:type="dxa" w:w="1758"/>
          </w:tcPr>
          <w:p>
            <w:pPr>
              <w:pStyle w:val="Compact"/>
              <w:spacing w:after="0" w:before="0" w:line="240" w:lineRule="auto"/>
              <w:jc w:val="left"/>
            </w:pPr>
            <w:r>
              <w:rPr>
                <w:sz w:val="19"/>
              </w:rPr>
              <w:t xml:space="preserve">Report</w:t>
            </w:r>
          </w:p>
        </w:tc>
        <w:tc>
          <w:tcPr>
            <w:tcW w:type="dxa" w:w="3894"/>
          </w:tcPr>
          <w:p>
            <w:pPr>
              <w:pStyle w:val="Compact"/>
              <w:spacing w:after="0" w:before="0" w:line="240" w:lineRule="auto"/>
              <w:jc w:val="left"/>
            </w:pPr>
            <w:r>
              <w:rPr>
                <w:rStyle w:val="VerbatimChar"/>
                <w:sz w:val="19"/>
              </w:rPr>
              <w:t xml:space="preserve">python -m transit.report</w:t>
            </w:r>
          </w:p>
        </w:tc>
        <w:tc>
          <w:tcPr>
            <w:tcW w:type="dxa" w:w="3532"/>
          </w:tcPr>
          <w:p>
            <w:pPr>
              <w:pStyle w:val="Compact"/>
              <w:spacing w:after="0" w:before="0" w:line="240" w:lineRule="auto"/>
              <w:jc w:val="left"/>
            </w:pPr>
            <w:r>
              <w:rPr>
                <w:rStyle w:val="VerbatimChar"/>
                <w:sz w:val="19"/>
              </w:rPr>
              <w:t xml:space="preserve">RESULTS.md</w:t>
            </w:r>
            <w:r>
              <w:rPr>
                <w:sz w:val="19"/>
              </w:rPr>
              <w:t xml:space="preserve">, figures,</w:t>
            </w:r>
            <w:r>
              <w:rPr>
                <w:sz w:val="19"/>
              </w:rPr>
              <w:t xml:space="preserve"> </w:t>
            </w:r>
            <w:r>
              <w:rPr>
                <w:rStyle w:val="VerbatimChar"/>
                <w:sz w:val="19"/>
              </w:rPr>
              <w:t xml:space="preserve">planning.json</w:t>
            </w:r>
          </w:p>
        </w:tc>
      </w:tr>
      <w:tr>
        <w:trPr>
          <w:cantSplit/>
        </w:trPr>
        <w:tc>
          <w:tcPr>
            <w:tcW w:type="dxa" w:w="1758"/>
          </w:tcPr>
          <w:p>
            <w:pPr>
              <w:pStyle w:val="Compact"/>
              <w:spacing w:after="0" w:before="0" w:line="240" w:lineRule="auto"/>
              <w:jc w:val="left"/>
            </w:pPr>
            <w:r>
              <w:rPr>
                <w:sz w:val="19"/>
              </w:rPr>
              <w:t xml:space="preserve">Verify a rerun</w:t>
            </w:r>
          </w:p>
        </w:tc>
        <w:tc>
          <w:tcPr>
            <w:tcW w:type="dxa" w:w="3894"/>
          </w:tcPr>
          <w:p>
            <w:pPr>
              <w:pStyle w:val="Compact"/>
              <w:spacing w:after="0" w:before="0" w:line="240" w:lineRule="auto"/>
              <w:jc w:val="left"/>
            </w:pPr>
            <w:r>
              <w:rPr>
                <w:rStyle w:val="VerbatimChar"/>
                <w:sz w:val="19"/>
              </w:rPr>
              <w:t xml:space="preserve">python -m transit.verify</w:t>
            </w:r>
          </w:p>
        </w:tc>
        <w:tc>
          <w:tcPr>
            <w:tcW w:type="dxa" w:w="3532"/>
          </w:tcPr>
          <w:p>
            <w:pPr>
              <w:pStyle w:val="Compact"/>
              <w:spacing w:after="0" w:before="0" w:line="240" w:lineRule="auto"/>
              <w:jc w:val="left"/>
            </w:pPr>
            <w:r>
              <w:rPr>
                <w:sz w:val="19"/>
              </w:rPr>
              <w:t xml:space="preserve">pass or a list of differences</w:t>
            </w:r>
          </w:p>
        </w:tc>
      </w:tr>
      <w:tr>
        <w:trPr>
          <w:cantSplit/>
        </w:trPr>
        <w:tc>
          <w:tcPr>
            <w:tcW w:type="dxa" w:w="1758"/>
          </w:tcPr>
          <w:p>
            <w:pPr>
              <w:pStyle w:val="Compact"/>
              <w:spacing w:after="0" w:before="0" w:line="240" w:lineRule="auto"/>
              <w:jc w:val="left"/>
            </w:pPr>
            <w:r>
              <w:rPr>
                <w:sz w:val="19"/>
              </w:rPr>
              <w:t xml:space="preserve">Dashboard</w:t>
            </w:r>
          </w:p>
        </w:tc>
        <w:tc>
          <w:tcPr>
            <w:tcW w:type="dxa" w:w="3894"/>
          </w:tcPr>
          <w:p>
            <w:pPr>
              <w:pStyle w:val="Compact"/>
              <w:spacing w:after="0" w:before="0" w:line="240" w:lineRule="auto"/>
              <w:jc w:val="left"/>
            </w:pPr>
            <w:r>
              <w:rPr>
                <w:rStyle w:val="VerbatimChar"/>
                <w:sz w:val="19"/>
              </w:rPr>
              <w:t xml:space="preserve">streamlit run app/streamlit_app.py</w:t>
            </w:r>
          </w:p>
        </w:tc>
        <w:tc>
          <w:tcPr>
            <w:tcW w:type="dxa" w:w="3532"/>
          </w:tcPr>
          <w:p>
            <w:pPr>
              <w:pStyle w:val="Compact"/>
              <w:spacing w:after="0" w:before="0" w:line="240" w:lineRule="auto"/>
              <w:jc w:val="left"/>
            </w:pPr>
            <w:r>
              <w:rPr>
                <w:sz w:val="19"/>
              </w:rPr>
              <w:t xml:space="preserve">interactive pages, read-only</w:t>
            </w:r>
          </w:p>
        </w:tc>
      </w:tr>
    </w:tbl>
    <w:bookmarkEnd w:id="36"/>
    <w:bookmarkStart w:id="37" w:name="aggregation-to-route-hours"/>
    <w:p>
      <w:pPr>
        <w:pStyle w:val="Heading2"/>
      </w:pPr>
      <w:r>
        <w:t xml:space="preserve">3.2 Aggregation to route-hours</w:t>
      </w:r>
    </w:p>
    <w:p>
      <w:pPr>
        <w:pStyle w:val="FirstParagraph"/>
      </w:pPr>
      <w:r>
        <w:rPr>
          <w:rStyle w:val="VerbatimChar"/>
        </w:rPr>
        <w:t xml:space="preserve">aggregate_day</w:t>
      </w:r>
      <w:r>
        <w:t xml:space="preserve"> </w:t>
      </w:r>
      <w:r>
        <w:t xml:space="preserve">(in</w:t>
      </w:r>
      <w:r>
        <w:t xml:space="preserve"> </w:t>
      </w:r>
      <w:r>
        <w:rPr>
          <w:rStyle w:val="VerbatimChar"/>
        </w:rPr>
        <w:t xml:space="preserve">src/transit/data/aggregate.py</w:t>
      </w:r>
      <w:r>
        <w:t xml:space="preserve">) turns one day of stop events into one row per route, direction and clock hour of the stop time (decision D7). Route-hour is the level at which planners set frequencies, and it keeps the table small (about 12.5 MB). A SUNT service day runs from about 03:45 to about 02:15 the next morning, so the clock hour, not the calendar date, is the time key; events after midnight keep their real clock hour and are later given a</w:t>
      </w:r>
      <w:r>
        <w:t xml:space="preserve"> </w:t>
      </w:r>
      <w:r>
        <w:rPr>
          <w:rStyle w:val="VerbatimChar"/>
        </w:rPr>
        <w:t xml:space="preserve">service_hour</w:t>
      </w:r>
      <w:r>
        <w:t xml:space="preserve"> </w:t>
      </w:r>
      <w:r>
        <w:t xml:space="preserve">of 24–26. Stop events outside a 30-hour window from the service date’s midnight would be counted and dropped; there were none.</w:t>
      </w:r>
    </w:p>
    <w:p>
      <w:pPr>
        <w:pStyle w:val="BodyText"/>
      </w:pPr>
      <w:r>
        <w:t xml:space="preserve">For each route-hour the table stores boardings, inferred alightings, stop events, distinct trips, the maximum load at any stop event (</w:t>
      </w:r>
      <w:r>
        <w:rPr>
          <w:rStyle w:val="VerbatimChar"/>
        </w:rPr>
        <w:t xml:space="preserve">load_max</w:t>
      </w:r>
      <w:r>
        <w:t xml:space="preserve">), the occupancy target</w:t>
      </w:r>
      <w:r>
        <w:t xml:space="preserve"> </w:t>
      </w:r>
      <w:r>
        <w:rPr>
          <w:rStyle w:val="VerbatimChar"/>
        </w:rPr>
        <w:t xml:space="preserve">load_trip_peak_mean</w:t>
      </w:r>
      <w:r>
        <w:t xml:space="preserve"> </w:t>
      </w:r>
      <w:r>
        <w:t xml:space="preserve">(defined in section 4.1), the number of burst events and the number of malformed trips.</w:t>
      </w:r>
    </w:p>
    <w:bookmarkEnd w:id="37"/>
    <w:bookmarkStart w:id="38" w:name="missing-route-hours-decision-d8"/>
    <w:p>
      <w:pPr>
        <w:pStyle w:val="Heading2"/>
      </w:pPr>
      <w:r>
        <w:t xml:space="preserve">3.3 Missing route-hours (decision D8)</w:t>
      </w:r>
    </w:p>
    <w:p>
      <w:pPr>
        <w:pStyle w:val="FirstParagraph"/>
      </w:pPr>
      <w:r>
        <w:t xml:space="preserve">A route-hour has a row only if SUNT recorded a stop event. An absent hour can mean</w:t>
      </w:r>
      <w:r>
        <w:t xml:space="preserve"> </w:t>
      </w:r>
      <w:r>
        <w:t xml:space="preserve">“</w:t>
      </w:r>
      <w:r>
        <w:t xml:space="preserve">no bus was scheduled</w:t>
      </w:r>
      <w:r>
        <w:t xml:space="preserve">”</w:t>
      </w:r>
      <w:r>
        <w:t xml:space="preserve"> </w:t>
      </w:r>
      <w:r>
        <w:t xml:space="preserve">or</w:t>
      </w:r>
      <w:r>
        <w:t xml:space="preserve"> </w:t>
      </w:r>
      <w:r>
        <w:t xml:space="preserve">“</w:t>
      </w:r>
      <w:r>
        <w:t xml:space="preserve">a bus ran but SUNT has no record</w:t>
      </w:r>
      <w:r>
        <w:t xml:space="preserve">”</w:t>
      </w:r>
      <w:r>
        <w:t xml:space="preserve">. Filling absent hours with zero would invent passenger-free hours and make the test set artificially easy. Instead,</w:t>
      </w:r>
      <w:r>
        <w:t xml:space="preserve"> </w:t>
      </w:r>
      <w:r>
        <w:rPr>
          <w:rStyle w:val="VerbatimChar"/>
        </w:rPr>
        <w:t xml:space="preserve">build_slots</w:t>
      </w:r>
      <w:r>
        <w:t xml:space="preserve"> </w:t>
      </w:r>
      <w:r>
        <w:t xml:space="preserve">(in</w:t>
      </w:r>
      <w:r>
        <w:t xml:space="preserve"> </w:t>
      </w:r>
      <w:r>
        <w:rPr>
          <w:rStyle w:val="VerbatimChar"/>
        </w:rPr>
        <w:t xml:space="preserve">src/transit/data/service.py</w:t>
      </w:r>
      <w:r>
        <w:t xml:space="preserve">) uses a</w:t>
      </w:r>
      <w:r>
        <w:t xml:space="preserve"> </w:t>
      </w:r>
      <w:r>
        <w:rPr>
          <w:b/>
          <w:bCs/>
        </w:rPr>
        <w:t xml:space="preserve">service profile computed from training days only</w:t>
      </w:r>
      <w:r>
        <w:t xml:space="preserve">:</w:t>
      </w:r>
    </w:p>
    <w:p>
      <w:pPr>
        <w:pStyle w:val="Compact"/>
        <w:numPr>
          <w:ilvl w:val="0"/>
          <w:numId w:val="1004"/>
        </w:numPr>
      </w:pPr>
      <w:r>
        <w:t xml:space="preserve">Each (route, direction, day type, service hour) cell is</w:t>
      </w:r>
      <w:r>
        <w:t xml:space="preserve"> </w:t>
      </w:r>
      <w:r>
        <w:rPr>
          <w:i/>
          <w:iCs/>
        </w:rPr>
        <w:t xml:space="preserve">regular</w:t>
      </w:r>
      <w:r>
        <w:t xml:space="preserve"> </w:t>
      </w:r>
      <w:r>
        <w:t xml:space="preserve">if it was observed on at least 80% of training days of that day type (weekday, Saturday, Sunday, holiday).</w:t>
      </w:r>
    </w:p>
    <w:p>
      <w:pPr>
        <w:pStyle w:val="Compact"/>
        <w:numPr>
          <w:ilvl w:val="0"/>
          <w:numId w:val="1004"/>
        </w:numPr>
      </w:pPr>
      <w:r>
        <w:t xml:space="preserve">An absent hour in a regular cell is a</w:t>
      </w:r>
      <w:r>
        <w:t xml:space="preserve"> </w:t>
      </w:r>
      <w:r>
        <w:rPr>
          <w:b/>
          <w:bCs/>
        </w:rPr>
        <w:t xml:space="preserve">missing record</w:t>
      </w:r>
      <w:r>
        <w:t xml:space="preserve">: it is predicted (so the dashboard can show it) but excluded from targets, features and metrics.</w:t>
      </w:r>
    </w:p>
    <w:p>
      <w:pPr>
        <w:pStyle w:val="Compact"/>
        <w:numPr>
          <w:ilvl w:val="0"/>
          <w:numId w:val="1004"/>
        </w:numPr>
      </w:pPr>
      <w:r>
        <w:t xml:space="preserve">Absent hours in non-regular cells are treated as no regular service and are not predicted.</w:t>
      </w:r>
    </w:p>
    <w:p>
      <w:pPr>
        <w:pStyle w:val="Compact"/>
        <w:numPr>
          <w:ilvl w:val="0"/>
          <w:numId w:val="1004"/>
        </w:numPr>
      </w:pPr>
      <w:r>
        <w:t xml:space="preserve">Observed hours with zero boardings (a bus ran, no card was tapped) are real zeros and are kept as targets.</w:t>
      </w:r>
    </w:p>
    <w:p>
      <w:pPr>
        <w:pStyle w:val="Compact"/>
        <w:keepNext/>
        <w:numPr>
          <w:ilvl w:val="0"/>
          <w:numId w:val="1004"/>
        </w:numPr>
      </w:pPr>
      <w:r>
        <w:t xml:space="preserve">Route-directions observed on fewer than 10 training days are out of scope.</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5400"/>
        <w:gridCol w:w="1131"/>
        <w:gridCol w:w="1519"/>
        <w:gridCol w:w="1131"/>
      </w:tblGrid>
      <w:tr>
        <w:trPr>
          <w:tblHeader w:val="true"/>
          <w:cantSplit/>
          <w:tblHeader/>
        </w:trPr>
        <w:tc>
          <w:tcPr>
            <w:tcW w:type="dxa" w:w="5401"/>
            <w:shd w:val="clear" w:color="auto" w:fill="DCE3F0"/>
          </w:tcPr>
          <w:p>
            <w:pPr>
              <w:pStyle w:val="Compact"/>
              <w:spacing w:after="0" w:before="0" w:line="240" w:lineRule="auto"/>
              <w:jc w:val="left"/>
            </w:pPr>
            <w:r>
              <w:rPr>
                <w:b/>
                <w:sz w:val="19"/>
              </w:rPr>
              <w:t xml:space="preserve">Kind of slot</w:t>
            </w:r>
          </w:p>
        </w:tc>
        <w:tc>
          <w:tcPr>
            <w:tcW w:type="dxa" w:w="1132"/>
            <w:shd w:val="clear" w:color="auto" w:fill="DCE3F0"/>
          </w:tcPr>
          <w:p>
            <w:pPr>
              <w:pStyle w:val="Compact"/>
              <w:spacing w:after="0" w:before="0" w:line="240" w:lineRule="auto"/>
              <w:jc w:val="left"/>
            </w:pPr>
            <w:r>
              <w:rPr>
                <w:b/>
                <w:sz w:val="19"/>
              </w:rPr>
              <w:t xml:space="preserve">Train</w:t>
            </w:r>
          </w:p>
        </w:tc>
        <w:tc>
          <w:tcPr>
            <w:tcW w:type="dxa" w:w="1520"/>
            <w:shd w:val="clear" w:color="auto" w:fill="DCE3F0"/>
          </w:tcPr>
          <w:p>
            <w:pPr>
              <w:pStyle w:val="Compact"/>
              <w:spacing w:after="0" w:before="0" w:line="240" w:lineRule="auto"/>
              <w:jc w:val="left"/>
            </w:pPr>
            <w:r>
              <w:rPr>
                <w:b/>
                <w:sz w:val="19"/>
              </w:rPr>
              <w:t xml:space="preserve">Validation</w:t>
            </w:r>
          </w:p>
        </w:tc>
        <w:tc>
          <w:tcPr>
            <w:tcW w:type="dxa" w:w="1132"/>
            <w:shd w:val="clear" w:color="auto" w:fill="DCE3F0"/>
          </w:tcPr>
          <w:p>
            <w:pPr>
              <w:pStyle w:val="Compact"/>
              <w:spacing w:after="0" w:before="0" w:line="240" w:lineRule="auto"/>
              <w:jc w:val="left"/>
            </w:pPr>
            <w:r>
              <w:rPr>
                <w:b/>
                <w:sz w:val="19"/>
              </w:rPr>
              <w:t xml:space="preserve">Test</w:t>
            </w:r>
          </w:p>
        </w:tc>
      </w:tr>
      <w:tr>
        <w:trPr>
          <w:cantSplit/>
        </w:trPr>
        <w:tc>
          <w:tcPr>
            <w:tcW w:type="dxa" w:w="5401"/>
          </w:tcPr>
          <w:p>
            <w:pPr>
              <w:pStyle w:val="Compact"/>
              <w:spacing w:after="0" w:before="0" w:line="240" w:lineRule="auto"/>
              <w:jc w:val="left"/>
            </w:pPr>
            <w:r>
              <w:rPr>
                <w:sz w:val="19"/>
              </w:rPr>
              <w:t xml:space="preserve">Observed (scored)</w:t>
            </w:r>
          </w:p>
        </w:tc>
        <w:tc>
          <w:tcPr>
            <w:tcW w:type="dxa" w:w="1132"/>
          </w:tcPr>
          <w:p>
            <w:pPr>
              <w:pStyle w:val="Compact"/>
              <w:spacing w:after="0" w:before="0" w:line="240" w:lineRule="auto"/>
              <w:jc w:val="left"/>
            </w:pPr>
            <w:r>
              <w:rPr>
                <w:sz w:val="19"/>
              </w:rPr>
              <w:t xml:space="preserve">348,243</w:t>
            </w:r>
          </w:p>
        </w:tc>
        <w:tc>
          <w:tcPr>
            <w:tcW w:type="dxa" w:w="1520"/>
          </w:tcPr>
          <w:p>
            <w:pPr>
              <w:pStyle w:val="Compact"/>
              <w:spacing w:after="0" w:before="0" w:line="240" w:lineRule="auto"/>
              <w:jc w:val="left"/>
            </w:pPr>
            <w:r>
              <w:rPr>
                <w:sz w:val="19"/>
              </w:rPr>
              <w:t xml:space="preserve">64,273</w:t>
            </w:r>
          </w:p>
        </w:tc>
        <w:tc>
          <w:tcPr>
            <w:tcW w:type="dxa" w:w="1132"/>
          </w:tcPr>
          <w:p>
            <w:pPr>
              <w:pStyle w:val="Compact"/>
              <w:spacing w:after="0" w:before="0" w:line="240" w:lineRule="auto"/>
              <w:jc w:val="left"/>
            </w:pPr>
            <w:r>
              <w:rPr>
                <w:sz w:val="19"/>
              </w:rPr>
              <w:t xml:space="preserve">127,935</w:t>
            </w:r>
          </w:p>
        </w:tc>
      </w:tr>
      <w:tr>
        <w:trPr>
          <w:cantSplit/>
        </w:trPr>
        <w:tc>
          <w:tcPr>
            <w:tcW w:type="dxa" w:w="5401"/>
          </w:tcPr>
          <w:p>
            <w:pPr>
              <w:pStyle w:val="Compact"/>
              <w:spacing w:after="0" w:before="0" w:line="240" w:lineRule="auto"/>
              <w:jc w:val="left"/>
            </w:pPr>
            <w:r>
              <w:rPr>
                <w:sz w:val="19"/>
              </w:rPr>
              <w:t xml:space="preserve">Missing record (predicted, never scored)</w:t>
            </w:r>
          </w:p>
        </w:tc>
        <w:tc>
          <w:tcPr>
            <w:tcW w:type="dxa" w:w="1132"/>
          </w:tcPr>
          <w:p>
            <w:pPr>
              <w:pStyle w:val="Compact"/>
              <w:spacing w:after="0" w:before="0" w:line="240" w:lineRule="auto"/>
              <w:jc w:val="left"/>
            </w:pPr>
            <w:r>
              <w:rPr>
                <w:sz w:val="19"/>
              </w:rPr>
              <w:t xml:space="preserve">3,309</w:t>
            </w:r>
          </w:p>
        </w:tc>
        <w:tc>
          <w:tcPr>
            <w:tcW w:type="dxa" w:w="1520"/>
          </w:tcPr>
          <w:p>
            <w:pPr>
              <w:pStyle w:val="Compact"/>
              <w:spacing w:after="0" w:before="0" w:line="240" w:lineRule="auto"/>
              <w:jc w:val="left"/>
            </w:pPr>
            <w:r>
              <w:rPr>
                <w:sz w:val="19"/>
              </w:rPr>
              <w:t xml:space="preserve">1,060</w:t>
            </w:r>
          </w:p>
        </w:tc>
        <w:tc>
          <w:tcPr>
            <w:tcW w:type="dxa" w:w="1132"/>
          </w:tcPr>
          <w:p>
            <w:pPr>
              <w:pStyle w:val="Compact"/>
              <w:spacing w:after="0" w:before="0" w:line="240" w:lineRule="auto"/>
              <w:jc w:val="left"/>
            </w:pPr>
            <w:r>
              <w:rPr>
                <w:sz w:val="19"/>
              </w:rPr>
              <w:t xml:space="preserve">2,797</w:t>
            </w:r>
          </w:p>
        </w:tc>
      </w:tr>
    </w:tbl>
    <w:p>
      <w:pPr>
        <w:pStyle w:val="BodyText"/>
        <w:spacing w:before="160"/>
      </w:pPr>
      <w:r>
        <w:t xml:space="preserve">The forecast is therefore</w:t>
      </w:r>
      <w:r>
        <w:t xml:space="preserve"> </w:t>
      </w:r>
      <w:r>
        <w:t xml:space="preserve">“</w:t>
      </w:r>
      <w:r>
        <w:t xml:space="preserve">boardings in this hour, given that the route runs</w:t>
      </w:r>
      <w:r>
        <w:t xml:space="preserve">”</w:t>
      </w:r>
      <w:r>
        <w:t xml:space="preserve">, which matches how an operator with a timetable would use it.</w:t>
      </w:r>
    </w:p>
    <w:bookmarkEnd w:id="38"/>
    <w:bookmarkEnd w:id="39"/>
    <w:bookmarkStart w:id="47" w:name="targets-features-models-and-baselines"/>
    <w:p>
      <w:pPr>
        <w:pStyle w:val="Heading1"/>
      </w:pPr>
      <w:r>
        <w:t xml:space="preserve">4. Targets, features, models and baselines</w:t>
      </w:r>
    </w:p>
    <w:bookmarkStart w:id="40" w:name="forecasting-targets"/>
    <w:p>
      <w:pPr>
        <w:pStyle w:val="Heading2"/>
      </w:pPr>
      <w:r>
        <w:t xml:space="preserve">4.1 Forecasting targets</w:t>
      </w:r>
    </w:p>
    <w:p>
      <w:pPr>
        <w:pStyle w:val="Compact"/>
        <w:numPr>
          <w:ilvl w:val="0"/>
          <w:numId w:val="1005"/>
        </w:numPr>
      </w:pPr>
      <w:r>
        <w:rPr>
          <w:b/>
          <w:bCs/>
        </w:rPr>
        <w:t xml:space="preserve">Demand:</w:t>
      </w:r>
      <w:r>
        <w:t xml:space="preserve"> </w:t>
      </w:r>
      <w:r>
        <w:rPr>
          <w:rStyle w:val="VerbatimChar"/>
        </w:rPr>
        <w:t xml:space="preserve">boardings</w:t>
      </w:r>
      <w:r>
        <w:t xml:space="preserve">, the sum of fare-card boardings on a route-direction in a clock hour.</w:t>
      </w:r>
    </w:p>
    <w:p>
      <w:pPr>
        <w:pStyle w:val="Compact"/>
        <w:numPr>
          <w:ilvl w:val="0"/>
          <w:numId w:val="1005"/>
        </w:numPr>
      </w:pPr>
      <w:r>
        <w:rPr>
          <w:b/>
          <w:bCs/>
        </w:rPr>
        <w:t xml:space="preserve">Estimated load:</w:t>
      </w:r>
      <w:r>
        <w:t xml:space="preserve"> </w:t>
      </w:r>
      <w:r>
        <w:rPr>
          <w:rStyle w:val="VerbatimChar"/>
        </w:rPr>
        <w:t xml:space="preserve">load_trip_peak_mean</w:t>
      </w:r>
      <w:r>
        <w:t xml:space="preserve">. For each trip with stop events in the hour, take that trip’s highest estimated load; then average over the trips. In words: the peak load of a typical bus on that route in that hour. As a formula: load_trip_peak_mean = (1/n) × Σ over trips j of max over stop events k of load(j, k), where n is the number of trips in the hour. It is used as the target only where the load is reliable (no malformed trip, value present).</w:t>
      </w:r>
    </w:p>
    <w:bookmarkEnd w:id="40"/>
    <w:bookmarkStart w:id="41" w:name="forecast-setting"/>
    <w:p>
      <w:pPr>
        <w:pStyle w:val="Heading2"/>
      </w:pPr>
      <w:r>
        <w:t xml:space="preserve">4.2 Forecast setting</w:t>
      </w:r>
    </w:p>
    <w:p>
      <w:pPr>
        <w:pStyle w:val="FirstParagraph"/>
      </w:pPr>
      <w:r>
        <w:t xml:space="preserve">Forecasts are</w:t>
      </w:r>
      <w:r>
        <w:t xml:space="preserve"> </w:t>
      </w:r>
      <w:r>
        <w:rPr>
          <w:b/>
          <w:bCs/>
        </w:rPr>
        <w:t xml:space="preserve">day-ahead</w:t>
      </w:r>
      <w:r>
        <w:t xml:space="preserve">: before service day</w:t>
      </w:r>
      <w:r>
        <w:t xml:space="preserve"> </w:t>
      </w:r>
      <w:r>
        <w:rPr>
          <w:i/>
          <w:iCs/>
        </w:rPr>
        <w:t xml:space="preserve">D</w:t>
      </w:r>
      <w:r>
        <w:t xml:space="preserve"> </w:t>
      </w:r>
      <w:r>
        <w:t xml:space="preserve">starts, every slot of day</w:t>
      </w:r>
      <w:r>
        <w:t xml:space="preserve"> </w:t>
      </w:r>
      <w:r>
        <w:rPr>
          <w:i/>
          <w:iCs/>
        </w:rPr>
        <w:t xml:space="preserve">D</w:t>
      </w:r>
      <w:r>
        <w:t xml:space="preserve"> </w:t>
      </w:r>
      <w:r>
        <w:t xml:space="preserve">is predicted. Every feature for day</w:t>
      </w:r>
      <w:r>
        <w:t xml:space="preserve"> </w:t>
      </w:r>
      <w:r>
        <w:rPr>
          <w:i/>
          <w:iCs/>
        </w:rPr>
        <w:t xml:space="preserve">D</w:t>
      </w:r>
      <w:r>
        <w:t xml:space="preserve"> </w:t>
      </w:r>
      <w:r>
        <w:t xml:space="preserve">uses only service days strictly before</w:t>
      </w:r>
      <w:r>
        <w:t xml:space="preserve"> </w:t>
      </w:r>
      <w:r>
        <w:rPr>
          <w:i/>
          <w:iCs/>
        </w:rPr>
        <w:t xml:space="preserve">D</w:t>
      </w:r>
      <w:r>
        <w:t xml:space="preserve">. Because day</w:t>
      </w:r>
      <w:r>
        <w:t xml:space="preserve"> </w:t>
      </w:r>
      <w:r>
        <w:rPr>
          <w:i/>
          <w:iCs/>
        </w:rPr>
        <w:t xml:space="preserve">D</w:t>
      </w:r>
      <w:r>
        <w:t xml:space="preserve">−1 ends around 02:15, before day</w:t>
      </w:r>
      <w:r>
        <w:t xml:space="preserve"> </w:t>
      </w:r>
      <w:r>
        <w:rPr>
          <w:i/>
          <w:iCs/>
        </w:rPr>
        <w:t xml:space="preserve">D</w:t>
      </w:r>
      <w:r>
        <w:t xml:space="preserve">’s first trips, all of the previous day is available in time.</w:t>
      </w:r>
    </w:p>
    <w:bookmarkEnd w:id="41"/>
    <w:bookmarkStart w:id="42" w:name="features"/>
    <w:p>
      <w:pPr>
        <w:pStyle w:val="Heading2"/>
      </w:pPr>
      <w:r>
        <w:t xml:space="preserve">4.3 Features</w:t>
      </w:r>
    </w:p>
    <w:p>
      <w:pPr>
        <w:pStyle w:val="FirstParagraph"/>
        <w:keepNext/>
      </w:pPr>
      <w:r>
        <w:t xml:space="preserve">All features are computed in</w:t>
      </w:r>
      <w:r>
        <w:t xml:space="preserve"> </w:t>
      </w:r>
      <w:r>
        <w:rPr>
          <w:rStyle w:val="VerbatimChar"/>
        </w:rPr>
        <w:t xml:space="preserve">src/transit/features.py</w:t>
      </w:r>
      <w:r>
        <w:t xml:space="preserve">. Values from missing records are</w:t>
      </w:r>
      <w:r>
        <w:t xml:space="preserve"> </w:t>
      </w:r>
      <w:r>
        <w:rPr>
          <w:rStyle w:val="VerbatimChar"/>
        </w:rPr>
        <w:t xml:space="preserve">NaN</w:t>
      </w:r>
      <w:r>
        <w:t xml:space="preserve">, never zero.</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3037"/>
        <w:gridCol w:w="6146"/>
      </w:tblGrid>
      <w:tr>
        <w:trPr>
          <w:tblHeader w:val="true"/>
          <w:cantSplit/>
          <w:tblHeader/>
        </w:trPr>
        <w:tc>
          <w:tcPr>
            <w:tcW w:type="dxa" w:w="3038"/>
            <w:shd w:val="clear" w:color="auto" w:fill="DCE3F0"/>
          </w:tcPr>
          <w:p>
            <w:pPr>
              <w:pStyle w:val="Compact"/>
              <w:spacing w:after="0" w:before="0" w:line="240" w:lineRule="auto"/>
              <w:jc w:val="left"/>
            </w:pPr>
            <w:r>
              <w:rPr>
                <w:b/>
                <w:sz w:val="19"/>
              </w:rPr>
              <w:t xml:space="preserve">Group</w:t>
            </w:r>
          </w:p>
        </w:tc>
        <w:tc>
          <w:tcPr>
            <w:tcW w:type="dxa" w:w="6146"/>
            <w:shd w:val="clear" w:color="auto" w:fill="DCE3F0"/>
          </w:tcPr>
          <w:p>
            <w:pPr>
              <w:pStyle w:val="Compact"/>
              <w:spacing w:after="0" w:before="0" w:line="240" w:lineRule="auto"/>
              <w:jc w:val="left"/>
            </w:pPr>
            <w:r>
              <w:rPr>
                <w:b/>
                <w:sz w:val="19"/>
              </w:rPr>
              <w:t xml:space="preserve">Features</w:t>
            </w:r>
          </w:p>
        </w:tc>
      </w:tr>
      <w:tr>
        <w:trPr>
          <w:cantSplit/>
        </w:trPr>
        <w:tc>
          <w:tcPr>
            <w:tcW w:type="dxa" w:w="3038"/>
          </w:tcPr>
          <w:p>
            <w:pPr>
              <w:pStyle w:val="Compact"/>
              <w:spacing w:after="0" w:before="0" w:line="240" w:lineRule="auto"/>
              <w:jc w:val="left"/>
            </w:pPr>
            <w:r>
              <w:rPr>
                <w:sz w:val="19"/>
              </w:rPr>
              <w:t xml:space="preserve">Identity (categorical)</w:t>
            </w:r>
          </w:p>
        </w:tc>
        <w:tc>
          <w:tcPr>
            <w:tcW w:type="dxa" w:w="6146"/>
          </w:tcPr>
          <w:p>
            <w:pPr>
              <w:pStyle w:val="Compact"/>
              <w:spacing w:after="0" w:before="0" w:line="240" w:lineRule="auto"/>
              <w:jc w:val="left"/>
            </w:pPr>
            <w:r>
              <w:rPr>
                <w:sz w:val="19"/>
              </w:rPr>
              <w:t xml:space="preserve">route, direction</w:t>
            </w:r>
          </w:p>
        </w:tc>
      </w:tr>
      <w:tr>
        <w:trPr>
          <w:cantSplit/>
        </w:trPr>
        <w:tc>
          <w:tcPr>
            <w:tcW w:type="dxa" w:w="3038"/>
          </w:tcPr>
          <w:p>
            <w:pPr>
              <w:pStyle w:val="Compact"/>
              <w:spacing w:after="0" w:before="0" w:line="240" w:lineRule="auto"/>
              <w:jc w:val="left"/>
            </w:pPr>
            <w:r>
              <w:rPr>
                <w:sz w:val="19"/>
              </w:rPr>
              <w:t xml:space="preserve">Calendar</w:t>
            </w:r>
          </w:p>
        </w:tc>
        <w:tc>
          <w:tcPr>
            <w:tcW w:type="dxa" w:w="6146"/>
          </w:tcPr>
          <w:p>
            <w:pPr>
              <w:pStyle w:val="Compact"/>
              <w:spacing w:after="0" w:before="0" w:line="240" w:lineRule="auto"/>
              <w:jc w:val="left"/>
            </w:pPr>
            <w:r>
              <w:rPr>
                <w:sz w:val="19"/>
              </w:rPr>
              <w:t xml:space="preserve">service hour, day of week, weekend flag, holiday flag,</w:t>
            </w:r>
            <w:r>
              <w:rPr>
                <w:sz w:val="19"/>
              </w:rPr>
              <w:t xml:space="preserve"> </w:t>
            </w:r>
            <w:r>
              <w:rPr>
                <w:sz w:val="19"/>
              </w:rPr>
              <w:t xml:space="preserve">“</w:t>
            </w:r>
            <w:r>
              <w:rPr>
                <w:sz w:val="19"/>
              </w:rPr>
              <w:t xml:space="preserve">7 days ago was a holiday</w:t>
            </w:r>
            <w:r>
              <w:rPr>
                <w:sz w:val="19"/>
              </w:rPr>
              <w:t xml:space="preserve">”</w:t>
            </w:r>
          </w:p>
        </w:tc>
      </w:tr>
      <w:tr>
        <w:trPr>
          <w:cantSplit/>
        </w:trPr>
        <w:tc>
          <w:tcPr>
            <w:tcW w:type="dxa" w:w="3038"/>
          </w:tcPr>
          <w:p>
            <w:pPr>
              <w:pStyle w:val="Compact"/>
              <w:spacing w:after="0" w:before="0" w:line="240" w:lineRule="auto"/>
              <w:jc w:val="left"/>
            </w:pPr>
            <w:r>
              <w:rPr>
                <w:sz w:val="19"/>
              </w:rPr>
              <w:t xml:space="preserve">Same-hour history of the target</w:t>
            </w:r>
          </w:p>
        </w:tc>
        <w:tc>
          <w:tcPr>
            <w:tcW w:type="dxa" w:w="6146"/>
          </w:tcPr>
          <w:p>
            <w:pPr>
              <w:pStyle w:val="Compact"/>
              <w:spacing w:after="0" w:before="0" w:line="240" w:lineRule="auto"/>
              <w:jc w:val="left"/>
            </w:pPr>
            <w:r>
              <w:rPr>
                <w:sz w:val="19"/>
              </w:rPr>
              <w:t xml:space="preserve">values 1, 7, 14, 21 and 28 days earlier (</w:t>
            </w:r>
            <w:r>
              <w:rPr>
                <w:rStyle w:val="VerbatimChar"/>
                <w:sz w:val="19"/>
              </w:rPr>
              <w:t xml:space="preserve">y_lag1</w:t>
            </w:r>
            <w:r>
              <w:rPr>
                <w:sz w:val="19"/>
              </w:rPr>
              <w:t xml:space="preserve"> </w:t>
            </w:r>
            <w:r>
              <w:rPr>
                <w:sz w:val="19"/>
              </w:rPr>
              <w:t xml:space="preserve">…</w:t>
            </w:r>
            <w:r>
              <w:rPr>
                <w:sz w:val="19"/>
              </w:rPr>
              <w:t xml:space="preserve"> </w:t>
            </w:r>
            <w:r>
              <w:rPr>
                <w:rStyle w:val="VerbatimChar"/>
                <w:sz w:val="19"/>
              </w:rPr>
              <w:t xml:space="preserve">y_lag28</w:t>
            </w:r>
            <w:r>
              <w:rPr>
                <w:sz w:val="19"/>
              </w:rPr>
              <w:t xml:space="preserve">); mean of the last 4 same weekdays (</w:t>
            </w:r>
            <w:r>
              <w:rPr>
                <w:rStyle w:val="VerbatimChar"/>
                <w:sz w:val="19"/>
              </w:rPr>
              <w:t xml:space="preserve">y_mean_dow4</w:t>
            </w:r>
            <w:r>
              <w:rPr>
                <w:sz w:val="19"/>
              </w:rPr>
              <w:t xml:space="preserve">); mean of the last 7 days (</w:t>
            </w:r>
            <w:r>
              <w:rPr>
                <w:rStyle w:val="VerbatimChar"/>
                <w:sz w:val="19"/>
              </w:rPr>
              <w:t xml:space="preserve">y_roll7</w:t>
            </w:r>
            <w:r>
              <w:rPr>
                <w:sz w:val="19"/>
              </w:rPr>
              <w:t xml:space="preserve">); mean of all earlier days of the same day type (</w:t>
            </w:r>
            <w:r>
              <w:rPr>
                <w:rStyle w:val="VerbatimChar"/>
                <w:sz w:val="19"/>
              </w:rPr>
              <w:t xml:space="preserve">y_hist_daytype</w:t>
            </w:r>
            <w:r>
              <w:rPr>
                <w:sz w:val="19"/>
              </w:rPr>
              <w:t xml:space="preserve">)</w:t>
            </w:r>
          </w:p>
        </w:tc>
      </w:tr>
      <w:tr>
        <w:trPr>
          <w:cantSplit/>
        </w:trPr>
        <w:tc>
          <w:tcPr>
            <w:tcW w:type="dxa" w:w="3038"/>
          </w:tcPr>
          <w:p>
            <w:pPr>
              <w:pStyle w:val="Compact"/>
              <w:spacing w:after="0" w:before="0" w:line="240" w:lineRule="auto"/>
              <w:jc w:val="left"/>
            </w:pPr>
            <w:r>
              <w:rPr>
                <w:sz w:val="19"/>
              </w:rPr>
              <w:t xml:space="preserve">Service intensity</w:t>
            </w:r>
          </w:p>
        </w:tc>
        <w:tc>
          <w:tcPr>
            <w:tcW w:type="dxa" w:w="6146"/>
          </w:tcPr>
          <w:p>
            <w:pPr>
              <w:pStyle w:val="Compact"/>
              <w:spacing w:after="0" w:before="0" w:line="240" w:lineRule="auto"/>
              <w:jc w:val="left"/>
            </w:pPr>
            <w:r>
              <w:rPr>
                <w:sz w:val="19"/>
              </w:rPr>
              <w:t xml:space="preserve">number of trips in that hour 7 days earlier, and the mean over the last 4 same weekdays</w:t>
            </w:r>
          </w:p>
        </w:tc>
      </w:tr>
      <w:tr>
        <w:trPr>
          <w:cantSplit/>
        </w:trPr>
        <w:tc>
          <w:tcPr>
            <w:tcW w:type="dxa" w:w="3038"/>
          </w:tcPr>
          <w:p>
            <w:pPr>
              <w:pStyle w:val="Compact"/>
              <w:spacing w:after="0" w:before="0" w:line="240" w:lineRule="auto"/>
              <w:jc w:val="left"/>
            </w:pPr>
            <w:r>
              <w:rPr>
                <w:sz w:val="19"/>
              </w:rPr>
              <w:t xml:space="preserve">Route-day totals</w:t>
            </w:r>
          </w:p>
        </w:tc>
        <w:tc>
          <w:tcPr>
            <w:tcW w:type="dxa" w:w="6146"/>
          </w:tcPr>
          <w:p>
            <w:pPr>
              <w:pStyle w:val="Compact"/>
              <w:spacing w:after="0" w:before="0" w:line="240" w:lineRule="auto"/>
              <w:jc w:val="left"/>
            </w:pPr>
            <w:r>
              <w:rPr>
                <w:sz w:val="19"/>
              </w:rPr>
              <w:t xml:space="preserve">the route-direction’s total on the previous day and 7 days earlier</w:t>
            </w:r>
          </w:p>
        </w:tc>
      </w:tr>
      <w:tr>
        <w:trPr>
          <w:cantSplit/>
        </w:trPr>
        <w:tc>
          <w:tcPr>
            <w:tcW w:type="dxa" w:w="3038"/>
          </w:tcPr>
          <w:p>
            <w:pPr>
              <w:pStyle w:val="Compact"/>
              <w:spacing w:after="0" w:before="0" w:line="240" w:lineRule="auto"/>
              <w:jc w:val="left"/>
            </w:pPr>
            <w:r>
              <w:rPr>
                <w:sz w:val="19"/>
              </w:rPr>
              <w:t xml:space="preserve">Load model only</w:t>
            </w:r>
          </w:p>
        </w:tc>
        <w:tc>
          <w:tcPr>
            <w:tcW w:type="dxa" w:w="6146"/>
          </w:tcPr>
          <w:p>
            <w:pPr>
              <w:pStyle w:val="Compact"/>
              <w:spacing w:after="0" w:before="0" w:line="240" w:lineRule="auto"/>
              <w:jc w:val="left"/>
            </w:pPr>
            <w:r>
              <w:rPr>
                <w:sz w:val="19"/>
              </w:rPr>
              <w:t xml:space="preserve">boardings at that hour 7 days earlier, and over the last 4 same weekdays</w:t>
            </w:r>
          </w:p>
        </w:tc>
      </w:tr>
    </w:tbl>
    <w:p>
      <w:pPr>
        <w:pStyle w:val="BodyText"/>
        <w:spacing w:before="160"/>
      </w:pPr>
      <w:r>
        <w:rPr>
          <w:b/>
          <w:bCs/>
        </w:rPr>
        <w:t xml:space="preserve">Leakage control.</w:t>
      </w:r>
      <w:r>
        <w:t xml:space="preserve"> </w:t>
      </w:r>
      <w:r>
        <w:t xml:space="preserve">The test</w:t>
      </w:r>
      <w:r>
        <w:t xml:space="preserve"> </w:t>
      </w:r>
      <w:r>
        <w:rPr>
          <w:rStyle w:val="VerbatimChar"/>
        </w:rPr>
        <w:t xml:space="preserve">test_features_for_day_d_ignore_day_d_and_later</w:t>
      </w:r>
      <w:r>
        <w:t xml:space="preserve"> </w:t>
      </w:r>
      <w:r>
        <w:t xml:space="preserve">multiplies all data from a day</w:t>
      </w:r>
      <w:r>
        <w:t xml:space="preserve"> </w:t>
      </w:r>
      <w:r>
        <w:rPr>
          <w:i/>
          <w:iCs/>
        </w:rPr>
        <w:t xml:space="preserve">D</w:t>
      </w:r>
      <w:r>
        <w:t xml:space="preserve"> </w:t>
      </w:r>
      <w:r>
        <w:t xml:space="preserve">onward by 50 and checks that the features of day</w:t>
      </w:r>
      <w:r>
        <w:t xml:space="preserve"> </w:t>
      </w:r>
      <w:r>
        <w:rPr>
          <w:i/>
          <w:iCs/>
        </w:rPr>
        <w:t xml:space="preserve">D</w:t>
      </w:r>
      <w:r>
        <w:t xml:space="preserve"> </w:t>
      </w:r>
      <w:r>
        <w:t xml:space="preserve">do not change (while its target does).</w:t>
      </w:r>
    </w:p>
    <w:bookmarkEnd w:id="42"/>
    <w:bookmarkStart w:id="43" w:name="baselines"/>
    <w:p>
      <w:pPr>
        <w:pStyle w:val="Heading2"/>
      </w:pPr>
      <w:r>
        <w:t xml:space="preserve">4.4 Baselines</w:t>
      </w:r>
    </w:p>
    <w:p>
      <w:pPr>
        <w:pStyle w:val="FirstParagraph"/>
      </w:pPr>
      <w:r>
        <w:t xml:space="preserve">Three baselines are scored on exactly the same rows as the model:</w:t>
      </w:r>
    </w:p>
    <w:p>
      <w:pPr>
        <w:pStyle w:val="Compact"/>
        <w:numPr>
          <w:ilvl w:val="0"/>
          <w:numId w:val="1006"/>
        </w:numPr>
      </w:pPr>
      <w:r>
        <w:rPr>
          <w:b/>
          <w:bCs/>
        </w:rPr>
        <w:t xml:space="preserve">Same hour last week</w:t>
      </w:r>
      <w:r>
        <w:t xml:space="preserve"> </w:t>
      </w:r>
      <w:r>
        <w:t xml:space="preserve">(seasonal naive):</w:t>
      </w:r>
      <w:r>
        <w:t xml:space="preserve"> </w:t>
      </w:r>
      <w:r>
        <w:rPr>
          <w:rStyle w:val="VerbatimChar"/>
        </w:rPr>
        <w:t xml:space="preserve">y_lag7</w:t>
      </w:r>
      <w:r>
        <w:t xml:space="preserve">. This is a common planning rule of thumb.</w:t>
      </w:r>
    </w:p>
    <w:p>
      <w:pPr>
        <w:pStyle w:val="Compact"/>
        <w:numPr>
          <w:ilvl w:val="0"/>
          <w:numId w:val="1006"/>
        </w:numPr>
      </w:pPr>
      <w:r>
        <w:rPr>
          <w:b/>
          <w:bCs/>
        </w:rPr>
        <w:t xml:space="preserve">Mean of the last 4 same weekdays:</w:t>
      </w:r>
      <w:r>
        <w:t xml:space="preserve"> </w:t>
      </w:r>
      <w:r>
        <w:rPr>
          <w:rStyle w:val="VerbatimChar"/>
        </w:rPr>
        <w:t xml:space="preserve">y_mean_dow4</w:t>
      </w:r>
      <w:r>
        <w:t xml:space="preserve">.</w:t>
      </w:r>
    </w:p>
    <w:p>
      <w:pPr>
        <w:pStyle w:val="Compact"/>
        <w:numPr>
          <w:ilvl w:val="0"/>
          <w:numId w:val="1006"/>
        </w:numPr>
      </w:pPr>
      <w:r>
        <w:rPr>
          <w:b/>
          <w:bCs/>
        </w:rPr>
        <w:t xml:space="preserve">Historical average:</w:t>
      </w:r>
      <w:r>
        <w:t xml:space="preserve"> </w:t>
      </w:r>
      <w:r>
        <w:rPr>
          <w:rStyle w:val="VerbatimChar"/>
        </w:rPr>
        <w:t xml:space="preserve">y_hist_daytype</w:t>
      </w:r>
      <w:r>
        <w:t xml:space="preserve">, the mean of all earlier days of the same day type at that hour. It is a strong statistical baseline.</w:t>
      </w:r>
    </w:p>
    <w:p>
      <w:pPr>
        <w:pStyle w:val="FirstParagraph"/>
      </w:pPr>
      <w:r>
        <w:t xml:space="preserve">If the primary value is missing, each baseline falls back to the historical average, then the 7-day mean, then the training median for that hour, so every scored row has a baseline prediction. On the demand test set,</w:t>
      </w:r>
      <w:r>
        <w:t xml:space="preserve"> </w:t>
      </w:r>
      <w:r>
        <w:t xml:space="preserve">“</w:t>
      </w:r>
      <w:r>
        <w:t xml:space="preserve">same hour last week</w:t>
      </w:r>
      <w:r>
        <w:t xml:space="preserve">”</w:t>
      </w:r>
      <w:r>
        <w:t xml:space="preserve"> </w:t>
      </w:r>
      <w:r>
        <w:t xml:space="preserve">used its primary value for 126,281 of 127,935 rows; the counts for every baseline are in</w:t>
      </w:r>
      <w:r>
        <w:t xml:space="preserve"> </w:t>
      </w:r>
      <w:r>
        <w:rPr>
          <w:rStyle w:val="VerbatimChar"/>
        </w:rPr>
        <w:t xml:space="preserve">metrics.json</w:t>
      </w:r>
      <w:r>
        <w:t xml:space="preserve">.</w:t>
      </w:r>
    </w:p>
    <w:bookmarkEnd w:id="43"/>
    <w:bookmarkStart w:id="44" w:name="model-lightgbm"/>
    <w:p>
      <w:pPr>
        <w:pStyle w:val="Heading2"/>
      </w:pPr>
      <w:r>
        <w:t xml:space="preserve">4.5 Model: LightGBM</w:t>
      </w:r>
    </w:p>
    <w:p>
      <w:pPr>
        <w:pStyle w:val="FirstParagraph"/>
      </w:pPr>
      <w:r>
        <w:t xml:space="preserve">LightGBM (Ke et al., 2017) is a gradient-boosted decision-tree library. We chose it because trees handle mixed numerical and categorical inputs and missing values natively, capture non-linear interactions (for example between route and hour), train in seconds to minutes on a laptop for about 350,000 training rows, and are deterministic with a fixed seed. Route and direction are categorical features, so one model serves all routes. We did not try deep sequence models (LSTM, GRU) or per-route statistical models (SARIMA); with about 660 route-directions and 38 training days, one tree model with shared structure was the simpler and more testable choice. We make no claim about how those alternatives would perform.</w:t>
      </w:r>
    </w:p>
    <w:p>
      <w:pPr>
        <w:pStyle w:val="BodyText"/>
      </w:pPr>
      <w:r>
        <w:t xml:space="preserve">Fixed settings: learning rate 0.05, at least 50 rows per leaf, feature and bagging fractions 0.8, L2 regularisation 1.0, seed 42, deterministic mode, 2 threads. Six configurations per target (objectives and tree sizes, Table 4) were each trained on the training period with early stopping on the validation week (up to 3,000 rounds, patience 100). Predictions are clipped at zero.</w:t>
      </w:r>
    </w:p>
    <w:bookmarkEnd w:id="44"/>
    <w:bookmarkStart w:id="45" w:name="Xdd4fd680ff4a24281e7f80117abd399b3b5dc61"/>
    <w:p>
      <w:pPr>
        <w:pStyle w:val="Heading2"/>
      </w:pPr>
      <w:r>
        <w:t xml:space="preserve">4.6 Final forecast: a validation-chosen blend (decision D12)</w:t>
      </w:r>
    </w:p>
    <w:p>
      <w:pPr>
        <w:pStyle w:val="FirstParagraph"/>
      </w:pPr>
      <w:r>
        <w:t xml:space="preserve">The final forecast is</w:t>
      </w:r>
    </w:p>
    <w:p>
      <w:pPr>
        <w:pStyle w:val="BlockText"/>
      </w:pPr>
      <w:r>
        <w:t xml:space="preserve">final forecast = w × LightGBM forecast + (1 − w) × historical average,</w:t>
      </w:r>
    </w:p>
    <w:p>
      <w:pPr>
        <w:pStyle w:val="FirstParagraph"/>
      </w:pPr>
      <w:r>
        <w:t xml:space="preserve">with w chosen on the validation week from {0, 0.25, 0.5, 0.75, 1}. Section 5.4 explains why this blend exists. Validation chose w = 0.5 for both targets.</w:t>
      </w:r>
    </w:p>
    <w:bookmarkEnd w:id="45"/>
    <w:bookmarkStart w:id="46" w:name="prediction-intervals-decision-d13"/>
    <w:p>
      <w:pPr>
        <w:pStyle w:val="Heading2"/>
      </w:pPr>
      <w:r>
        <w:t xml:space="preserve">4.7 Prediction intervals (decision D13)</w:t>
      </w:r>
    </w:p>
    <w:p>
      <w:pPr>
        <w:pStyle w:val="FirstParagraph"/>
      </w:pPr>
      <w:r>
        <w:t xml:space="preserve">Each forecast has an 80% prediction interval. Two quantile LightGBM models (10% and 90% quantiles) are early-stopped on validation and refit on training plus validation. The interval is then widened by a split-conformal margin computed on the validation week, following conformalised quantile regression (Romano et al., 2019): the margin is the appropriate quantile of max(lower − actual, actual − upper) over validation rows, with the finite-sample correction. Point forecasts are unchanged by this step.</w:t>
      </w:r>
    </w:p>
    <w:bookmarkEnd w:id="46"/>
    <w:bookmarkEnd w:id="47"/>
    <w:bookmarkStart w:id="52" w:name="experimental-methodology"/>
    <w:p>
      <w:pPr>
        <w:pStyle w:val="Heading1"/>
      </w:pPr>
      <w:r>
        <w:t xml:space="preserve">5. Experimental methodology</w:t>
      </w:r>
    </w:p>
    <w:bookmarkStart w:id="48" w:name="chronological-split"/>
    <w:p>
      <w:pPr>
        <w:pStyle w:val="Heading2"/>
        <w:keepNext/>
      </w:pPr>
      <w:r>
        <w:t xml:space="preserve">5.1 Chronological split</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1332"/>
        <w:gridCol w:w="2226"/>
        <w:gridCol w:w="5625"/>
      </w:tblGrid>
      <w:tr>
        <w:trPr>
          <w:tblHeader w:val="true"/>
          <w:cantSplit/>
          <w:tblHeader/>
        </w:trPr>
        <w:tc>
          <w:tcPr>
            <w:tcW w:type="dxa" w:w="1332"/>
            <w:shd w:val="clear" w:color="auto" w:fill="DCE3F0"/>
          </w:tcPr>
          <w:p>
            <w:pPr>
              <w:pStyle w:val="Compact"/>
              <w:spacing w:after="0" w:before="0" w:line="240" w:lineRule="auto"/>
              <w:jc w:val="left"/>
            </w:pPr>
            <w:r>
              <w:rPr>
                <w:b/>
                <w:sz w:val="19"/>
              </w:rPr>
              <w:t xml:space="preserve">Split</w:t>
            </w:r>
          </w:p>
        </w:tc>
        <w:tc>
          <w:tcPr>
            <w:tcW w:type="dxa" w:w="2226"/>
            <w:shd w:val="clear" w:color="auto" w:fill="DCE3F0"/>
          </w:tcPr>
          <w:p>
            <w:pPr>
              <w:pStyle w:val="Compact"/>
              <w:spacing w:after="0" w:before="0" w:line="240" w:lineRule="auto"/>
              <w:jc w:val="left"/>
            </w:pPr>
            <w:r>
              <w:rPr>
                <w:b/>
                <w:sz w:val="19"/>
              </w:rPr>
              <w:t xml:space="preserve">Dates (2024)</w:t>
            </w:r>
          </w:p>
        </w:tc>
        <w:tc>
          <w:tcPr>
            <w:tcW w:type="dxa" w:w="5626"/>
            <w:shd w:val="clear" w:color="auto" w:fill="DCE3F0"/>
          </w:tcPr>
          <w:p>
            <w:pPr>
              <w:pStyle w:val="Compact"/>
              <w:spacing w:after="0" w:before="0" w:line="240" w:lineRule="auto"/>
              <w:jc w:val="left"/>
            </w:pPr>
            <w:r>
              <w:rPr>
                <w:b/>
                <w:sz w:val="19"/>
              </w:rPr>
              <w:t xml:space="preserve">Use</w:t>
            </w:r>
          </w:p>
        </w:tc>
      </w:tr>
      <w:tr>
        <w:trPr>
          <w:cantSplit/>
        </w:trPr>
        <w:tc>
          <w:tcPr>
            <w:tcW w:type="dxa" w:w="1332"/>
          </w:tcPr>
          <w:p>
            <w:pPr>
              <w:pStyle w:val="Compact"/>
              <w:spacing w:after="0" w:before="0" w:line="240" w:lineRule="auto"/>
              <w:jc w:val="left"/>
            </w:pPr>
            <w:r>
              <w:rPr>
                <w:sz w:val="19"/>
              </w:rPr>
              <w:t xml:space="preserve">Train</w:t>
            </w:r>
          </w:p>
        </w:tc>
        <w:tc>
          <w:tcPr>
            <w:tcW w:type="dxa" w:w="2226"/>
          </w:tcPr>
          <w:p>
            <w:pPr>
              <w:pStyle w:val="Compact"/>
              <w:spacing w:after="0" w:before="0" w:line="240" w:lineRule="auto"/>
              <w:jc w:val="left"/>
            </w:pPr>
            <w:r>
              <w:rPr>
                <w:sz w:val="19"/>
              </w:rPr>
              <w:t xml:space="preserve">1 March–7 April (38 days)</w:t>
            </w:r>
          </w:p>
        </w:tc>
        <w:tc>
          <w:tcPr>
            <w:tcW w:type="dxa" w:w="5626"/>
          </w:tcPr>
          <w:p>
            <w:pPr>
              <w:pStyle w:val="Compact"/>
              <w:spacing w:after="0" w:before="0" w:line="240" w:lineRule="auto"/>
              <w:jc w:val="left"/>
            </w:pPr>
            <w:r>
              <w:rPr>
                <w:sz w:val="19"/>
              </w:rPr>
              <w:t xml:space="preserve">Model fitting; service profile</w:t>
            </w:r>
          </w:p>
        </w:tc>
      </w:tr>
      <w:tr>
        <w:trPr>
          <w:cantSplit/>
        </w:trPr>
        <w:tc>
          <w:tcPr>
            <w:tcW w:type="dxa" w:w="1332"/>
          </w:tcPr>
          <w:p>
            <w:pPr>
              <w:pStyle w:val="Compact"/>
              <w:spacing w:after="0" w:before="0" w:line="240" w:lineRule="auto"/>
              <w:jc w:val="left"/>
            </w:pPr>
            <w:r>
              <w:rPr>
                <w:sz w:val="19"/>
              </w:rPr>
              <w:t xml:space="preserve">Validation</w:t>
            </w:r>
          </w:p>
        </w:tc>
        <w:tc>
          <w:tcPr>
            <w:tcW w:type="dxa" w:w="2226"/>
          </w:tcPr>
          <w:p>
            <w:pPr>
              <w:pStyle w:val="Compact"/>
              <w:spacing w:after="0" w:before="0" w:line="240" w:lineRule="auto"/>
              <w:jc w:val="left"/>
            </w:pPr>
            <w:r>
              <w:rPr>
                <w:sz w:val="19"/>
              </w:rPr>
              <w:t xml:space="preserve">8–14 April</w:t>
            </w:r>
          </w:p>
        </w:tc>
        <w:tc>
          <w:tcPr>
            <w:tcW w:type="dxa" w:w="5626"/>
          </w:tcPr>
          <w:p>
            <w:pPr>
              <w:pStyle w:val="Compact"/>
              <w:spacing w:after="0" w:before="0" w:line="240" w:lineRule="auto"/>
              <w:jc w:val="left"/>
            </w:pPr>
            <w:r>
              <w:rPr>
                <w:sz w:val="19"/>
              </w:rPr>
              <w:t xml:space="preserve">All choices: configuration, number of rounds, blend weight, interval margin, ablation</w:t>
            </w:r>
          </w:p>
        </w:tc>
      </w:tr>
      <w:tr>
        <w:trPr>
          <w:cantSplit/>
        </w:trPr>
        <w:tc>
          <w:tcPr>
            <w:tcW w:type="dxa" w:w="1332"/>
          </w:tcPr>
          <w:p>
            <w:pPr>
              <w:pStyle w:val="Compact"/>
              <w:spacing w:after="0" w:before="0" w:line="240" w:lineRule="auto"/>
              <w:jc w:val="left"/>
            </w:pPr>
            <w:r>
              <w:rPr>
                <w:sz w:val="19"/>
              </w:rPr>
              <w:t xml:space="preserve">Test</w:t>
            </w:r>
          </w:p>
        </w:tc>
        <w:tc>
          <w:tcPr>
            <w:tcW w:type="dxa" w:w="2226"/>
          </w:tcPr>
          <w:p>
            <w:pPr>
              <w:pStyle w:val="Compact"/>
              <w:spacing w:after="0" w:before="0" w:line="240" w:lineRule="auto"/>
              <w:jc w:val="left"/>
            </w:pPr>
            <w:r>
              <w:rPr>
                <w:sz w:val="19"/>
              </w:rPr>
              <w:t xml:space="preserve">15–28 April (14 days)</w:t>
            </w:r>
          </w:p>
        </w:tc>
        <w:tc>
          <w:tcPr>
            <w:tcW w:type="dxa" w:w="5626"/>
          </w:tcPr>
          <w:p>
            <w:pPr>
              <w:pStyle w:val="Compact"/>
              <w:spacing w:after="0" w:before="0" w:line="240" w:lineRule="auto"/>
              <w:jc w:val="left"/>
            </w:pPr>
            <w:r>
              <w:rPr>
                <w:sz w:val="19"/>
              </w:rPr>
              <w:t xml:space="preserve">Final scoring only</w:t>
            </w:r>
          </w:p>
        </w:tc>
      </w:tr>
    </w:tbl>
    <w:p>
      <w:pPr>
        <w:pStyle w:val="BodyText"/>
        <w:spacing w:before="160"/>
      </w:pPr>
      <w:r>
        <w:t xml:space="preserve">The split is by date, never random: a random split would let the model learn from days after the ones it predicts. Good Friday (29 March) falls in the training period, so holiday behaviour is not tested. The test weeks contain no weekday national holiday (Tiradentes, 21 April 2024, fell on a Sunday).</w:t>
      </w:r>
    </w:p>
    <w:bookmarkEnd w:id="48"/>
    <w:bookmarkStart w:id="49" w:name="protocol"/>
    <w:p>
      <w:pPr>
        <w:pStyle w:val="Heading2"/>
      </w:pPr>
      <w:r>
        <w:t xml:space="preserve">5.2 Protocol</w:t>
      </w:r>
    </w:p>
    <w:p>
      <w:pPr>
        <w:pStyle w:val="Compact"/>
        <w:numPr>
          <w:ilvl w:val="0"/>
          <w:numId w:val="1007"/>
        </w:numPr>
      </w:pPr>
      <w:r>
        <w:t xml:space="preserve">Fit each configuration on train with early stopping on validation; choose the lowest validation WAPE.</w:t>
      </w:r>
    </w:p>
    <w:p>
      <w:pPr>
        <w:pStyle w:val="Compact"/>
        <w:numPr>
          <w:ilvl w:val="0"/>
          <w:numId w:val="1007"/>
        </w:numPr>
      </w:pPr>
      <w:r>
        <w:t xml:space="preserve">Run a feature-group ablation on validation.</w:t>
      </w:r>
    </w:p>
    <w:p>
      <w:pPr>
        <w:pStyle w:val="Compact"/>
        <w:numPr>
          <w:ilvl w:val="0"/>
          <w:numId w:val="1007"/>
        </w:numPr>
      </w:pPr>
      <w:r>
        <w:t xml:space="preserve">Refit the chosen configuration on train + validation for the same number of rounds (no week is left to stop on).</w:t>
      </w:r>
    </w:p>
    <w:p>
      <w:pPr>
        <w:pStyle w:val="Compact"/>
        <w:numPr>
          <w:ilvl w:val="0"/>
          <w:numId w:val="1007"/>
        </w:numPr>
      </w:pPr>
      <w:r>
        <w:t xml:space="preserve">Choose the blend weight and the conformal margin on validation predictions.</w:t>
      </w:r>
    </w:p>
    <w:p>
      <w:pPr>
        <w:pStyle w:val="Compact"/>
        <w:numPr>
          <w:ilvl w:val="0"/>
          <w:numId w:val="1007"/>
        </w:numPr>
      </w:pPr>
      <w:r>
        <w:t xml:space="preserve">Score all methods on the test weeks, on observed route-hours only.</w:t>
      </w:r>
    </w:p>
    <w:p>
      <w:pPr>
        <w:pStyle w:val="Compact"/>
        <w:numPr>
          <w:ilvl w:val="0"/>
          <w:numId w:val="1007"/>
        </w:numPr>
      </w:pPr>
      <w:r>
        <w:t xml:space="preserve">Produce a forecast for 29 April 2024, for which our data has no actuals (a demonstration only).</w:t>
      </w:r>
    </w:p>
    <w:p>
      <w:pPr>
        <w:pStyle w:val="FirstParagraph"/>
      </w:pPr>
      <w:r>
        <w:rPr>
          <w:b/>
          <w:bCs/>
        </w:rPr>
        <w:t xml:space="preserve">Rolling inputs, fixed model.</w:t>
      </w:r>
      <w:r>
        <w:t xml:space="preserve"> </w:t>
      </w:r>
      <w:r>
        <w:t xml:space="preserve">During the test weeks the model is not retrained. Its</w:t>
      </w:r>
      <w:r>
        <w:t xml:space="preserve"> </w:t>
      </w:r>
      <w:r>
        <w:rPr>
          <w:i/>
          <w:iCs/>
        </w:rPr>
        <w:t xml:space="preserve">inputs</w:t>
      </w:r>
      <w:r>
        <w:t xml:space="preserve"> </w:t>
      </w:r>
      <w:r>
        <w:t xml:space="preserve">move forward each day: the features for 17 April use actual values up to 16 April, including earlier test days, as they would in a real day-ahead deployment.</w:t>
      </w:r>
    </w:p>
    <w:bookmarkEnd w:id="49"/>
    <w:bookmarkStart w:id="50" w:name="metrics"/>
    <w:p>
      <w:pPr>
        <w:pStyle w:val="Heading2"/>
      </w:pPr>
      <w:r>
        <w:t xml:space="preserve">5.3 Metrics</w:t>
      </w:r>
    </w:p>
    <w:p>
      <w:pPr>
        <w:pStyle w:val="FirstParagraph"/>
      </w:pPr>
      <w:r>
        <w:t xml:space="preserve">For actual values y and forecasts ŷ over n scored route-hours (sums run over those route-hours):</w:t>
      </w:r>
    </w:p>
    <w:p>
      <w:pPr>
        <w:pStyle w:val="Compact"/>
        <w:numPr>
          <w:ilvl w:val="0"/>
          <w:numId w:val="1008"/>
        </w:numPr>
      </w:pPr>
      <w:r>
        <w:t xml:space="preserve">MAE = Σ|ŷ − y| / n; RMSE = √(Σ(ŷ − y)² / n); Bias = Σ(ŷ − y) / n (positive means over-forecasting).</w:t>
      </w:r>
    </w:p>
    <w:p>
      <w:pPr>
        <w:pStyle w:val="Compact"/>
        <w:numPr>
          <w:ilvl w:val="0"/>
          <w:numId w:val="1008"/>
        </w:numPr>
      </w:pPr>
      <w:r>
        <w:t xml:space="preserve">WAPE = Σ|ŷ − y| / Σ|y|: total error relative to total passengers. We use WAPE rather than MAPE because 5,165 observed test hours have zero boardings, for which a percentage error is undefined.</w:t>
      </w:r>
    </w:p>
    <w:p>
      <w:pPr>
        <w:pStyle w:val="Compact"/>
        <w:numPr>
          <w:ilvl w:val="0"/>
          <w:numId w:val="1008"/>
        </w:numPr>
      </w:pPr>
      <w:r>
        <w:rPr>
          <w:b/>
          <w:bCs/>
        </w:rPr>
        <w:t xml:space="preserve">Crowding:</w:t>
      </w:r>
      <w:r>
        <w:t xml:space="preserve"> </w:t>
      </w:r>
      <w:r>
        <w:t xml:space="preserve">macro-F1 (the unweighted mean of the per-class F1 scores), per-class precision and recall, and the confusion matrix.</w:t>
      </w:r>
    </w:p>
    <w:p>
      <w:pPr>
        <w:pStyle w:val="Compact"/>
        <w:numPr>
          <w:ilvl w:val="0"/>
          <w:numId w:val="1008"/>
        </w:numPr>
      </w:pPr>
      <w:r>
        <w:rPr>
          <w:b/>
          <w:bCs/>
        </w:rPr>
        <w:t xml:space="preserve">Intervals:</w:t>
      </w:r>
      <w:r>
        <w:t xml:space="preserve"> </w:t>
      </w:r>
      <w:r>
        <w:t xml:space="preserve">coverage (share of actual values inside the interval) and mean width.</w:t>
      </w:r>
    </w:p>
    <w:p>
      <w:pPr>
        <w:pStyle w:val="Compact"/>
        <w:numPr>
          <w:ilvl w:val="0"/>
          <w:numId w:val="1008"/>
        </w:numPr>
      </w:pPr>
      <w:r>
        <w:rPr>
          <w:b/>
          <w:bCs/>
        </w:rPr>
        <w:t xml:space="preserve">Is a gain real?</w:t>
      </w:r>
      <w:r>
        <w:t xml:space="preserve"> </w:t>
      </w:r>
      <w:r>
        <w:t xml:space="preserve">A paired cluster bootstrap (Efron and Tibshirani, 1993) over route-directions: route-directions are resampled with replacement 2,000 times, because hours of the same route are correlated, and the 2.5% and 97.5% quantiles of the WAPE difference give a 95% interval.</w:t>
      </w:r>
    </w:p>
    <w:bookmarkEnd w:id="50"/>
    <w:bookmarkStart w:id="51" w:name="Xe485786b8bfbceab39d4809f174a18469e98e15"/>
    <w:p>
      <w:pPr>
        <w:pStyle w:val="Heading2"/>
      </w:pPr>
      <w:r>
        <w:t xml:space="preserve">5.4 Test-set disclosure: the test weeks were scored twice</w:t>
      </w:r>
    </w:p>
    <w:p>
      <w:pPr>
        <w:pStyle w:val="Compact"/>
        <w:numPr>
          <w:ilvl w:val="0"/>
          <w:numId w:val="1009"/>
        </w:numPr>
      </w:pPr>
      <w:r>
        <w:rPr>
          <w:b/>
          <w:bCs/>
        </w:rPr>
        <w:t xml:space="preserve">First scoring (v1, LightGBM alone).</w:t>
      </w:r>
      <w:r>
        <w:t xml:space="preserve"> </w:t>
      </w:r>
      <w:r>
        <w:t xml:space="preserve">The first full run scored LightGBM alone. It beat</w:t>
      </w:r>
      <w:r>
        <w:t xml:space="preserve"> </w:t>
      </w:r>
      <w:r>
        <w:t xml:space="preserve">“</w:t>
      </w:r>
      <w:r>
        <w:t xml:space="preserve">same hour last week</w:t>
      </w:r>
      <w:r>
        <w:t xml:space="preserve">”</w:t>
      </w:r>
      <w:r>
        <w:t xml:space="preserve"> </w:t>
      </w:r>
      <w:r>
        <w:t xml:space="preserve">clearly but tied the historical average (demand test WAPE 18.39% against 18.35%; load 19.39% against 19.35%). The validation week had shown the same pattern. These results are kept in</w:t>
      </w:r>
      <w:r>
        <w:t xml:space="preserve"> </w:t>
      </w:r>
      <w:r>
        <w:rPr>
          <w:rStyle w:val="VerbatimChar"/>
        </w:rPr>
        <w:t xml:space="preserve">reports/archive/metrics_v1_lightgbm_only.json</w:t>
      </w:r>
      <w:r>
        <w:t xml:space="preserve">.</w:t>
      </w:r>
    </w:p>
    <w:p>
      <w:pPr>
        <w:pStyle w:val="Compact"/>
        <w:numPr>
          <w:ilvl w:val="0"/>
          <w:numId w:val="1009"/>
        </w:numPr>
      </w:pPr>
      <w:r>
        <w:rPr>
          <w:b/>
          <w:bCs/>
        </w:rPr>
        <w:t xml:space="preserve">Diagnosis on validation only</w:t>
      </w:r>
      <w:r>
        <w:t xml:space="preserve"> </w:t>
      </w:r>
      <w:r>
        <w:t xml:space="preserve">(</w:t>
      </w:r>
      <w:r>
        <w:rPr>
          <w:rStyle w:val="VerbatimChar"/>
        </w:rPr>
        <w:t xml:space="preserve">reports/archive/experiments_validation_v2.csv</w:t>
      </w:r>
      <w:r>
        <w:t xml:space="preserve">). A history-length feature made demand worse (19.14% to 19.16% validation WAPE, against 18.84% for LightGBM alone). For demand, a model of the residual from the historical average was slightly better than LightGBM alone (18.69% to 18.82%), but it stopped after 11–31 boosting rounds, a sign that little signal remains beyond the weekly profile, and the simpler blend did better still (18.65%).</w:t>
      </w:r>
    </w:p>
    <w:p>
      <w:pPr>
        <w:pStyle w:val="Compact"/>
        <w:numPr>
          <w:ilvl w:val="0"/>
          <w:numId w:val="1009"/>
        </w:numPr>
      </w:pPr>
      <w:r>
        <w:rPr>
          <w:b/>
          <w:bCs/>
        </w:rPr>
        <w:t xml:space="preserve">Second scoring (v2, the blend).</w:t>
      </w:r>
      <w:r>
        <w:t xml:space="preserve"> </w:t>
      </w:r>
      <w:r>
        <w:t xml:space="preserve">The blend weight was chosen on validation only and the blend was then scored once on test. These are the results reported in section 6.</w:t>
      </w:r>
    </w:p>
    <w:p>
      <w:pPr>
        <w:pStyle w:val="FirstParagraph"/>
      </w:pPr>
      <w:r>
        <w:t xml:space="preserve">The blend was motivated by what the first test scoring showed, so the test weeks are not perfectly untouched. We report both scorings. No further changes were tested on the test weeks, and none were made for this report.</w:t>
      </w:r>
    </w:p>
    <w:bookmarkEnd w:id="51"/>
    <w:bookmarkEnd w:id="52"/>
    <w:bookmarkStart w:id="69" w:name="results"/>
    <w:p>
      <w:pPr>
        <w:pStyle w:val="Heading1"/>
      </w:pPr>
      <w:r>
        <w:t xml:space="preserve">6. Results</w:t>
      </w:r>
    </w:p>
    <w:p>
      <w:pPr>
        <w:pStyle w:val="FirstParagraph"/>
      </w:pPr>
      <w:r>
        <w:t xml:space="preserve">All results in this section are</w:t>
      </w:r>
      <w:r>
        <w:t xml:space="preserve"> </w:t>
      </w:r>
      <w:r>
        <w:rPr>
          <w:b/>
          <w:bCs/>
        </w:rPr>
        <w:t xml:space="preserve">measured</w:t>
      </w:r>
      <w:r>
        <w:t xml:space="preserve"> </w:t>
      </w:r>
      <w:r>
        <w:t xml:space="preserve">on the test weeks (15–28 April 2024) unless marked otherwise. They come from</w:t>
      </w:r>
      <w:r>
        <w:t xml:space="preserve"> </w:t>
      </w:r>
      <w:r>
        <w:rPr>
          <w:rStyle w:val="VerbatimChar"/>
        </w:rPr>
        <w:t xml:space="preserve">reports/RESULTS.md</w:t>
      </w:r>
      <w:r>
        <w:t xml:space="preserve">.</w:t>
      </w:r>
    </w:p>
    <w:bookmarkStart w:id="56" w:name="main-results"/>
    <w:p>
      <w:pPr>
        <w:pStyle w:val="Heading2"/>
      </w:pPr>
      <w:r>
        <w:t xml:space="preserve">6.1 Main results</w:t>
      </w:r>
    </w:p>
    <w:p>
      <w:pPr>
        <w:pStyle w:val="FirstParagraph"/>
        <w:keepNext/>
      </w:pPr>
      <w:r>
        <w:rPr>
          <w:b/>
          <w:bCs/>
        </w:rPr>
        <w:t xml:space="preserve">Table 1. Demand: boardings per route-hour (test, 127,935 route-hours).</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4790"/>
        <w:gridCol w:w="765"/>
        <w:gridCol w:w="765"/>
        <w:gridCol w:w="878"/>
        <w:gridCol w:w="765"/>
        <w:gridCol w:w="1218"/>
      </w:tblGrid>
      <w:tr>
        <w:trPr>
          <w:tblHeader w:val="true"/>
          <w:cantSplit/>
          <w:tblHeader/>
        </w:trPr>
        <w:tc>
          <w:tcPr>
            <w:tcW w:type="dxa" w:w="4791"/>
            <w:shd w:val="clear" w:color="auto" w:fill="DCE3F0"/>
          </w:tcPr>
          <w:p>
            <w:pPr>
              <w:pStyle w:val="Compact"/>
              <w:spacing w:after="0" w:before="0" w:line="240" w:lineRule="auto"/>
              <w:jc w:val="left"/>
            </w:pPr>
            <w:r>
              <w:rPr>
                <w:b/>
                <w:sz w:val="19"/>
              </w:rPr>
              <w:t xml:space="preserve">Method</w:t>
            </w:r>
          </w:p>
        </w:tc>
        <w:tc>
          <w:tcPr>
            <w:tcW w:type="dxa" w:w="765"/>
            <w:shd w:val="clear" w:color="auto" w:fill="DCE3F0"/>
          </w:tcPr>
          <w:p>
            <w:pPr>
              <w:pStyle w:val="Compact"/>
              <w:spacing w:after="0" w:before="0" w:line="240" w:lineRule="auto"/>
              <w:jc w:val="left"/>
            </w:pPr>
            <w:r>
              <w:rPr>
                <w:b/>
                <w:sz w:val="19"/>
              </w:rPr>
              <w:t xml:space="preserve">MAE</w:t>
            </w:r>
          </w:p>
        </w:tc>
        <w:tc>
          <w:tcPr>
            <w:tcW w:type="dxa" w:w="765"/>
            <w:shd w:val="clear" w:color="auto" w:fill="DCE3F0"/>
          </w:tcPr>
          <w:p>
            <w:pPr>
              <w:pStyle w:val="Compact"/>
              <w:spacing w:after="0" w:before="0" w:line="240" w:lineRule="auto"/>
              <w:jc w:val="left"/>
            </w:pPr>
            <w:r>
              <w:rPr>
                <w:b/>
                <w:sz w:val="19"/>
              </w:rPr>
              <w:t xml:space="preserve">RMSE</w:t>
            </w:r>
          </w:p>
        </w:tc>
        <w:tc>
          <w:tcPr>
            <w:tcW w:type="dxa" w:w="879"/>
            <w:shd w:val="clear" w:color="auto" w:fill="DCE3F0"/>
          </w:tcPr>
          <w:p>
            <w:pPr>
              <w:pStyle w:val="Compact"/>
              <w:spacing w:after="0" w:before="0" w:line="240" w:lineRule="auto"/>
              <w:jc w:val="left"/>
            </w:pPr>
            <w:r>
              <w:rPr>
                <w:b/>
                <w:sz w:val="19"/>
              </w:rPr>
              <w:t xml:space="preserve">WAPE</w:t>
            </w:r>
          </w:p>
        </w:tc>
        <w:tc>
          <w:tcPr>
            <w:tcW w:type="dxa" w:w="765"/>
            <w:shd w:val="clear" w:color="auto" w:fill="DCE3F0"/>
          </w:tcPr>
          <w:p>
            <w:pPr>
              <w:pStyle w:val="Compact"/>
              <w:spacing w:after="0" w:before="0" w:line="240" w:lineRule="auto"/>
              <w:jc w:val="left"/>
            </w:pPr>
            <w:r>
              <w:rPr>
                <w:b/>
                <w:sz w:val="19"/>
              </w:rPr>
              <w:t xml:space="preserve">Bias</w:t>
            </w:r>
          </w:p>
        </w:tc>
        <w:tc>
          <w:tcPr>
            <w:tcW w:type="dxa" w:w="1219"/>
            <w:shd w:val="clear" w:color="auto" w:fill="DCE3F0"/>
          </w:tcPr>
          <w:p>
            <w:pPr>
              <w:pStyle w:val="Compact"/>
              <w:spacing w:after="0" w:before="0" w:line="240" w:lineRule="auto"/>
              <w:jc w:val="left"/>
            </w:pPr>
            <w:r>
              <w:rPr>
                <w:b/>
                <w:sz w:val="19"/>
              </w:rPr>
              <w:t xml:space="preserve">WAPE change vs last week</w:t>
            </w:r>
          </w:p>
        </w:tc>
      </w:tr>
      <w:tr>
        <w:trPr>
          <w:cantSplit/>
        </w:trPr>
        <w:tc>
          <w:tcPr>
            <w:tcW w:type="dxa" w:w="4791"/>
          </w:tcPr>
          <w:p>
            <w:pPr>
              <w:pStyle w:val="Compact"/>
              <w:spacing w:after="0" w:before="0" w:line="240" w:lineRule="auto"/>
              <w:jc w:val="left"/>
            </w:pPr>
            <w:r>
              <w:rPr>
                <w:b/>
                <w:bCs/>
                <w:sz w:val="19"/>
              </w:rPr>
              <w:t xml:space="preserve">Final: 0.5 × LightGBM + 0.5 × historical average</w:t>
            </w:r>
          </w:p>
        </w:tc>
        <w:tc>
          <w:tcPr>
            <w:tcW w:type="dxa" w:w="765"/>
          </w:tcPr>
          <w:p>
            <w:pPr>
              <w:pStyle w:val="Compact"/>
              <w:spacing w:after="0" w:before="0" w:line="240" w:lineRule="auto"/>
              <w:jc w:val="left"/>
            </w:pPr>
            <w:r>
              <w:rPr>
                <w:b/>
                <w:bCs/>
                <w:sz w:val="19"/>
              </w:rPr>
              <w:t xml:space="preserve">17.86</w:t>
            </w:r>
          </w:p>
        </w:tc>
        <w:tc>
          <w:tcPr>
            <w:tcW w:type="dxa" w:w="765"/>
          </w:tcPr>
          <w:p>
            <w:pPr>
              <w:pStyle w:val="Compact"/>
              <w:spacing w:after="0" w:before="0" w:line="240" w:lineRule="auto"/>
              <w:jc w:val="left"/>
            </w:pPr>
            <w:r>
              <w:rPr>
                <w:sz w:val="19"/>
              </w:rPr>
              <w:t xml:space="preserve">29.72</w:t>
            </w:r>
          </w:p>
        </w:tc>
        <w:tc>
          <w:tcPr>
            <w:tcW w:type="dxa" w:w="879"/>
          </w:tcPr>
          <w:p>
            <w:pPr>
              <w:pStyle w:val="Compact"/>
              <w:spacing w:after="0" w:before="0" w:line="240" w:lineRule="auto"/>
              <w:jc w:val="left"/>
            </w:pPr>
            <w:r>
              <w:rPr>
                <w:b/>
                <w:bCs/>
                <w:sz w:val="19"/>
              </w:rPr>
              <w:t xml:space="preserve">18.15%</w:t>
            </w:r>
          </w:p>
        </w:tc>
        <w:tc>
          <w:tcPr>
            <w:tcW w:type="dxa" w:w="765"/>
          </w:tcPr>
          <w:p>
            <w:pPr>
              <w:pStyle w:val="Compact"/>
              <w:spacing w:after="0" w:before="0" w:line="240" w:lineRule="auto"/>
              <w:jc w:val="left"/>
            </w:pPr>
            <w:r>
              <w:rPr>
                <w:sz w:val="19"/>
              </w:rPr>
              <w:t xml:space="preserve">−0.49</w:t>
            </w:r>
          </w:p>
        </w:tc>
        <w:tc>
          <w:tcPr>
            <w:tcW w:type="dxa" w:w="1219"/>
          </w:tcPr>
          <w:p>
            <w:pPr>
              <w:pStyle w:val="Compact"/>
              <w:spacing w:after="0" w:before="0" w:line="240" w:lineRule="auto"/>
              <w:jc w:val="left"/>
            </w:pPr>
            <w:r>
              <w:rPr>
                <w:sz w:val="19"/>
              </w:rPr>
              <w:t xml:space="preserve">−23.3%</w:t>
            </w:r>
          </w:p>
        </w:tc>
      </w:tr>
      <w:tr>
        <w:trPr>
          <w:cantSplit/>
        </w:trPr>
        <w:tc>
          <w:tcPr>
            <w:tcW w:type="dxa" w:w="4791"/>
          </w:tcPr>
          <w:p>
            <w:pPr>
              <w:pStyle w:val="Compact"/>
              <w:spacing w:after="0" w:before="0" w:line="240" w:lineRule="auto"/>
              <w:jc w:val="left"/>
            </w:pPr>
            <w:r>
              <w:rPr>
                <w:sz w:val="19"/>
              </w:rPr>
              <w:t xml:space="preserve">LightGBM alone</w:t>
            </w:r>
          </w:p>
        </w:tc>
        <w:tc>
          <w:tcPr>
            <w:tcW w:type="dxa" w:w="765"/>
          </w:tcPr>
          <w:p>
            <w:pPr>
              <w:pStyle w:val="Compact"/>
              <w:spacing w:after="0" w:before="0" w:line="240" w:lineRule="auto"/>
              <w:jc w:val="left"/>
            </w:pPr>
            <w:r>
              <w:rPr>
                <w:sz w:val="19"/>
              </w:rPr>
              <w:t xml:space="preserve">18.10</w:t>
            </w:r>
          </w:p>
        </w:tc>
        <w:tc>
          <w:tcPr>
            <w:tcW w:type="dxa" w:w="765"/>
          </w:tcPr>
          <w:p>
            <w:pPr>
              <w:pStyle w:val="Compact"/>
              <w:spacing w:after="0" w:before="0" w:line="240" w:lineRule="auto"/>
              <w:jc w:val="left"/>
            </w:pPr>
            <w:r>
              <w:rPr>
                <w:sz w:val="19"/>
              </w:rPr>
              <w:t xml:space="preserve">31.34</w:t>
            </w:r>
          </w:p>
        </w:tc>
        <w:tc>
          <w:tcPr>
            <w:tcW w:type="dxa" w:w="879"/>
          </w:tcPr>
          <w:p>
            <w:pPr>
              <w:pStyle w:val="Compact"/>
              <w:spacing w:after="0" w:before="0" w:line="240" w:lineRule="auto"/>
              <w:jc w:val="left"/>
            </w:pPr>
            <w:r>
              <w:rPr>
                <w:sz w:val="19"/>
              </w:rPr>
              <w:t xml:space="preserve">18.39%</w:t>
            </w:r>
          </w:p>
        </w:tc>
        <w:tc>
          <w:tcPr>
            <w:tcW w:type="dxa" w:w="765"/>
          </w:tcPr>
          <w:p>
            <w:pPr>
              <w:pStyle w:val="Compact"/>
              <w:spacing w:after="0" w:before="0" w:line="240" w:lineRule="auto"/>
              <w:jc w:val="left"/>
            </w:pPr>
            <w:r>
              <w:rPr>
                <w:sz w:val="19"/>
              </w:rPr>
              <w:t xml:space="preserve">+0.20</w:t>
            </w:r>
          </w:p>
        </w:tc>
        <w:tc>
          <w:tcPr>
            <w:tcW w:type="dxa" w:w="1219"/>
          </w:tcPr>
          <w:p>
            <w:pPr>
              <w:pStyle w:val="Compact"/>
              <w:spacing w:after="0" w:before="0" w:line="240" w:lineRule="auto"/>
              <w:jc w:val="left"/>
            </w:pPr>
            <w:r>
              <w:rPr>
                <w:sz w:val="19"/>
              </w:rPr>
              <w:t xml:space="preserve">−22.3%</w:t>
            </w:r>
          </w:p>
        </w:tc>
      </w:tr>
      <w:tr>
        <w:trPr>
          <w:cantSplit/>
        </w:trPr>
        <w:tc>
          <w:tcPr>
            <w:tcW w:type="dxa" w:w="4791"/>
          </w:tcPr>
          <w:p>
            <w:pPr>
              <w:pStyle w:val="Compact"/>
              <w:spacing w:after="0" w:before="0" w:line="240" w:lineRule="auto"/>
              <w:jc w:val="left"/>
            </w:pPr>
            <w:r>
              <w:rPr>
                <w:sz w:val="19"/>
              </w:rPr>
              <w:t xml:space="preserve">Historical average</w:t>
            </w:r>
          </w:p>
        </w:tc>
        <w:tc>
          <w:tcPr>
            <w:tcW w:type="dxa" w:w="765"/>
          </w:tcPr>
          <w:p>
            <w:pPr>
              <w:pStyle w:val="Compact"/>
              <w:spacing w:after="0" w:before="0" w:line="240" w:lineRule="auto"/>
              <w:jc w:val="left"/>
            </w:pPr>
            <w:r>
              <w:rPr>
                <w:sz w:val="19"/>
              </w:rPr>
              <w:t xml:space="preserve">18.06</w:t>
            </w:r>
          </w:p>
        </w:tc>
        <w:tc>
          <w:tcPr>
            <w:tcW w:type="dxa" w:w="765"/>
          </w:tcPr>
          <w:p>
            <w:pPr>
              <w:pStyle w:val="Compact"/>
              <w:spacing w:after="0" w:before="0" w:line="240" w:lineRule="auto"/>
              <w:jc w:val="left"/>
            </w:pPr>
            <w:r>
              <w:rPr>
                <w:sz w:val="19"/>
              </w:rPr>
              <w:t xml:space="preserve">29.58</w:t>
            </w:r>
          </w:p>
        </w:tc>
        <w:tc>
          <w:tcPr>
            <w:tcW w:type="dxa" w:w="879"/>
          </w:tcPr>
          <w:p>
            <w:pPr>
              <w:pStyle w:val="Compact"/>
              <w:spacing w:after="0" w:before="0" w:line="240" w:lineRule="auto"/>
              <w:jc w:val="left"/>
            </w:pPr>
            <w:r>
              <w:rPr>
                <w:sz w:val="19"/>
              </w:rPr>
              <w:t xml:space="preserve">18.35%</w:t>
            </w:r>
          </w:p>
        </w:tc>
        <w:tc>
          <w:tcPr>
            <w:tcW w:type="dxa" w:w="765"/>
          </w:tcPr>
          <w:p>
            <w:pPr>
              <w:pStyle w:val="Compact"/>
              <w:spacing w:after="0" w:before="0" w:line="240" w:lineRule="auto"/>
              <w:jc w:val="left"/>
            </w:pPr>
            <w:r>
              <w:rPr>
                <w:sz w:val="19"/>
              </w:rPr>
              <w:t xml:space="preserve">−1.19</w:t>
            </w:r>
          </w:p>
        </w:tc>
        <w:tc>
          <w:tcPr>
            <w:tcW w:type="dxa" w:w="1219"/>
          </w:tcPr>
          <w:p>
            <w:pPr>
              <w:pStyle w:val="Compact"/>
              <w:spacing w:after="0" w:before="0" w:line="240" w:lineRule="auto"/>
              <w:jc w:val="left"/>
            </w:pPr>
            <w:r>
              <w:rPr>
                <w:sz w:val="19"/>
              </w:rPr>
              <w:t xml:space="preserve">−22.5%</w:t>
            </w:r>
          </w:p>
        </w:tc>
      </w:tr>
      <w:tr>
        <w:trPr>
          <w:cantSplit/>
        </w:trPr>
        <w:tc>
          <w:tcPr>
            <w:tcW w:type="dxa" w:w="4791"/>
          </w:tcPr>
          <w:p>
            <w:pPr>
              <w:pStyle w:val="Compact"/>
              <w:spacing w:after="0" w:before="0" w:line="240" w:lineRule="auto"/>
              <w:jc w:val="left"/>
            </w:pPr>
            <w:r>
              <w:rPr>
                <w:sz w:val="19"/>
              </w:rPr>
              <w:t xml:space="preserve">Mean of last 4 same weekdays</w:t>
            </w:r>
          </w:p>
        </w:tc>
        <w:tc>
          <w:tcPr>
            <w:tcW w:type="dxa" w:w="765"/>
          </w:tcPr>
          <w:p>
            <w:pPr>
              <w:pStyle w:val="Compact"/>
              <w:spacing w:after="0" w:before="0" w:line="240" w:lineRule="auto"/>
              <w:jc w:val="left"/>
            </w:pPr>
            <w:r>
              <w:rPr>
                <w:sz w:val="19"/>
              </w:rPr>
              <w:t xml:space="preserve">20.42</w:t>
            </w:r>
          </w:p>
        </w:tc>
        <w:tc>
          <w:tcPr>
            <w:tcW w:type="dxa" w:w="765"/>
          </w:tcPr>
          <w:p>
            <w:pPr>
              <w:pStyle w:val="Compact"/>
              <w:spacing w:after="0" w:before="0" w:line="240" w:lineRule="auto"/>
              <w:jc w:val="left"/>
            </w:pPr>
            <w:r>
              <w:rPr>
                <w:sz w:val="19"/>
              </w:rPr>
              <w:t xml:space="preserve">33.64</w:t>
            </w:r>
          </w:p>
        </w:tc>
        <w:tc>
          <w:tcPr>
            <w:tcW w:type="dxa" w:w="879"/>
          </w:tcPr>
          <w:p>
            <w:pPr>
              <w:pStyle w:val="Compact"/>
              <w:spacing w:after="0" w:before="0" w:line="240" w:lineRule="auto"/>
              <w:jc w:val="left"/>
            </w:pPr>
            <w:r>
              <w:rPr>
                <w:sz w:val="19"/>
              </w:rPr>
              <w:t xml:space="preserve">20.75%</w:t>
            </w:r>
          </w:p>
        </w:tc>
        <w:tc>
          <w:tcPr>
            <w:tcW w:type="dxa" w:w="765"/>
          </w:tcPr>
          <w:p>
            <w:pPr>
              <w:pStyle w:val="Compact"/>
              <w:spacing w:after="0" w:before="0" w:line="240" w:lineRule="auto"/>
              <w:jc w:val="left"/>
            </w:pPr>
            <w:r>
              <w:rPr>
                <w:sz w:val="19"/>
              </w:rPr>
              <w:t xml:space="preserve">−3.30</w:t>
            </w:r>
          </w:p>
        </w:tc>
        <w:tc>
          <w:tcPr>
            <w:tcW w:type="dxa" w:w="1219"/>
          </w:tcPr>
          <w:p>
            <w:pPr>
              <w:pStyle w:val="Compact"/>
              <w:spacing w:after="0" w:before="0" w:line="240" w:lineRule="auto"/>
              <w:jc w:val="left"/>
            </w:pPr>
            <w:r>
              <w:rPr>
                <w:sz w:val="19"/>
              </w:rPr>
              <w:t xml:space="preserve">−12.3%</w:t>
            </w:r>
          </w:p>
        </w:tc>
      </w:tr>
      <w:tr>
        <w:trPr>
          <w:cantSplit/>
        </w:trPr>
        <w:tc>
          <w:tcPr>
            <w:tcW w:type="dxa" w:w="4791"/>
          </w:tcPr>
          <w:p>
            <w:pPr>
              <w:pStyle w:val="Compact"/>
              <w:spacing w:after="0" w:before="0" w:line="240" w:lineRule="auto"/>
              <w:jc w:val="left"/>
            </w:pPr>
            <w:r>
              <w:rPr>
                <w:sz w:val="19"/>
              </w:rPr>
              <w:t xml:space="preserve">Same hour last week</w:t>
            </w:r>
          </w:p>
        </w:tc>
        <w:tc>
          <w:tcPr>
            <w:tcW w:type="dxa" w:w="765"/>
          </w:tcPr>
          <w:p>
            <w:pPr>
              <w:pStyle w:val="Compact"/>
              <w:spacing w:after="0" w:before="0" w:line="240" w:lineRule="auto"/>
              <w:jc w:val="left"/>
            </w:pPr>
            <w:r>
              <w:rPr>
                <w:sz w:val="19"/>
              </w:rPr>
              <w:t xml:space="preserve">23.30</w:t>
            </w:r>
          </w:p>
        </w:tc>
        <w:tc>
          <w:tcPr>
            <w:tcW w:type="dxa" w:w="765"/>
          </w:tcPr>
          <w:p>
            <w:pPr>
              <w:pStyle w:val="Compact"/>
              <w:spacing w:after="0" w:before="0" w:line="240" w:lineRule="auto"/>
              <w:jc w:val="left"/>
            </w:pPr>
            <w:r>
              <w:rPr>
                <w:sz w:val="19"/>
              </w:rPr>
              <w:t xml:space="preserve">37.93</w:t>
            </w:r>
          </w:p>
        </w:tc>
        <w:tc>
          <w:tcPr>
            <w:tcW w:type="dxa" w:w="879"/>
          </w:tcPr>
          <w:p>
            <w:pPr>
              <w:pStyle w:val="Compact"/>
              <w:spacing w:after="0" w:before="0" w:line="240" w:lineRule="auto"/>
              <w:jc w:val="left"/>
            </w:pPr>
            <w:r>
              <w:rPr>
                <w:sz w:val="19"/>
              </w:rPr>
              <w:t xml:space="preserve">23.67%</w:t>
            </w:r>
          </w:p>
        </w:tc>
        <w:tc>
          <w:tcPr>
            <w:tcW w:type="dxa" w:w="765"/>
          </w:tcPr>
          <w:p>
            <w:pPr>
              <w:pStyle w:val="Compact"/>
              <w:spacing w:after="0" w:before="0" w:line="240" w:lineRule="auto"/>
              <w:jc w:val="left"/>
            </w:pPr>
            <w:r>
              <w:rPr>
                <w:sz w:val="19"/>
              </w:rPr>
              <w:t xml:space="preserve">+0.24</w:t>
            </w:r>
          </w:p>
        </w:tc>
        <w:tc>
          <w:tcPr>
            <w:tcW w:type="dxa" w:w="1219"/>
          </w:tcPr>
          <w:p>
            <w:pPr>
              <w:pStyle w:val="Compact"/>
              <w:spacing w:after="0" w:before="0" w:line="240" w:lineRule="auto"/>
              <w:jc w:val="left"/>
            </w:pPr>
            <w:r>
              <w:rPr>
                <w:sz w:val="19"/>
              </w:rPr>
              <w:t xml:space="preserve">reference</w:t>
            </w:r>
          </w:p>
        </w:tc>
      </w:tr>
    </w:tbl>
    <w:p>
      <w:pPr>
        <w:pStyle w:val="BodyText"/>
        <w:keepNext/>
        <w:spacing w:before="160"/>
      </w:pPr>
      <w:r>
        <w:rPr>
          <w:b/>
          <w:bCs/>
        </w:rPr>
        <w:t xml:space="preserve">Table 2. Estimated load: mean peak load per bus per route-hour (test, 127,855 route-hours).</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5017"/>
        <w:gridCol w:w="651"/>
        <w:gridCol w:w="651"/>
        <w:gridCol w:w="878"/>
        <w:gridCol w:w="765"/>
        <w:gridCol w:w="1218"/>
      </w:tblGrid>
      <w:tr>
        <w:trPr>
          <w:tblHeader w:val="true"/>
          <w:cantSplit/>
          <w:tblHeader/>
        </w:trPr>
        <w:tc>
          <w:tcPr>
            <w:tcW w:type="dxa" w:w="5017"/>
            <w:shd w:val="clear" w:color="auto" w:fill="DCE3F0"/>
          </w:tcPr>
          <w:p>
            <w:pPr>
              <w:pStyle w:val="Compact"/>
              <w:spacing w:after="0" w:before="0" w:line="240" w:lineRule="auto"/>
              <w:jc w:val="left"/>
            </w:pPr>
            <w:r>
              <w:rPr>
                <w:b/>
                <w:sz w:val="19"/>
              </w:rPr>
              <w:t xml:space="preserve">Method</w:t>
            </w:r>
          </w:p>
        </w:tc>
        <w:tc>
          <w:tcPr>
            <w:tcW w:type="dxa" w:w="652"/>
            <w:shd w:val="clear" w:color="auto" w:fill="DCE3F0"/>
          </w:tcPr>
          <w:p>
            <w:pPr>
              <w:pStyle w:val="Compact"/>
              <w:spacing w:after="0" w:before="0" w:line="240" w:lineRule="auto"/>
              <w:jc w:val="left"/>
            </w:pPr>
            <w:r>
              <w:rPr>
                <w:b/>
                <w:sz w:val="19"/>
              </w:rPr>
              <w:t xml:space="preserve">MAE</w:t>
            </w:r>
          </w:p>
        </w:tc>
        <w:tc>
          <w:tcPr>
            <w:tcW w:type="dxa" w:w="652"/>
            <w:shd w:val="clear" w:color="auto" w:fill="DCE3F0"/>
          </w:tcPr>
          <w:p>
            <w:pPr>
              <w:pStyle w:val="Compact"/>
              <w:spacing w:after="0" w:before="0" w:line="240" w:lineRule="auto"/>
              <w:jc w:val="left"/>
            </w:pPr>
            <w:r>
              <w:rPr>
                <w:b/>
                <w:sz w:val="19"/>
              </w:rPr>
              <w:t xml:space="preserve">RMSE</w:t>
            </w:r>
          </w:p>
        </w:tc>
        <w:tc>
          <w:tcPr>
            <w:tcW w:type="dxa" w:w="879"/>
            <w:shd w:val="clear" w:color="auto" w:fill="DCE3F0"/>
          </w:tcPr>
          <w:p>
            <w:pPr>
              <w:pStyle w:val="Compact"/>
              <w:spacing w:after="0" w:before="0" w:line="240" w:lineRule="auto"/>
              <w:jc w:val="left"/>
            </w:pPr>
            <w:r>
              <w:rPr>
                <w:b/>
                <w:sz w:val="19"/>
              </w:rPr>
              <w:t xml:space="preserve">WAPE</w:t>
            </w:r>
          </w:p>
        </w:tc>
        <w:tc>
          <w:tcPr>
            <w:tcW w:type="dxa" w:w="765"/>
            <w:shd w:val="clear" w:color="auto" w:fill="DCE3F0"/>
          </w:tcPr>
          <w:p>
            <w:pPr>
              <w:pStyle w:val="Compact"/>
              <w:spacing w:after="0" w:before="0" w:line="240" w:lineRule="auto"/>
              <w:jc w:val="left"/>
            </w:pPr>
            <w:r>
              <w:rPr>
                <w:b/>
                <w:sz w:val="19"/>
              </w:rPr>
              <w:t xml:space="preserve">Bias</w:t>
            </w:r>
          </w:p>
        </w:tc>
        <w:tc>
          <w:tcPr>
            <w:tcW w:type="dxa" w:w="1219"/>
            <w:shd w:val="clear" w:color="auto" w:fill="DCE3F0"/>
          </w:tcPr>
          <w:p>
            <w:pPr>
              <w:pStyle w:val="Compact"/>
              <w:spacing w:after="0" w:before="0" w:line="240" w:lineRule="auto"/>
              <w:jc w:val="left"/>
            </w:pPr>
            <w:r>
              <w:rPr>
                <w:b/>
                <w:sz w:val="19"/>
              </w:rPr>
              <w:t xml:space="preserve">WAPE change vs last week</w:t>
            </w:r>
          </w:p>
        </w:tc>
      </w:tr>
      <w:tr>
        <w:trPr>
          <w:cantSplit/>
        </w:trPr>
        <w:tc>
          <w:tcPr>
            <w:tcW w:type="dxa" w:w="5017"/>
          </w:tcPr>
          <w:p>
            <w:pPr>
              <w:pStyle w:val="Compact"/>
              <w:spacing w:after="0" w:before="0" w:line="240" w:lineRule="auto"/>
              <w:jc w:val="left"/>
            </w:pPr>
            <w:r>
              <w:rPr>
                <w:b/>
                <w:bCs/>
                <w:sz w:val="19"/>
              </w:rPr>
              <w:t xml:space="preserve">Final: 0.5 × LightGBM + 0.5 × historical average</w:t>
            </w:r>
          </w:p>
        </w:tc>
        <w:tc>
          <w:tcPr>
            <w:tcW w:type="dxa" w:w="652"/>
          </w:tcPr>
          <w:p>
            <w:pPr>
              <w:pStyle w:val="Compact"/>
              <w:spacing w:after="0" w:before="0" w:line="240" w:lineRule="auto"/>
              <w:jc w:val="left"/>
            </w:pPr>
            <w:r>
              <w:rPr>
                <w:b/>
                <w:bCs/>
                <w:sz w:val="19"/>
              </w:rPr>
              <w:t xml:space="preserve">4.69</w:t>
            </w:r>
          </w:p>
        </w:tc>
        <w:tc>
          <w:tcPr>
            <w:tcW w:type="dxa" w:w="652"/>
          </w:tcPr>
          <w:p>
            <w:pPr>
              <w:pStyle w:val="Compact"/>
              <w:spacing w:after="0" w:before="0" w:line="240" w:lineRule="auto"/>
              <w:jc w:val="left"/>
            </w:pPr>
            <w:r>
              <w:rPr>
                <w:b/>
                <w:bCs/>
                <w:sz w:val="19"/>
              </w:rPr>
              <w:t xml:space="preserve">6.90</w:t>
            </w:r>
          </w:p>
        </w:tc>
        <w:tc>
          <w:tcPr>
            <w:tcW w:type="dxa" w:w="879"/>
          </w:tcPr>
          <w:p>
            <w:pPr>
              <w:pStyle w:val="Compact"/>
              <w:spacing w:after="0" w:before="0" w:line="240" w:lineRule="auto"/>
              <w:jc w:val="left"/>
            </w:pPr>
            <w:r>
              <w:rPr>
                <w:b/>
                <w:bCs/>
                <w:sz w:val="19"/>
              </w:rPr>
              <w:t xml:space="preserve">19.20%</w:t>
            </w:r>
          </w:p>
        </w:tc>
        <w:tc>
          <w:tcPr>
            <w:tcW w:type="dxa" w:w="765"/>
          </w:tcPr>
          <w:p>
            <w:pPr>
              <w:pStyle w:val="Compact"/>
              <w:spacing w:after="0" w:before="0" w:line="240" w:lineRule="auto"/>
              <w:jc w:val="left"/>
            </w:pPr>
            <w:r>
              <w:rPr>
                <w:sz w:val="19"/>
              </w:rPr>
              <w:t xml:space="preserve">−0.34</w:t>
            </w:r>
          </w:p>
        </w:tc>
        <w:tc>
          <w:tcPr>
            <w:tcW w:type="dxa" w:w="1219"/>
          </w:tcPr>
          <w:p>
            <w:pPr>
              <w:pStyle w:val="Compact"/>
              <w:spacing w:after="0" w:before="0" w:line="240" w:lineRule="auto"/>
              <w:jc w:val="left"/>
            </w:pPr>
            <w:r>
              <w:rPr>
                <w:sz w:val="19"/>
              </w:rPr>
              <w:t xml:space="preserve">−24.4%</w:t>
            </w:r>
          </w:p>
        </w:tc>
      </w:tr>
      <w:tr>
        <w:trPr>
          <w:cantSplit/>
        </w:trPr>
        <w:tc>
          <w:tcPr>
            <w:tcW w:type="dxa" w:w="5017"/>
          </w:tcPr>
          <w:p>
            <w:pPr>
              <w:pStyle w:val="Compact"/>
              <w:spacing w:after="0" w:before="0" w:line="240" w:lineRule="auto"/>
              <w:jc w:val="left"/>
            </w:pPr>
            <w:r>
              <w:rPr>
                <w:sz w:val="19"/>
              </w:rPr>
              <w:t xml:space="preserve">LightGBM alone</w:t>
            </w:r>
          </w:p>
        </w:tc>
        <w:tc>
          <w:tcPr>
            <w:tcW w:type="dxa" w:w="652"/>
          </w:tcPr>
          <w:p>
            <w:pPr>
              <w:pStyle w:val="Compact"/>
              <w:spacing w:after="0" w:before="0" w:line="240" w:lineRule="auto"/>
              <w:jc w:val="left"/>
            </w:pPr>
            <w:r>
              <w:rPr>
                <w:sz w:val="19"/>
              </w:rPr>
              <w:t xml:space="preserve">4.74</w:t>
            </w:r>
          </w:p>
        </w:tc>
        <w:tc>
          <w:tcPr>
            <w:tcW w:type="dxa" w:w="652"/>
          </w:tcPr>
          <w:p>
            <w:pPr>
              <w:pStyle w:val="Compact"/>
              <w:spacing w:after="0" w:before="0" w:line="240" w:lineRule="auto"/>
              <w:jc w:val="left"/>
            </w:pPr>
            <w:r>
              <w:rPr>
                <w:sz w:val="19"/>
              </w:rPr>
              <w:t xml:space="preserve">6.96</w:t>
            </w:r>
          </w:p>
        </w:tc>
        <w:tc>
          <w:tcPr>
            <w:tcW w:type="dxa" w:w="879"/>
          </w:tcPr>
          <w:p>
            <w:pPr>
              <w:pStyle w:val="Compact"/>
              <w:spacing w:after="0" w:before="0" w:line="240" w:lineRule="auto"/>
              <w:jc w:val="left"/>
            </w:pPr>
            <w:r>
              <w:rPr>
                <w:sz w:val="19"/>
              </w:rPr>
              <w:t xml:space="preserve">19.39%</w:t>
            </w:r>
          </w:p>
        </w:tc>
        <w:tc>
          <w:tcPr>
            <w:tcW w:type="dxa" w:w="765"/>
          </w:tcPr>
          <w:p>
            <w:pPr>
              <w:pStyle w:val="Compact"/>
              <w:spacing w:after="0" w:before="0" w:line="240" w:lineRule="auto"/>
              <w:jc w:val="left"/>
            </w:pPr>
            <w:r>
              <w:rPr>
                <w:sz w:val="19"/>
              </w:rPr>
              <w:t xml:space="preserve">−0.34</w:t>
            </w:r>
          </w:p>
        </w:tc>
        <w:tc>
          <w:tcPr>
            <w:tcW w:type="dxa" w:w="1219"/>
          </w:tcPr>
          <w:p>
            <w:pPr>
              <w:pStyle w:val="Compact"/>
              <w:spacing w:after="0" w:before="0" w:line="240" w:lineRule="auto"/>
              <w:jc w:val="left"/>
            </w:pPr>
            <w:r>
              <w:rPr>
                <w:sz w:val="19"/>
              </w:rPr>
              <w:t xml:space="preserve">−23.6%</w:t>
            </w:r>
          </w:p>
        </w:tc>
      </w:tr>
      <w:tr>
        <w:trPr>
          <w:cantSplit/>
        </w:trPr>
        <w:tc>
          <w:tcPr>
            <w:tcW w:type="dxa" w:w="5017"/>
          </w:tcPr>
          <w:p>
            <w:pPr>
              <w:pStyle w:val="Compact"/>
              <w:spacing w:after="0" w:before="0" w:line="240" w:lineRule="auto"/>
              <w:jc w:val="left"/>
            </w:pPr>
            <w:r>
              <w:rPr>
                <w:sz w:val="19"/>
              </w:rPr>
              <w:t xml:space="preserve">Historical average</w:t>
            </w:r>
          </w:p>
        </w:tc>
        <w:tc>
          <w:tcPr>
            <w:tcW w:type="dxa" w:w="652"/>
          </w:tcPr>
          <w:p>
            <w:pPr>
              <w:pStyle w:val="Compact"/>
              <w:spacing w:after="0" w:before="0" w:line="240" w:lineRule="auto"/>
              <w:jc w:val="left"/>
            </w:pPr>
            <w:r>
              <w:rPr>
                <w:sz w:val="19"/>
              </w:rPr>
              <w:t xml:space="preserve">4.73</w:t>
            </w:r>
          </w:p>
        </w:tc>
        <w:tc>
          <w:tcPr>
            <w:tcW w:type="dxa" w:w="652"/>
          </w:tcPr>
          <w:p>
            <w:pPr>
              <w:pStyle w:val="Compact"/>
              <w:spacing w:after="0" w:before="0" w:line="240" w:lineRule="auto"/>
              <w:jc w:val="left"/>
            </w:pPr>
            <w:r>
              <w:rPr>
                <w:sz w:val="19"/>
              </w:rPr>
              <w:t xml:space="preserve">6.96</w:t>
            </w:r>
          </w:p>
        </w:tc>
        <w:tc>
          <w:tcPr>
            <w:tcW w:type="dxa" w:w="879"/>
          </w:tcPr>
          <w:p>
            <w:pPr>
              <w:pStyle w:val="Compact"/>
              <w:spacing w:after="0" w:before="0" w:line="240" w:lineRule="auto"/>
              <w:jc w:val="left"/>
            </w:pPr>
            <w:r>
              <w:rPr>
                <w:sz w:val="19"/>
              </w:rPr>
              <w:t xml:space="preserve">19.35%</w:t>
            </w:r>
          </w:p>
        </w:tc>
        <w:tc>
          <w:tcPr>
            <w:tcW w:type="dxa" w:w="765"/>
          </w:tcPr>
          <w:p>
            <w:pPr>
              <w:pStyle w:val="Compact"/>
              <w:spacing w:after="0" w:before="0" w:line="240" w:lineRule="auto"/>
              <w:jc w:val="left"/>
            </w:pPr>
            <w:r>
              <w:rPr>
                <w:sz w:val="19"/>
              </w:rPr>
              <w:t xml:space="preserve">−0.34</w:t>
            </w:r>
          </w:p>
        </w:tc>
        <w:tc>
          <w:tcPr>
            <w:tcW w:type="dxa" w:w="1219"/>
          </w:tcPr>
          <w:p>
            <w:pPr>
              <w:pStyle w:val="Compact"/>
              <w:spacing w:after="0" w:before="0" w:line="240" w:lineRule="auto"/>
              <w:jc w:val="left"/>
            </w:pPr>
            <w:r>
              <w:rPr>
                <w:sz w:val="19"/>
              </w:rPr>
              <w:t xml:space="preserve">−23.8%</w:t>
            </w:r>
          </w:p>
        </w:tc>
      </w:tr>
      <w:tr>
        <w:trPr>
          <w:cantSplit/>
        </w:trPr>
        <w:tc>
          <w:tcPr>
            <w:tcW w:type="dxa" w:w="5017"/>
          </w:tcPr>
          <w:p>
            <w:pPr>
              <w:pStyle w:val="Compact"/>
              <w:spacing w:after="0" w:before="0" w:line="240" w:lineRule="auto"/>
              <w:jc w:val="left"/>
            </w:pPr>
            <w:r>
              <w:rPr>
                <w:sz w:val="19"/>
              </w:rPr>
              <w:t xml:space="preserve">Mean of last 4 same weekdays</w:t>
            </w:r>
          </w:p>
        </w:tc>
        <w:tc>
          <w:tcPr>
            <w:tcW w:type="dxa" w:w="652"/>
          </w:tcPr>
          <w:p>
            <w:pPr>
              <w:pStyle w:val="Compact"/>
              <w:spacing w:after="0" w:before="0" w:line="240" w:lineRule="auto"/>
              <w:jc w:val="left"/>
            </w:pPr>
            <w:r>
              <w:rPr>
                <w:sz w:val="19"/>
              </w:rPr>
              <w:t xml:space="preserve">5.24</w:t>
            </w:r>
          </w:p>
        </w:tc>
        <w:tc>
          <w:tcPr>
            <w:tcW w:type="dxa" w:w="652"/>
          </w:tcPr>
          <w:p>
            <w:pPr>
              <w:pStyle w:val="Compact"/>
              <w:spacing w:after="0" w:before="0" w:line="240" w:lineRule="auto"/>
              <w:jc w:val="left"/>
            </w:pPr>
            <w:r>
              <w:rPr>
                <w:sz w:val="19"/>
              </w:rPr>
              <w:t xml:space="preserve">7.64</w:t>
            </w:r>
          </w:p>
        </w:tc>
        <w:tc>
          <w:tcPr>
            <w:tcW w:type="dxa" w:w="879"/>
          </w:tcPr>
          <w:p>
            <w:pPr>
              <w:pStyle w:val="Compact"/>
              <w:spacing w:after="0" w:before="0" w:line="240" w:lineRule="auto"/>
              <w:jc w:val="left"/>
            </w:pPr>
            <w:r>
              <w:rPr>
                <w:sz w:val="19"/>
              </w:rPr>
              <w:t xml:space="preserve">21.45%</w:t>
            </w:r>
          </w:p>
        </w:tc>
        <w:tc>
          <w:tcPr>
            <w:tcW w:type="dxa" w:w="765"/>
          </w:tcPr>
          <w:p>
            <w:pPr>
              <w:pStyle w:val="Compact"/>
              <w:spacing w:after="0" w:before="0" w:line="240" w:lineRule="auto"/>
              <w:jc w:val="left"/>
            </w:pPr>
            <w:r>
              <w:rPr>
                <w:sz w:val="19"/>
              </w:rPr>
              <w:t xml:space="preserve">−0.51</w:t>
            </w:r>
          </w:p>
        </w:tc>
        <w:tc>
          <w:tcPr>
            <w:tcW w:type="dxa" w:w="1219"/>
          </w:tcPr>
          <w:p>
            <w:pPr>
              <w:pStyle w:val="Compact"/>
              <w:spacing w:after="0" w:before="0" w:line="240" w:lineRule="auto"/>
              <w:jc w:val="left"/>
            </w:pPr>
            <w:r>
              <w:rPr>
                <w:sz w:val="19"/>
              </w:rPr>
              <w:t xml:space="preserve">−15.5%</w:t>
            </w:r>
          </w:p>
        </w:tc>
      </w:tr>
      <w:tr>
        <w:trPr>
          <w:cantSplit/>
        </w:trPr>
        <w:tc>
          <w:tcPr>
            <w:tcW w:type="dxa" w:w="5017"/>
          </w:tcPr>
          <w:p>
            <w:pPr>
              <w:pStyle w:val="Compact"/>
              <w:spacing w:after="0" w:before="0" w:line="240" w:lineRule="auto"/>
              <w:jc w:val="left"/>
            </w:pPr>
            <w:r>
              <w:rPr>
                <w:sz w:val="19"/>
              </w:rPr>
              <w:t xml:space="preserve">Same hour last week</w:t>
            </w:r>
          </w:p>
        </w:tc>
        <w:tc>
          <w:tcPr>
            <w:tcW w:type="dxa" w:w="652"/>
          </w:tcPr>
          <w:p>
            <w:pPr>
              <w:pStyle w:val="Compact"/>
              <w:spacing w:after="0" w:before="0" w:line="240" w:lineRule="auto"/>
              <w:jc w:val="left"/>
            </w:pPr>
            <w:r>
              <w:rPr>
                <w:sz w:val="19"/>
              </w:rPr>
              <w:t xml:space="preserve">6.21</w:t>
            </w:r>
          </w:p>
        </w:tc>
        <w:tc>
          <w:tcPr>
            <w:tcW w:type="dxa" w:w="652"/>
          </w:tcPr>
          <w:p>
            <w:pPr>
              <w:pStyle w:val="Compact"/>
              <w:spacing w:after="0" w:before="0" w:line="240" w:lineRule="auto"/>
              <w:jc w:val="left"/>
            </w:pPr>
            <w:r>
              <w:rPr>
                <w:sz w:val="19"/>
              </w:rPr>
              <w:t xml:space="preserve">9.07</w:t>
            </w:r>
          </w:p>
        </w:tc>
        <w:tc>
          <w:tcPr>
            <w:tcW w:type="dxa" w:w="879"/>
          </w:tcPr>
          <w:p>
            <w:pPr>
              <w:pStyle w:val="Compact"/>
              <w:spacing w:after="0" w:before="0" w:line="240" w:lineRule="auto"/>
              <w:jc w:val="left"/>
            </w:pPr>
            <w:r>
              <w:rPr>
                <w:sz w:val="19"/>
              </w:rPr>
              <w:t xml:space="preserve">25.39%</w:t>
            </w:r>
          </w:p>
        </w:tc>
        <w:tc>
          <w:tcPr>
            <w:tcW w:type="dxa" w:w="765"/>
          </w:tcPr>
          <w:p>
            <w:pPr>
              <w:pStyle w:val="Compact"/>
              <w:spacing w:after="0" w:before="0" w:line="240" w:lineRule="auto"/>
              <w:jc w:val="left"/>
            </w:pPr>
            <w:r>
              <w:rPr>
                <w:sz w:val="19"/>
              </w:rPr>
              <w:t xml:space="preserve">−0.02</w:t>
            </w:r>
          </w:p>
        </w:tc>
        <w:tc>
          <w:tcPr>
            <w:tcW w:type="dxa" w:w="1219"/>
          </w:tcPr>
          <w:p>
            <w:pPr>
              <w:pStyle w:val="Compact"/>
              <w:spacing w:after="0" w:before="0" w:line="240" w:lineRule="auto"/>
              <w:jc w:val="left"/>
            </w:pPr>
            <w:r>
              <w:rPr>
                <w:sz w:val="19"/>
              </w:rPr>
              <w:t xml:space="preserve">reference</w:t>
            </w:r>
          </w:p>
        </w:tc>
      </w:tr>
    </w:tbl>
    <w:p>
      <w:pPr>
        <w:pStyle w:val="BodyText"/>
        <w:spacing w:before="160"/>
      </w:pPr>
      <w:r>
        <w:t xml:space="preserve">The estimated-load test set has 80 fewer rows than the demand test set because route-hours without a reliable load value are not load targets.</w:t>
      </w:r>
    </w:p>
    <w:p>
      <w:pPr>
        <w:pStyle w:val="CaptionedFigure"/>
      </w:pPr>
      <w:r>
        <w:drawing>
          <wp:inline>
            <wp:extent cx="5334000" cy="1920240"/>
            <wp:effectExtent b="0" l="0" r="0" t="0"/>
            <wp:docPr descr="Figure 2. Test WAPE of every method, for demand and estimated load (lower is better)." title="" id="54" name="Picture"/>
            <a:graphic>
              <a:graphicData uri="http://schemas.openxmlformats.org/drawingml/2006/picture">
                <pic:pic>
                  <pic:nvPicPr>
                    <pic:cNvPr descr="../figures/test_wape.png" id="55" name="Picture"/>
                    <pic:cNvPicPr>
                      <a:picLocks noChangeArrowheads="1" noChangeAspect="1"/>
                    </pic:cNvPicPr>
                  </pic:nvPicPr>
                  <pic:blipFill>
                    <a:blip r:embed="rId53"/>
                    <a:stretch>
                      <a:fillRect/>
                    </a:stretch>
                  </pic:blipFill>
                  <pic:spPr bwMode="auto">
                    <a:xfrm>
                      <a:off x="0" y="0"/>
                      <a:ext cx="5334000" cy="1920240"/>
                    </a:xfrm>
                    <a:prstGeom prst="rect">
                      <a:avLst/>
                    </a:prstGeom>
                    <a:noFill/>
                    <a:ln w="9525">
                      <a:noFill/>
                      <a:headEnd/>
                      <a:tailEnd/>
                    </a:ln>
                  </pic:spPr>
                </pic:pic>
              </a:graphicData>
            </a:graphic>
          </wp:inline>
        </w:drawing>
      </w:r>
    </w:p>
    <w:p>
      <w:pPr>
        <w:pStyle w:val="ImageCaption"/>
      </w:pPr>
      <w:r>
        <w:t xml:space="preserve">Figure 2. Test WAPE of every method, for demand and estimated load (lower is better).</w:t>
      </w:r>
    </w:p>
    <w:bookmarkEnd w:id="56"/>
    <w:bookmarkStart w:id="57" w:name="X134d1ef6e2b513df9b5e976c1f6210016da147b"/>
    <w:p>
      <w:pPr>
        <w:pStyle w:val="Heading2"/>
      </w:pPr>
      <w:r>
        <w:t xml:space="preserve">6.2 Model selection and ablation (validation week)</w:t>
      </w:r>
    </w:p>
    <w:p>
      <w:pPr>
        <w:pStyle w:val="FirstParagraph"/>
        <w:keepNext/>
      </w:pPr>
      <w:r>
        <w:rPr>
          <w:b/>
          <w:bCs/>
        </w:rPr>
        <w:t xml:space="preserve">Table 3. Validation-week WAPE of the candidate final forecasts.</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1555"/>
        <w:gridCol w:w="1756"/>
        <w:gridCol w:w="1957"/>
        <w:gridCol w:w="2358"/>
        <w:gridCol w:w="1555"/>
      </w:tblGrid>
      <w:tr>
        <w:trPr>
          <w:tblHeader w:val="true"/>
          <w:cantSplit/>
          <w:tblHeader/>
        </w:trPr>
        <w:tc>
          <w:tcPr>
            <w:tcW w:type="dxa" w:w="1556"/>
            <w:shd w:val="clear" w:color="auto" w:fill="DCE3F0"/>
          </w:tcPr>
          <w:p>
            <w:pPr>
              <w:pStyle w:val="Compact"/>
              <w:spacing w:after="0" w:before="0" w:line="240" w:lineRule="auto"/>
              <w:jc w:val="left"/>
            </w:pPr>
            <w:r>
              <w:rPr>
                <w:b/>
                <w:sz w:val="19"/>
              </w:rPr>
              <w:t xml:space="preserve">Target</w:t>
            </w:r>
          </w:p>
        </w:tc>
        <w:tc>
          <w:tcPr>
            <w:tcW w:type="dxa" w:w="1757"/>
            <w:shd w:val="clear" w:color="auto" w:fill="DCE3F0"/>
          </w:tcPr>
          <w:p>
            <w:pPr>
              <w:pStyle w:val="Compact"/>
              <w:spacing w:after="0" w:before="0" w:line="240" w:lineRule="auto"/>
              <w:jc w:val="left"/>
            </w:pPr>
            <w:r>
              <w:rPr>
                <w:b/>
                <w:sz w:val="19"/>
              </w:rPr>
              <w:t xml:space="preserve">Final (blend)</w:t>
            </w:r>
          </w:p>
        </w:tc>
        <w:tc>
          <w:tcPr>
            <w:tcW w:type="dxa" w:w="1957"/>
            <w:shd w:val="clear" w:color="auto" w:fill="DCE3F0"/>
          </w:tcPr>
          <w:p>
            <w:pPr>
              <w:pStyle w:val="Compact"/>
              <w:spacing w:after="0" w:before="0" w:line="240" w:lineRule="auto"/>
              <w:jc w:val="left"/>
            </w:pPr>
            <w:r>
              <w:rPr>
                <w:b/>
                <w:sz w:val="19"/>
              </w:rPr>
              <w:t xml:space="preserve">LightGBM alone</w:t>
            </w:r>
          </w:p>
        </w:tc>
        <w:tc>
          <w:tcPr>
            <w:tcW w:type="dxa" w:w="2359"/>
            <w:shd w:val="clear" w:color="auto" w:fill="DCE3F0"/>
          </w:tcPr>
          <w:p>
            <w:pPr>
              <w:pStyle w:val="Compact"/>
              <w:spacing w:after="0" w:before="0" w:line="240" w:lineRule="auto"/>
              <w:jc w:val="left"/>
            </w:pPr>
            <w:r>
              <w:rPr>
                <w:b/>
                <w:sz w:val="19"/>
              </w:rPr>
              <w:t xml:space="preserve">Historical average</w:t>
            </w:r>
          </w:p>
        </w:tc>
        <w:tc>
          <w:tcPr>
            <w:tcW w:type="dxa" w:w="1556"/>
            <w:shd w:val="clear" w:color="auto" w:fill="DCE3F0"/>
          </w:tcPr>
          <w:p>
            <w:pPr>
              <w:pStyle w:val="Compact"/>
              <w:spacing w:after="0" w:before="0" w:line="240" w:lineRule="auto"/>
              <w:jc w:val="left"/>
            </w:pPr>
            <w:r>
              <w:rPr>
                <w:b/>
                <w:sz w:val="19"/>
              </w:rPr>
              <w:t xml:space="preserve">Same hour last week</w:t>
            </w:r>
          </w:p>
        </w:tc>
      </w:tr>
      <w:tr>
        <w:trPr>
          <w:cantSplit/>
        </w:trPr>
        <w:tc>
          <w:tcPr>
            <w:tcW w:type="dxa" w:w="1556"/>
          </w:tcPr>
          <w:p>
            <w:pPr>
              <w:pStyle w:val="Compact"/>
              <w:spacing w:after="0" w:before="0" w:line="240" w:lineRule="auto"/>
              <w:jc w:val="left"/>
            </w:pPr>
            <w:r>
              <w:rPr>
                <w:sz w:val="19"/>
              </w:rPr>
              <w:t xml:space="preserve">Demand</w:t>
            </w:r>
          </w:p>
        </w:tc>
        <w:tc>
          <w:tcPr>
            <w:tcW w:type="dxa" w:w="1757"/>
          </w:tcPr>
          <w:p>
            <w:pPr>
              <w:pStyle w:val="Compact"/>
              <w:spacing w:after="0" w:before="0" w:line="240" w:lineRule="auto"/>
              <w:jc w:val="left"/>
            </w:pPr>
            <w:r>
              <w:rPr>
                <w:sz w:val="19"/>
              </w:rPr>
              <w:t xml:space="preserve">18.65%</w:t>
            </w:r>
          </w:p>
        </w:tc>
        <w:tc>
          <w:tcPr>
            <w:tcW w:type="dxa" w:w="1957"/>
          </w:tcPr>
          <w:p>
            <w:pPr>
              <w:pStyle w:val="Compact"/>
              <w:spacing w:after="0" w:before="0" w:line="240" w:lineRule="auto"/>
              <w:jc w:val="left"/>
            </w:pPr>
            <w:r>
              <w:rPr>
                <w:sz w:val="19"/>
              </w:rPr>
              <w:t xml:space="preserve">18.84%</w:t>
            </w:r>
          </w:p>
        </w:tc>
        <w:tc>
          <w:tcPr>
            <w:tcW w:type="dxa" w:w="2359"/>
          </w:tcPr>
          <w:p>
            <w:pPr>
              <w:pStyle w:val="Compact"/>
              <w:spacing w:after="0" w:before="0" w:line="240" w:lineRule="auto"/>
              <w:jc w:val="left"/>
            </w:pPr>
            <w:r>
              <w:rPr>
                <w:sz w:val="19"/>
              </w:rPr>
              <w:t xml:space="preserve">18.99%</w:t>
            </w:r>
          </w:p>
        </w:tc>
        <w:tc>
          <w:tcPr>
            <w:tcW w:type="dxa" w:w="1556"/>
          </w:tcPr>
          <w:p>
            <w:pPr>
              <w:pStyle w:val="Compact"/>
              <w:spacing w:after="0" w:before="0" w:line="240" w:lineRule="auto"/>
              <w:jc w:val="left"/>
            </w:pPr>
            <w:r>
              <w:rPr>
                <w:sz w:val="19"/>
              </w:rPr>
              <w:t xml:space="preserve">25.68%</w:t>
            </w:r>
          </w:p>
        </w:tc>
      </w:tr>
    </w:tbl>
    <w:p>
      <w:pPr>
        <w:pStyle w:val="BodyText"/>
        <w:spacing w:before="160"/>
      </w:pPr>
      <w:r>
        <w:t xml:space="preserve">Blend weights tried on validation (demand): 0.0 → 18.99%, 0.25 → 18.76%, 0.5 → 18.65%, 0.75 → 18.68%, 1.0 → 18.84%.</w:t>
      </w:r>
    </w:p>
    <w:p>
      <w:pPr>
        <w:pStyle w:val="BodyText"/>
        <w:keepNext/>
      </w:pPr>
      <w:r>
        <w:rPr>
          <w:b/>
          <w:bCs/>
        </w:rPr>
        <w:t xml:space="preserve">Table 4. LightGBM configurations tried (validation WAPE; from</w:t>
      </w:r>
      <w:r>
        <w:rPr>
          <w:b/>
          <w:bCs/>
        </w:rPr>
        <w:t xml:space="preserve"> </w:t>
      </w:r>
      <w:r>
        <w:rPr>
          <w:rStyle w:val="VerbatimChar"/>
          <w:b/>
          <w:bCs/>
        </w:rPr>
        <w:t xml:space="preserve">reports/tuning_demand.csv</w:t>
      </w:r>
      <w:r>
        <w:rPr>
          <w:b/>
          <w:bCs/>
        </w:rPr>
        <w:t xml:space="preserve"> </w:t>
      </w:r>
      <w:r>
        <w:rPr>
          <w:b/>
          <w:bCs/>
        </w:rPr>
        <w:t xml:space="preserve">and</w:t>
      </w:r>
      <w:r>
        <w:rPr>
          <w:b/>
          <w:bCs/>
        </w:rPr>
        <w:t xml:space="preserve"> </w:t>
      </w:r>
      <w:r>
        <w:rPr>
          <w:rStyle w:val="VerbatimChar"/>
          <w:b/>
          <w:bCs/>
        </w:rPr>
        <w:t xml:space="preserve">reports/tuning_load.csv</w:t>
      </w:r>
      <w:r>
        <w:rPr>
          <w:b/>
          <w:bCs/>
        </w:rPr>
        <w:t xml:space="preserve">).</w:t>
      </w:r>
      <w:r>
        <w:t xml:space="preserve"> </w:t>
      </w:r>
      <w:r>
        <w:t xml:space="preserve">The chosen configuration is in bold.</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2777"/>
        <w:gridCol w:w="1888"/>
        <w:gridCol w:w="2629"/>
        <w:gridCol w:w="1888"/>
      </w:tblGrid>
      <w:tr>
        <w:trPr>
          <w:tblHeader w:val="true"/>
          <w:cantSplit/>
          <w:tblHeader/>
        </w:trPr>
        <w:tc>
          <w:tcPr>
            <w:tcW w:type="dxa" w:w="2777"/>
            <w:shd w:val="clear" w:color="auto" w:fill="DCE3F0"/>
          </w:tcPr>
          <w:p>
            <w:pPr>
              <w:pStyle w:val="Compact"/>
              <w:spacing w:after="0" w:before="0" w:line="240" w:lineRule="auto"/>
              <w:jc w:val="left"/>
            </w:pPr>
            <w:r>
              <w:rPr>
                <w:b/>
                <w:sz w:val="19"/>
              </w:rPr>
              <w:t xml:space="preserve">Objective, leaves</w:t>
            </w:r>
          </w:p>
        </w:tc>
        <w:tc>
          <w:tcPr>
            <w:tcW w:type="dxa" w:w="1889"/>
            <w:shd w:val="clear" w:color="auto" w:fill="DCE3F0"/>
          </w:tcPr>
          <w:p>
            <w:pPr>
              <w:pStyle w:val="Compact"/>
              <w:spacing w:after="0" w:before="0" w:line="240" w:lineRule="auto"/>
              <w:jc w:val="left"/>
            </w:pPr>
            <w:r>
              <w:rPr>
                <w:b/>
                <w:sz w:val="19"/>
              </w:rPr>
              <w:t xml:space="preserve">Demand: rounds, WAPE</w:t>
            </w:r>
          </w:p>
        </w:tc>
        <w:tc>
          <w:tcPr>
            <w:tcW w:type="dxa" w:w="2629"/>
            <w:shd w:val="clear" w:color="auto" w:fill="DCE3F0"/>
          </w:tcPr>
          <w:p>
            <w:pPr>
              <w:pStyle w:val="Compact"/>
              <w:spacing w:after="0" w:before="0" w:line="240" w:lineRule="auto"/>
              <w:jc w:val="left"/>
            </w:pPr>
            <w:r>
              <w:rPr>
                <w:b/>
                <w:sz w:val="19"/>
              </w:rPr>
              <w:t xml:space="preserve">Objective, leaves</w:t>
            </w:r>
          </w:p>
        </w:tc>
        <w:tc>
          <w:tcPr>
            <w:tcW w:type="dxa" w:w="1889"/>
            <w:shd w:val="clear" w:color="auto" w:fill="DCE3F0"/>
          </w:tcPr>
          <w:p>
            <w:pPr>
              <w:pStyle w:val="Compact"/>
              <w:spacing w:after="0" w:before="0" w:line="240" w:lineRule="auto"/>
              <w:jc w:val="left"/>
            </w:pPr>
            <w:r>
              <w:rPr>
                <w:b/>
                <w:sz w:val="19"/>
              </w:rPr>
              <w:t xml:space="preserve">Load: rounds, WAPE</w:t>
            </w:r>
          </w:p>
        </w:tc>
      </w:tr>
      <w:tr>
        <w:trPr>
          <w:cantSplit/>
        </w:trPr>
        <w:tc>
          <w:tcPr>
            <w:tcW w:type="dxa" w:w="2777"/>
          </w:tcPr>
          <w:p>
            <w:pPr>
              <w:pStyle w:val="Compact"/>
              <w:spacing w:after="0" w:before="0" w:line="240" w:lineRule="auto"/>
              <w:jc w:val="left"/>
            </w:pPr>
            <w:r>
              <w:rPr>
                <w:sz w:val="19"/>
              </w:rPr>
              <w:t xml:space="preserve">L2, 63</w:t>
            </w:r>
          </w:p>
        </w:tc>
        <w:tc>
          <w:tcPr>
            <w:tcW w:type="dxa" w:w="1889"/>
          </w:tcPr>
          <w:p>
            <w:pPr>
              <w:pStyle w:val="Compact"/>
              <w:spacing w:after="0" w:before="0" w:line="240" w:lineRule="auto"/>
              <w:jc w:val="left"/>
            </w:pPr>
            <w:r>
              <w:rPr>
                <w:sz w:val="19"/>
              </w:rPr>
              <w:t xml:space="preserve">110, 18.98%</w:t>
            </w:r>
          </w:p>
        </w:tc>
        <w:tc>
          <w:tcPr>
            <w:tcW w:type="dxa" w:w="2629"/>
          </w:tcPr>
          <w:p>
            <w:pPr>
              <w:pStyle w:val="Compact"/>
              <w:spacing w:after="0" w:before="0" w:line="240" w:lineRule="auto"/>
              <w:jc w:val="left"/>
            </w:pPr>
            <w:r>
              <w:rPr>
                <w:sz w:val="19"/>
              </w:rPr>
              <w:t xml:space="preserve">L2, 63</w:t>
            </w:r>
          </w:p>
        </w:tc>
        <w:tc>
          <w:tcPr>
            <w:tcW w:type="dxa" w:w="1889"/>
          </w:tcPr>
          <w:p>
            <w:pPr>
              <w:pStyle w:val="Compact"/>
              <w:spacing w:after="0" w:before="0" w:line="240" w:lineRule="auto"/>
              <w:jc w:val="left"/>
            </w:pPr>
            <w:r>
              <w:rPr>
                <w:sz w:val="19"/>
              </w:rPr>
              <w:t xml:space="preserve">98, 19.70%</w:t>
            </w:r>
          </w:p>
        </w:tc>
      </w:tr>
      <w:tr>
        <w:trPr>
          <w:cantSplit/>
        </w:trPr>
        <w:tc>
          <w:tcPr>
            <w:tcW w:type="dxa" w:w="2777"/>
          </w:tcPr>
          <w:p>
            <w:pPr>
              <w:pStyle w:val="Compact"/>
              <w:spacing w:after="0" w:before="0" w:line="240" w:lineRule="auto"/>
              <w:jc w:val="left"/>
            </w:pPr>
            <w:r>
              <w:rPr>
                <w:b/>
                <w:bCs/>
                <w:sz w:val="19"/>
              </w:rPr>
              <w:t xml:space="preserve">L1, 63</w:t>
            </w:r>
          </w:p>
        </w:tc>
        <w:tc>
          <w:tcPr>
            <w:tcW w:type="dxa" w:w="1889"/>
          </w:tcPr>
          <w:p>
            <w:pPr>
              <w:pStyle w:val="Compact"/>
              <w:spacing w:after="0" w:before="0" w:line="240" w:lineRule="auto"/>
              <w:jc w:val="left"/>
            </w:pPr>
            <w:r>
              <w:rPr>
                <w:b/>
                <w:bCs/>
                <w:sz w:val="19"/>
              </w:rPr>
              <w:t xml:space="preserve">130, 18.84%</w:t>
            </w:r>
          </w:p>
        </w:tc>
        <w:tc>
          <w:tcPr>
            <w:tcW w:type="dxa" w:w="2629"/>
          </w:tcPr>
          <w:p>
            <w:pPr>
              <w:pStyle w:val="Compact"/>
              <w:spacing w:after="0" w:before="0" w:line="240" w:lineRule="auto"/>
              <w:jc w:val="left"/>
            </w:pPr>
            <w:r>
              <w:rPr>
                <w:b/>
                <w:bCs/>
                <w:sz w:val="19"/>
              </w:rPr>
              <w:t xml:space="preserve">L1, 63</w:t>
            </w:r>
          </w:p>
        </w:tc>
        <w:tc>
          <w:tcPr>
            <w:tcW w:type="dxa" w:w="1889"/>
          </w:tcPr>
          <w:p>
            <w:pPr>
              <w:pStyle w:val="Compact"/>
              <w:spacing w:after="0" w:before="0" w:line="240" w:lineRule="auto"/>
              <w:jc w:val="left"/>
            </w:pPr>
            <w:r>
              <w:rPr>
                <w:b/>
                <w:bCs/>
                <w:sz w:val="19"/>
              </w:rPr>
              <w:t xml:space="preserve">140, 19.54%</w:t>
            </w:r>
          </w:p>
        </w:tc>
      </w:tr>
      <w:tr>
        <w:trPr>
          <w:cantSplit/>
        </w:trPr>
        <w:tc>
          <w:tcPr>
            <w:tcW w:type="dxa" w:w="2777"/>
          </w:tcPr>
          <w:p>
            <w:pPr>
              <w:pStyle w:val="Compact"/>
              <w:spacing w:after="0" w:before="0" w:line="240" w:lineRule="auto"/>
              <w:jc w:val="left"/>
            </w:pPr>
            <w:r>
              <w:rPr>
                <w:sz w:val="19"/>
              </w:rPr>
              <w:t xml:space="preserve">Poisson, 63</w:t>
            </w:r>
          </w:p>
        </w:tc>
        <w:tc>
          <w:tcPr>
            <w:tcW w:type="dxa" w:w="1889"/>
          </w:tcPr>
          <w:p>
            <w:pPr>
              <w:pStyle w:val="Compact"/>
              <w:spacing w:after="0" w:before="0" w:line="240" w:lineRule="auto"/>
              <w:jc w:val="left"/>
            </w:pPr>
            <w:r>
              <w:rPr>
                <w:sz w:val="19"/>
              </w:rPr>
              <w:t xml:space="preserve">188, 18.99%</w:t>
            </w:r>
          </w:p>
        </w:tc>
        <w:tc>
          <w:tcPr>
            <w:tcW w:type="dxa" w:w="2629"/>
          </w:tcPr>
          <w:p>
            <w:pPr>
              <w:pStyle w:val="Compact"/>
              <w:spacing w:after="0" w:before="0" w:line="240" w:lineRule="auto"/>
              <w:jc w:val="left"/>
            </w:pPr>
            <w:r>
              <w:rPr>
                <w:sz w:val="19"/>
              </w:rPr>
              <w:t xml:space="preserve">Huber (α 15), 63</w:t>
            </w:r>
          </w:p>
        </w:tc>
        <w:tc>
          <w:tcPr>
            <w:tcW w:type="dxa" w:w="1889"/>
          </w:tcPr>
          <w:p>
            <w:pPr>
              <w:pStyle w:val="Compact"/>
              <w:spacing w:after="0" w:before="0" w:line="240" w:lineRule="auto"/>
              <w:jc w:val="left"/>
            </w:pPr>
            <w:r>
              <w:rPr>
                <w:sz w:val="19"/>
              </w:rPr>
              <w:t xml:space="preserve">131, 19.64%</w:t>
            </w:r>
          </w:p>
        </w:tc>
      </w:tr>
      <w:tr>
        <w:trPr>
          <w:cantSplit/>
        </w:trPr>
        <w:tc>
          <w:tcPr>
            <w:tcW w:type="dxa" w:w="2777"/>
          </w:tcPr>
          <w:p>
            <w:pPr>
              <w:pStyle w:val="Compact"/>
              <w:spacing w:after="0" w:before="0" w:line="240" w:lineRule="auto"/>
              <w:jc w:val="left"/>
            </w:pPr>
            <w:r>
              <w:rPr>
                <w:sz w:val="19"/>
              </w:rPr>
              <w:t xml:space="preserve">Tweedie (1.3), 63</w:t>
            </w:r>
          </w:p>
        </w:tc>
        <w:tc>
          <w:tcPr>
            <w:tcW w:type="dxa" w:w="1889"/>
          </w:tcPr>
          <w:p>
            <w:pPr>
              <w:pStyle w:val="Compact"/>
              <w:spacing w:after="0" w:before="0" w:line="240" w:lineRule="auto"/>
              <w:jc w:val="left"/>
            </w:pPr>
            <w:r>
              <w:rPr>
                <w:sz w:val="19"/>
              </w:rPr>
              <w:t xml:space="preserve">89, 18.91%</w:t>
            </w:r>
          </w:p>
        </w:tc>
        <w:tc>
          <w:tcPr>
            <w:tcW w:type="dxa" w:w="2629"/>
          </w:tcPr>
          <w:p>
            <w:pPr>
              <w:pStyle w:val="Compact"/>
              <w:spacing w:after="0" w:before="0" w:line="240" w:lineRule="auto"/>
              <w:jc w:val="left"/>
            </w:pPr>
            <w:r>
              <w:rPr>
                <w:sz w:val="19"/>
              </w:rPr>
              <w:t xml:space="preserve">Poisson, 63</w:t>
            </w:r>
          </w:p>
        </w:tc>
        <w:tc>
          <w:tcPr>
            <w:tcW w:type="dxa" w:w="1889"/>
          </w:tcPr>
          <w:p>
            <w:pPr>
              <w:pStyle w:val="Compact"/>
              <w:spacing w:after="0" w:before="0" w:line="240" w:lineRule="auto"/>
              <w:jc w:val="left"/>
            </w:pPr>
            <w:r>
              <w:rPr>
                <w:sz w:val="19"/>
              </w:rPr>
              <w:t xml:space="preserve">186, 19.70%</w:t>
            </w:r>
          </w:p>
        </w:tc>
      </w:tr>
      <w:tr>
        <w:trPr>
          <w:cantSplit/>
        </w:trPr>
        <w:tc>
          <w:tcPr>
            <w:tcW w:type="dxa" w:w="2777"/>
          </w:tcPr>
          <w:p>
            <w:pPr>
              <w:pStyle w:val="Compact"/>
              <w:spacing w:after="0" w:before="0" w:line="240" w:lineRule="auto"/>
              <w:jc w:val="left"/>
            </w:pPr>
            <w:r>
              <w:rPr>
                <w:sz w:val="19"/>
              </w:rPr>
              <w:t xml:space="preserve">Poisson, 255</w:t>
            </w:r>
          </w:p>
        </w:tc>
        <w:tc>
          <w:tcPr>
            <w:tcW w:type="dxa" w:w="1889"/>
          </w:tcPr>
          <w:p>
            <w:pPr>
              <w:pStyle w:val="Compact"/>
              <w:spacing w:after="0" w:before="0" w:line="240" w:lineRule="auto"/>
              <w:jc w:val="left"/>
            </w:pPr>
            <w:r>
              <w:rPr>
                <w:sz w:val="19"/>
              </w:rPr>
              <w:t xml:space="preserve">178, 19.07%</w:t>
            </w:r>
          </w:p>
        </w:tc>
        <w:tc>
          <w:tcPr>
            <w:tcW w:type="dxa" w:w="2629"/>
          </w:tcPr>
          <w:p>
            <w:pPr>
              <w:pStyle w:val="Compact"/>
              <w:spacing w:after="0" w:before="0" w:line="240" w:lineRule="auto"/>
              <w:jc w:val="left"/>
            </w:pPr>
            <w:r>
              <w:rPr>
                <w:sz w:val="19"/>
              </w:rPr>
              <w:t xml:space="preserve">L1, 255</w:t>
            </w:r>
          </w:p>
        </w:tc>
        <w:tc>
          <w:tcPr>
            <w:tcW w:type="dxa" w:w="1889"/>
          </w:tcPr>
          <w:p>
            <w:pPr>
              <w:pStyle w:val="Compact"/>
              <w:spacing w:after="0" w:before="0" w:line="240" w:lineRule="auto"/>
              <w:jc w:val="left"/>
            </w:pPr>
            <w:r>
              <w:rPr>
                <w:sz w:val="19"/>
              </w:rPr>
              <w:t xml:space="preserve">95, 19.58%</w:t>
            </w:r>
          </w:p>
        </w:tc>
      </w:tr>
      <w:tr>
        <w:trPr>
          <w:cantSplit/>
        </w:trPr>
        <w:tc>
          <w:tcPr>
            <w:tcW w:type="dxa" w:w="2777"/>
          </w:tcPr>
          <w:p>
            <w:pPr>
              <w:pStyle w:val="Compact"/>
              <w:spacing w:after="0" w:before="0" w:line="240" w:lineRule="auto"/>
              <w:jc w:val="left"/>
            </w:pPr>
            <w:r>
              <w:rPr>
                <w:sz w:val="19"/>
              </w:rPr>
              <w:t xml:space="preserve">L2, 255</w:t>
            </w:r>
          </w:p>
        </w:tc>
        <w:tc>
          <w:tcPr>
            <w:tcW w:type="dxa" w:w="1889"/>
          </w:tcPr>
          <w:p>
            <w:pPr>
              <w:pStyle w:val="Compact"/>
              <w:spacing w:after="0" w:before="0" w:line="240" w:lineRule="auto"/>
              <w:jc w:val="left"/>
            </w:pPr>
            <w:r>
              <w:rPr>
                <w:sz w:val="19"/>
              </w:rPr>
              <w:t xml:space="preserve">93, 19.05%</w:t>
            </w:r>
          </w:p>
        </w:tc>
        <w:tc>
          <w:tcPr>
            <w:tcW w:type="dxa" w:w="2629"/>
          </w:tcPr>
          <w:p>
            <w:pPr>
              <w:pStyle w:val="Compact"/>
              <w:spacing w:after="0" w:before="0" w:line="240" w:lineRule="auto"/>
              <w:jc w:val="left"/>
            </w:pPr>
            <w:r>
              <w:rPr>
                <w:sz w:val="19"/>
              </w:rPr>
              <w:t xml:space="preserve">L2, 255</w:t>
            </w:r>
          </w:p>
        </w:tc>
        <w:tc>
          <w:tcPr>
            <w:tcW w:type="dxa" w:w="1889"/>
          </w:tcPr>
          <w:p>
            <w:pPr>
              <w:pStyle w:val="Compact"/>
              <w:spacing w:after="0" w:before="0" w:line="240" w:lineRule="auto"/>
              <w:jc w:val="left"/>
            </w:pPr>
            <w:r>
              <w:rPr>
                <w:sz w:val="19"/>
              </w:rPr>
              <w:t xml:space="preserve">87, 19.78%</w:t>
            </w:r>
          </w:p>
        </w:tc>
      </w:tr>
    </w:tbl>
    <w:p>
      <w:pPr>
        <w:pStyle w:val="BodyText"/>
        <w:keepNext/>
        <w:spacing w:before="160"/>
      </w:pPr>
      <w:r>
        <w:rPr>
          <w:b/>
          <w:bCs/>
        </w:rPr>
        <w:t xml:space="preserve">Table 5. Feature-group ablation (validation week, chosen configuration).</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5006"/>
        <w:gridCol w:w="1116"/>
        <w:gridCol w:w="1116"/>
        <w:gridCol w:w="828"/>
        <w:gridCol w:w="1116"/>
      </w:tblGrid>
      <w:tr>
        <w:trPr>
          <w:tblHeader w:val="true"/>
          <w:cantSplit/>
          <w:tblHeader/>
        </w:trPr>
        <w:tc>
          <w:tcPr>
            <w:tcW w:type="dxa" w:w="5006"/>
            <w:shd w:val="clear" w:color="auto" w:fill="DCE3F0"/>
          </w:tcPr>
          <w:p>
            <w:pPr>
              <w:pStyle w:val="Compact"/>
              <w:spacing w:after="0" w:before="0" w:line="240" w:lineRule="auto"/>
              <w:jc w:val="left"/>
            </w:pPr>
            <w:r>
              <w:rPr>
                <w:b/>
                <w:sz w:val="19"/>
              </w:rPr>
              <w:t xml:space="preserve">Features</w:t>
            </w:r>
          </w:p>
        </w:tc>
        <w:tc>
          <w:tcPr>
            <w:tcW w:type="dxa" w:w="1117"/>
            <w:shd w:val="clear" w:color="auto" w:fill="DCE3F0"/>
          </w:tcPr>
          <w:p>
            <w:pPr>
              <w:pStyle w:val="Compact"/>
              <w:spacing w:after="0" w:before="0" w:line="240" w:lineRule="auto"/>
              <w:jc w:val="left"/>
            </w:pPr>
            <w:r>
              <w:rPr>
                <w:b/>
                <w:sz w:val="19"/>
              </w:rPr>
              <w:t xml:space="preserve">Demand MAE</w:t>
            </w:r>
          </w:p>
        </w:tc>
        <w:tc>
          <w:tcPr>
            <w:tcW w:type="dxa" w:w="1117"/>
            <w:shd w:val="clear" w:color="auto" w:fill="DCE3F0"/>
          </w:tcPr>
          <w:p>
            <w:pPr>
              <w:pStyle w:val="Compact"/>
              <w:spacing w:after="0" w:before="0" w:line="240" w:lineRule="auto"/>
              <w:jc w:val="left"/>
            </w:pPr>
            <w:r>
              <w:rPr>
                <w:b/>
                <w:sz w:val="19"/>
              </w:rPr>
              <w:t xml:space="preserve">Demand WAPE</w:t>
            </w:r>
          </w:p>
        </w:tc>
        <w:tc>
          <w:tcPr>
            <w:tcW w:type="dxa" w:w="828"/>
            <w:shd w:val="clear" w:color="auto" w:fill="DCE3F0"/>
          </w:tcPr>
          <w:p>
            <w:pPr>
              <w:pStyle w:val="Compact"/>
              <w:spacing w:after="0" w:before="0" w:line="240" w:lineRule="auto"/>
              <w:jc w:val="left"/>
            </w:pPr>
            <w:r>
              <w:rPr>
                <w:b/>
                <w:sz w:val="19"/>
              </w:rPr>
              <w:t xml:space="preserve">Load MAE</w:t>
            </w:r>
          </w:p>
        </w:tc>
        <w:tc>
          <w:tcPr>
            <w:tcW w:type="dxa" w:w="1117"/>
            <w:shd w:val="clear" w:color="auto" w:fill="DCE3F0"/>
          </w:tcPr>
          <w:p>
            <w:pPr>
              <w:pStyle w:val="Compact"/>
              <w:spacing w:after="0" w:before="0" w:line="240" w:lineRule="auto"/>
              <w:jc w:val="left"/>
            </w:pPr>
            <w:r>
              <w:rPr>
                <w:b/>
                <w:sz w:val="19"/>
              </w:rPr>
              <w:t xml:space="preserve">Load WAPE</w:t>
            </w:r>
          </w:p>
        </w:tc>
      </w:tr>
      <w:tr>
        <w:trPr>
          <w:cantSplit/>
        </w:trPr>
        <w:tc>
          <w:tcPr>
            <w:tcW w:type="dxa" w:w="5006"/>
          </w:tcPr>
          <w:p>
            <w:pPr>
              <w:pStyle w:val="Compact"/>
              <w:spacing w:after="0" w:before="0" w:line="240" w:lineRule="auto"/>
              <w:jc w:val="left"/>
            </w:pPr>
            <w:r>
              <w:rPr>
                <w:sz w:val="19"/>
              </w:rPr>
              <w:t xml:space="preserve">Calendar + route only</w:t>
            </w:r>
          </w:p>
        </w:tc>
        <w:tc>
          <w:tcPr>
            <w:tcW w:type="dxa" w:w="1117"/>
          </w:tcPr>
          <w:p>
            <w:pPr>
              <w:pStyle w:val="Compact"/>
              <w:spacing w:after="0" w:before="0" w:line="240" w:lineRule="auto"/>
              <w:jc w:val="left"/>
            </w:pPr>
            <w:r>
              <w:rPr>
                <w:sz w:val="19"/>
              </w:rPr>
              <w:t xml:space="preserve">21.35</w:t>
            </w:r>
          </w:p>
        </w:tc>
        <w:tc>
          <w:tcPr>
            <w:tcW w:type="dxa" w:w="1117"/>
          </w:tcPr>
          <w:p>
            <w:pPr>
              <w:pStyle w:val="Compact"/>
              <w:spacing w:after="0" w:before="0" w:line="240" w:lineRule="auto"/>
              <w:jc w:val="left"/>
            </w:pPr>
            <w:r>
              <w:rPr>
                <w:sz w:val="19"/>
              </w:rPr>
              <w:t xml:space="preserve">21.64%</w:t>
            </w:r>
          </w:p>
        </w:tc>
        <w:tc>
          <w:tcPr>
            <w:tcW w:type="dxa" w:w="828"/>
          </w:tcPr>
          <w:p>
            <w:pPr>
              <w:pStyle w:val="Compact"/>
              <w:spacing w:after="0" w:before="0" w:line="240" w:lineRule="auto"/>
              <w:jc w:val="left"/>
            </w:pPr>
            <w:r>
              <w:rPr>
                <w:sz w:val="19"/>
              </w:rPr>
              <w:t xml:space="preserve">5.20</w:t>
            </w:r>
          </w:p>
        </w:tc>
        <w:tc>
          <w:tcPr>
            <w:tcW w:type="dxa" w:w="1117"/>
          </w:tcPr>
          <w:p>
            <w:pPr>
              <w:pStyle w:val="Compact"/>
              <w:spacing w:after="0" w:before="0" w:line="240" w:lineRule="auto"/>
              <w:jc w:val="left"/>
            </w:pPr>
            <w:r>
              <w:rPr>
                <w:sz w:val="19"/>
              </w:rPr>
              <w:t xml:space="preserve">21.22%</w:t>
            </w:r>
          </w:p>
        </w:tc>
      </w:tr>
      <w:tr>
        <w:trPr>
          <w:cantSplit/>
        </w:trPr>
        <w:tc>
          <w:tcPr>
            <w:tcW w:type="dxa" w:w="5006"/>
          </w:tcPr>
          <w:p>
            <w:pPr>
              <w:pStyle w:val="Compact"/>
              <w:spacing w:after="0" w:before="0" w:line="240" w:lineRule="auto"/>
              <w:jc w:val="left"/>
            </w:pPr>
            <w:r>
              <w:rPr>
                <w:sz w:val="19"/>
              </w:rPr>
              <w:t xml:space="preserve">+ same-hour history (lags, means)</w:t>
            </w:r>
          </w:p>
        </w:tc>
        <w:tc>
          <w:tcPr>
            <w:tcW w:type="dxa" w:w="1117"/>
          </w:tcPr>
          <w:p>
            <w:pPr>
              <w:pStyle w:val="Compact"/>
              <w:spacing w:after="0" w:before="0" w:line="240" w:lineRule="auto"/>
              <w:jc w:val="left"/>
            </w:pPr>
            <w:r>
              <w:rPr>
                <w:sz w:val="19"/>
              </w:rPr>
              <w:t xml:space="preserve">18.63</w:t>
            </w:r>
          </w:p>
        </w:tc>
        <w:tc>
          <w:tcPr>
            <w:tcW w:type="dxa" w:w="1117"/>
          </w:tcPr>
          <w:p>
            <w:pPr>
              <w:pStyle w:val="Compact"/>
              <w:spacing w:after="0" w:before="0" w:line="240" w:lineRule="auto"/>
              <w:jc w:val="left"/>
            </w:pPr>
            <w:r>
              <w:rPr>
                <w:sz w:val="19"/>
              </w:rPr>
              <w:t xml:space="preserve">18.89%</w:t>
            </w:r>
          </w:p>
        </w:tc>
        <w:tc>
          <w:tcPr>
            <w:tcW w:type="dxa" w:w="828"/>
          </w:tcPr>
          <w:p>
            <w:pPr>
              <w:pStyle w:val="Compact"/>
              <w:spacing w:after="0" w:before="0" w:line="240" w:lineRule="auto"/>
              <w:jc w:val="left"/>
            </w:pPr>
            <w:r>
              <w:rPr>
                <w:sz w:val="19"/>
              </w:rPr>
              <w:t xml:space="preserve">4.82</w:t>
            </w:r>
          </w:p>
        </w:tc>
        <w:tc>
          <w:tcPr>
            <w:tcW w:type="dxa" w:w="1117"/>
          </w:tcPr>
          <w:p>
            <w:pPr>
              <w:pStyle w:val="Compact"/>
              <w:spacing w:after="0" w:before="0" w:line="240" w:lineRule="auto"/>
              <w:jc w:val="left"/>
            </w:pPr>
            <w:r>
              <w:rPr>
                <w:sz w:val="19"/>
              </w:rPr>
              <w:t xml:space="preserve">19.67%</w:t>
            </w:r>
          </w:p>
        </w:tc>
      </w:tr>
      <w:tr>
        <w:trPr>
          <w:cantSplit/>
        </w:trPr>
        <w:tc>
          <w:tcPr>
            <w:tcW w:type="dxa" w:w="5006"/>
          </w:tcPr>
          <w:p>
            <w:pPr>
              <w:pStyle w:val="Compact"/>
              <w:spacing w:after="0" w:before="0" w:line="240" w:lineRule="auto"/>
              <w:jc w:val="left"/>
            </w:pPr>
            <w:r>
              <w:rPr>
                <w:sz w:val="19"/>
              </w:rPr>
              <w:t xml:space="preserve">All features</w:t>
            </w:r>
          </w:p>
        </w:tc>
        <w:tc>
          <w:tcPr>
            <w:tcW w:type="dxa" w:w="1117"/>
          </w:tcPr>
          <w:p>
            <w:pPr>
              <w:pStyle w:val="Compact"/>
              <w:spacing w:after="0" w:before="0" w:line="240" w:lineRule="auto"/>
              <w:jc w:val="left"/>
            </w:pPr>
            <w:r>
              <w:rPr>
                <w:sz w:val="19"/>
              </w:rPr>
              <w:t xml:space="preserve">18.58</w:t>
            </w:r>
          </w:p>
        </w:tc>
        <w:tc>
          <w:tcPr>
            <w:tcW w:type="dxa" w:w="1117"/>
          </w:tcPr>
          <w:p>
            <w:pPr>
              <w:pStyle w:val="Compact"/>
              <w:spacing w:after="0" w:before="0" w:line="240" w:lineRule="auto"/>
              <w:jc w:val="left"/>
            </w:pPr>
            <w:r>
              <w:rPr>
                <w:sz w:val="19"/>
              </w:rPr>
              <w:t xml:space="preserve">18.84%</w:t>
            </w:r>
          </w:p>
        </w:tc>
        <w:tc>
          <w:tcPr>
            <w:tcW w:type="dxa" w:w="828"/>
          </w:tcPr>
          <w:p>
            <w:pPr>
              <w:pStyle w:val="Compact"/>
              <w:spacing w:after="0" w:before="0" w:line="240" w:lineRule="auto"/>
              <w:jc w:val="left"/>
            </w:pPr>
            <w:r>
              <w:rPr>
                <w:sz w:val="19"/>
              </w:rPr>
              <w:t xml:space="preserve">4.78</w:t>
            </w:r>
          </w:p>
        </w:tc>
        <w:tc>
          <w:tcPr>
            <w:tcW w:type="dxa" w:w="1117"/>
          </w:tcPr>
          <w:p>
            <w:pPr>
              <w:pStyle w:val="Compact"/>
              <w:spacing w:after="0" w:before="0" w:line="240" w:lineRule="auto"/>
              <w:jc w:val="left"/>
            </w:pPr>
            <w:r>
              <w:rPr>
                <w:sz w:val="19"/>
              </w:rPr>
              <w:t xml:space="preserve">19.54%</w:t>
            </w:r>
          </w:p>
        </w:tc>
      </w:tr>
    </w:tbl>
    <w:p>
      <w:pPr>
        <w:pStyle w:val="BodyText"/>
        <w:spacing w:before="160"/>
      </w:pPr>
      <w:r>
        <w:t xml:space="preserve">The largest shares of the final demand model’s total split gain are</w:t>
      </w:r>
      <w:r>
        <w:t xml:space="preserve"> </w:t>
      </w:r>
      <w:r>
        <w:rPr>
          <w:rStyle w:val="VerbatimChar"/>
        </w:rPr>
        <w:t xml:space="preserve">y_hist_daytype</w:t>
      </w:r>
      <w:r>
        <w:t xml:space="preserve"> </w:t>
      </w:r>
      <w:r>
        <w:t xml:space="preserve">(72.94%),</w:t>
      </w:r>
      <w:r>
        <w:t xml:space="preserve"> </w:t>
      </w:r>
      <w:r>
        <w:rPr>
          <w:rStyle w:val="VerbatimChar"/>
        </w:rPr>
        <w:t xml:space="preserve">y_roll7</w:t>
      </w:r>
      <w:r>
        <w:t xml:space="preserve"> </w:t>
      </w:r>
      <w:r>
        <w:t xml:space="preserve">(11.82%),</w:t>
      </w:r>
      <w:r>
        <w:t xml:space="preserve"> </w:t>
      </w:r>
      <w:r>
        <w:rPr>
          <w:rStyle w:val="VerbatimChar"/>
        </w:rPr>
        <w:t xml:space="preserve">y_mean_dow4</w:t>
      </w:r>
      <w:r>
        <w:t xml:space="preserve"> </w:t>
      </w:r>
      <w:r>
        <w:t xml:space="preserve">(5.19%), route (4.07%) and</w:t>
      </w:r>
      <w:r>
        <w:t xml:space="preserve"> </w:t>
      </w:r>
      <w:r>
        <w:rPr>
          <w:rStyle w:val="VerbatimChar"/>
        </w:rPr>
        <w:t xml:space="preserve">y_lag1</w:t>
      </w:r>
      <w:r>
        <w:t xml:space="preserve"> </w:t>
      </w:r>
      <w:r>
        <w:t xml:space="preserve">(1.44%). For load:</w:t>
      </w:r>
      <w:r>
        <w:t xml:space="preserve"> </w:t>
      </w:r>
      <w:r>
        <w:rPr>
          <w:rStyle w:val="VerbatimChar"/>
        </w:rPr>
        <w:t xml:space="preserve">y_hist_daytype</w:t>
      </w:r>
      <w:r>
        <w:t xml:space="preserve"> </w:t>
      </w:r>
      <w:r>
        <w:t xml:space="preserve">70.93%,</w:t>
      </w:r>
      <w:r>
        <w:t xml:space="preserve"> </w:t>
      </w:r>
      <w:r>
        <w:rPr>
          <w:rStyle w:val="VerbatimChar"/>
        </w:rPr>
        <w:t xml:space="preserve">y_roll7</w:t>
      </w:r>
      <w:r>
        <w:t xml:space="preserve"> </w:t>
      </w:r>
      <w:r>
        <w:t xml:space="preserve">13.15%, route 5.86%,</w:t>
      </w:r>
      <w:r>
        <w:t xml:space="preserve"> </w:t>
      </w:r>
      <w:r>
        <w:rPr>
          <w:rStyle w:val="VerbatimChar"/>
        </w:rPr>
        <w:t xml:space="preserve">y_lag1</w:t>
      </w:r>
      <w:r>
        <w:t xml:space="preserve"> </w:t>
      </w:r>
      <w:r>
        <w:t xml:space="preserve">2.34%,</w:t>
      </w:r>
      <w:r>
        <w:t xml:space="preserve"> </w:t>
      </w:r>
      <w:r>
        <w:rPr>
          <w:rStyle w:val="VerbatimChar"/>
        </w:rPr>
        <w:t xml:space="preserve">y_mean_dow4</w:t>
      </w:r>
      <w:r>
        <w:t xml:space="preserve"> </w:t>
      </w:r>
      <w:r>
        <w:t xml:space="preserve">2.19%.</w:t>
      </w:r>
    </w:p>
    <w:bookmarkEnd w:id="57"/>
    <w:bookmarkStart w:id="58" w:name="is-the-improvement-real"/>
    <w:p>
      <w:pPr>
        <w:pStyle w:val="Heading2"/>
      </w:pPr>
      <w:r>
        <w:t xml:space="preserve">6.3 Is the improvement real?</w:t>
      </w:r>
    </w:p>
    <w:p>
      <w:pPr>
        <w:pStyle w:val="FirstParagraph"/>
        <w:keepNext/>
      </w:pPr>
      <w:r>
        <w:rPr>
          <w:b/>
          <w:bCs/>
        </w:rPr>
        <w:t xml:space="preserve">Table 6. Paired bootstrap over route-directions (2,000 resamples). Negative values mean the final forecast is better.</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1066"/>
        <w:gridCol w:w="2855"/>
        <w:gridCol w:w="1616"/>
        <w:gridCol w:w="2167"/>
        <w:gridCol w:w="1479"/>
      </w:tblGrid>
      <w:tr>
        <w:trPr>
          <w:tblHeader w:val="true"/>
          <w:cantSplit/>
          <w:tblHeader/>
        </w:trPr>
        <w:tc>
          <w:tcPr>
            <w:tcW w:type="dxa" w:w="1066"/>
            <w:shd w:val="clear" w:color="auto" w:fill="DCE3F0"/>
          </w:tcPr>
          <w:p>
            <w:pPr>
              <w:pStyle w:val="Compact"/>
              <w:spacing w:after="0" w:before="0" w:line="240" w:lineRule="auto"/>
              <w:jc w:val="left"/>
            </w:pPr>
            <w:r>
              <w:rPr>
                <w:b/>
                <w:sz w:val="19"/>
              </w:rPr>
              <w:t xml:space="preserve">Target</w:t>
            </w:r>
          </w:p>
        </w:tc>
        <w:tc>
          <w:tcPr>
            <w:tcW w:type="dxa" w:w="2855"/>
            <w:shd w:val="clear" w:color="auto" w:fill="DCE3F0"/>
          </w:tcPr>
          <w:p>
            <w:pPr>
              <w:pStyle w:val="Compact"/>
              <w:spacing w:after="0" w:before="0" w:line="240" w:lineRule="auto"/>
              <w:jc w:val="left"/>
            </w:pPr>
            <w:r>
              <w:rPr>
                <w:b/>
                <w:sz w:val="19"/>
              </w:rPr>
              <w:t xml:space="preserve">Final minus</w:t>
            </w:r>
          </w:p>
        </w:tc>
        <w:tc>
          <w:tcPr>
            <w:tcW w:type="dxa" w:w="1617"/>
            <w:shd w:val="clear" w:color="auto" w:fill="DCE3F0"/>
          </w:tcPr>
          <w:p>
            <w:pPr>
              <w:pStyle w:val="Compact"/>
              <w:spacing w:after="0" w:before="0" w:line="240" w:lineRule="auto"/>
              <w:jc w:val="left"/>
            </w:pPr>
            <w:r>
              <w:rPr>
                <w:b/>
                <w:sz w:val="19"/>
              </w:rPr>
              <w:t xml:space="preserve">WAPE difference (points)</w:t>
            </w:r>
          </w:p>
        </w:tc>
        <w:tc>
          <w:tcPr>
            <w:tcW w:type="dxa" w:w="2167"/>
            <w:shd w:val="clear" w:color="auto" w:fill="DCE3F0"/>
          </w:tcPr>
          <w:p>
            <w:pPr>
              <w:pStyle w:val="Compact"/>
              <w:spacing w:after="0" w:before="0" w:line="240" w:lineRule="auto"/>
              <w:jc w:val="left"/>
            </w:pPr>
            <w:r>
              <w:rPr>
                <w:b/>
                <w:sz w:val="19"/>
              </w:rPr>
              <w:t xml:space="preserve">95% interval</w:t>
            </w:r>
          </w:p>
        </w:tc>
        <w:tc>
          <w:tcPr>
            <w:tcW w:type="dxa" w:w="1479"/>
            <w:shd w:val="clear" w:color="auto" w:fill="DCE3F0"/>
          </w:tcPr>
          <w:p>
            <w:pPr>
              <w:pStyle w:val="Compact"/>
              <w:spacing w:after="0" w:before="0" w:line="240" w:lineRule="auto"/>
              <w:jc w:val="left"/>
            </w:pPr>
            <w:r>
              <w:rPr>
                <w:b/>
                <w:sz w:val="19"/>
              </w:rPr>
              <w:t xml:space="preserve">Resamples where final is better</w:t>
            </w:r>
          </w:p>
        </w:tc>
      </w:tr>
      <w:tr>
        <w:trPr>
          <w:cantSplit/>
        </w:trPr>
        <w:tc>
          <w:tcPr>
            <w:tcW w:type="dxa" w:w="1066"/>
          </w:tcPr>
          <w:p>
            <w:pPr>
              <w:pStyle w:val="Compact"/>
              <w:spacing w:after="0" w:before="0" w:line="240" w:lineRule="auto"/>
              <w:jc w:val="left"/>
            </w:pPr>
            <w:r>
              <w:rPr>
                <w:sz w:val="19"/>
              </w:rPr>
              <w:t xml:space="preserve">Demand</w:t>
            </w:r>
          </w:p>
        </w:tc>
        <w:tc>
          <w:tcPr>
            <w:tcW w:type="dxa" w:w="2855"/>
          </w:tcPr>
          <w:p>
            <w:pPr>
              <w:pStyle w:val="Compact"/>
              <w:spacing w:after="0" w:before="0" w:line="240" w:lineRule="auto"/>
              <w:jc w:val="left"/>
            </w:pPr>
            <w:r>
              <w:rPr>
                <w:sz w:val="19"/>
              </w:rPr>
              <w:t xml:space="preserve">Historical average</w:t>
            </w:r>
          </w:p>
        </w:tc>
        <w:tc>
          <w:tcPr>
            <w:tcW w:type="dxa" w:w="1617"/>
          </w:tcPr>
          <w:p>
            <w:pPr>
              <w:pStyle w:val="Compact"/>
              <w:spacing w:after="0" w:before="0" w:line="240" w:lineRule="auto"/>
              <w:jc w:val="left"/>
            </w:pPr>
            <w:r>
              <w:rPr>
                <w:sz w:val="19"/>
              </w:rPr>
              <w:t xml:space="preserve">−0.20</w:t>
            </w:r>
          </w:p>
        </w:tc>
        <w:tc>
          <w:tcPr>
            <w:tcW w:type="dxa" w:w="2167"/>
          </w:tcPr>
          <w:p>
            <w:pPr>
              <w:pStyle w:val="Compact"/>
              <w:spacing w:after="0" w:before="0" w:line="240" w:lineRule="auto"/>
              <w:jc w:val="left"/>
            </w:pPr>
            <w:r>
              <w:rPr>
                <w:sz w:val="19"/>
              </w:rPr>
              <w:t xml:space="preserve">−0.29 to −0.06</w:t>
            </w:r>
          </w:p>
        </w:tc>
        <w:tc>
          <w:tcPr>
            <w:tcW w:type="dxa" w:w="1479"/>
          </w:tcPr>
          <w:p>
            <w:pPr>
              <w:pStyle w:val="Compact"/>
              <w:spacing w:after="0" w:before="0" w:line="240" w:lineRule="auto"/>
              <w:jc w:val="left"/>
            </w:pPr>
            <w:r>
              <w:rPr>
                <w:sz w:val="19"/>
              </w:rPr>
              <w:t xml:space="preserve">99.65%</w:t>
            </w:r>
          </w:p>
        </w:tc>
      </w:tr>
      <w:tr>
        <w:trPr>
          <w:cantSplit/>
        </w:trPr>
        <w:tc>
          <w:tcPr>
            <w:tcW w:type="dxa" w:w="1066"/>
          </w:tcPr>
          <w:p>
            <w:pPr>
              <w:pStyle w:val="Compact"/>
              <w:spacing w:after="0" w:before="0" w:line="240" w:lineRule="auto"/>
              <w:jc w:val="left"/>
            </w:pPr>
            <w:r>
              <w:rPr>
                <w:sz w:val="19"/>
              </w:rPr>
              <w:t xml:space="preserve">Demand</w:t>
            </w:r>
          </w:p>
        </w:tc>
        <w:tc>
          <w:tcPr>
            <w:tcW w:type="dxa" w:w="2855"/>
          </w:tcPr>
          <w:p>
            <w:pPr>
              <w:pStyle w:val="Compact"/>
              <w:spacing w:after="0" w:before="0" w:line="240" w:lineRule="auto"/>
              <w:jc w:val="left"/>
            </w:pPr>
            <w:r>
              <w:rPr>
                <w:sz w:val="19"/>
              </w:rPr>
              <w:t xml:space="preserve">Same hour last week</w:t>
            </w:r>
          </w:p>
        </w:tc>
        <w:tc>
          <w:tcPr>
            <w:tcW w:type="dxa" w:w="1617"/>
          </w:tcPr>
          <w:p>
            <w:pPr>
              <w:pStyle w:val="Compact"/>
              <w:spacing w:after="0" w:before="0" w:line="240" w:lineRule="auto"/>
              <w:jc w:val="left"/>
            </w:pPr>
            <w:r>
              <w:rPr>
                <w:sz w:val="19"/>
              </w:rPr>
              <w:t xml:space="preserve">−5.52</w:t>
            </w:r>
          </w:p>
        </w:tc>
        <w:tc>
          <w:tcPr>
            <w:tcW w:type="dxa" w:w="2167"/>
          </w:tcPr>
          <w:p>
            <w:pPr>
              <w:pStyle w:val="Compact"/>
              <w:spacing w:after="0" w:before="0" w:line="240" w:lineRule="auto"/>
              <w:jc w:val="left"/>
            </w:pPr>
            <w:r>
              <w:rPr>
                <w:sz w:val="19"/>
              </w:rPr>
              <w:t xml:space="preserve">−5.79 to −5.26</w:t>
            </w:r>
          </w:p>
        </w:tc>
        <w:tc>
          <w:tcPr>
            <w:tcW w:type="dxa" w:w="1479"/>
          </w:tcPr>
          <w:p>
            <w:pPr>
              <w:pStyle w:val="Compact"/>
              <w:spacing w:after="0" w:before="0" w:line="240" w:lineRule="auto"/>
              <w:jc w:val="left"/>
            </w:pPr>
            <w:r>
              <w:rPr>
                <w:sz w:val="19"/>
              </w:rPr>
              <w:t xml:space="preserve">100.00%</w:t>
            </w:r>
          </w:p>
        </w:tc>
      </w:tr>
      <w:tr>
        <w:trPr>
          <w:cantSplit/>
        </w:trPr>
        <w:tc>
          <w:tcPr>
            <w:tcW w:type="dxa" w:w="1066"/>
          </w:tcPr>
          <w:p>
            <w:pPr>
              <w:pStyle w:val="Compact"/>
              <w:spacing w:after="0" w:before="0" w:line="240" w:lineRule="auto"/>
              <w:jc w:val="left"/>
            </w:pPr>
            <w:r>
              <w:rPr>
                <w:sz w:val="19"/>
              </w:rPr>
              <w:t xml:space="preserve">Demand</w:t>
            </w:r>
          </w:p>
        </w:tc>
        <w:tc>
          <w:tcPr>
            <w:tcW w:type="dxa" w:w="2855"/>
          </w:tcPr>
          <w:p>
            <w:pPr>
              <w:pStyle w:val="Compact"/>
              <w:spacing w:after="0" w:before="0" w:line="240" w:lineRule="auto"/>
              <w:jc w:val="left"/>
            </w:pPr>
            <w:r>
              <w:rPr>
                <w:sz w:val="19"/>
              </w:rPr>
              <w:t xml:space="preserve">LightGBM alone</w:t>
            </w:r>
          </w:p>
        </w:tc>
        <w:tc>
          <w:tcPr>
            <w:tcW w:type="dxa" w:w="1617"/>
          </w:tcPr>
          <w:p>
            <w:pPr>
              <w:pStyle w:val="Compact"/>
              <w:spacing w:after="0" w:before="0" w:line="240" w:lineRule="auto"/>
              <w:jc w:val="left"/>
            </w:pPr>
            <w:r>
              <w:rPr>
                <w:sz w:val="19"/>
              </w:rPr>
              <w:t xml:space="preserve">−0.24</w:t>
            </w:r>
          </w:p>
        </w:tc>
        <w:tc>
          <w:tcPr>
            <w:tcW w:type="dxa" w:w="2167"/>
          </w:tcPr>
          <w:p>
            <w:pPr>
              <w:pStyle w:val="Compact"/>
              <w:spacing w:after="0" w:before="0" w:line="240" w:lineRule="auto"/>
              <w:jc w:val="left"/>
            </w:pPr>
            <w:r>
              <w:rPr>
                <w:sz w:val="19"/>
              </w:rPr>
              <w:t xml:space="preserve">−0.41 to −0.13</w:t>
            </w:r>
          </w:p>
        </w:tc>
        <w:tc>
          <w:tcPr>
            <w:tcW w:type="dxa" w:w="1479"/>
          </w:tcPr>
          <w:p>
            <w:pPr>
              <w:pStyle w:val="Compact"/>
              <w:spacing w:after="0" w:before="0" w:line="240" w:lineRule="auto"/>
              <w:jc w:val="left"/>
            </w:pPr>
            <w:r>
              <w:rPr>
                <w:sz w:val="19"/>
              </w:rPr>
              <w:t xml:space="preserve">100.00%</w:t>
            </w:r>
          </w:p>
        </w:tc>
      </w:tr>
      <w:tr>
        <w:trPr>
          <w:cantSplit/>
        </w:trPr>
        <w:tc>
          <w:tcPr>
            <w:tcW w:type="dxa" w:w="1066"/>
          </w:tcPr>
          <w:p>
            <w:pPr>
              <w:pStyle w:val="Compact"/>
              <w:spacing w:after="0" w:before="0" w:line="240" w:lineRule="auto"/>
              <w:jc w:val="left"/>
            </w:pPr>
            <w:r>
              <w:rPr>
                <w:sz w:val="19"/>
              </w:rPr>
              <w:t xml:space="preserve">Load</w:t>
            </w:r>
          </w:p>
        </w:tc>
        <w:tc>
          <w:tcPr>
            <w:tcW w:type="dxa" w:w="2855"/>
          </w:tcPr>
          <w:p>
            <w:pPr>
              <w:pStyle w:val="Compact"/>
              <w:spacing w:after="0" w:before="0" w:line="240" w:lineRule="auto"/>
              <w:jc w:val="left"/>
            </w:pPr>
            <w:r>
              <w:rPr>
                <w:sz w:val="19"/>
              </w:rPr>
              <w:t xml:space="preserve">Historical average</w:t>
            </w:r>
          </w:p>
        </w:tc>
        <w:tc>
          <w:tcPr>
            <w:tcW w:type="dxa" w:w="1617"/>
          </w:tcPr>
          <w:p>
            <w:pPr>
              <w:pStyle w:val="Compact"/>
              <w:spacing w:after="0" w:before="0" w:line="240" w:lineRule="auto"/>
              <w:jc w:val="left"/>
            </w:pPr>
            <w:r>
              <w:rPr>
                <w:sz w:val="19"/>
              </w:rPr>
              <w:t xml:space="preserve">−0.15</w:t>
            </w:r>
          </w:p>
        </w:tc>
        <w:tc>
          <w:tcPr>
            <w:tcW w:type="dxa" w:w="2167"/>
          </w:tcPr>
          <w:p>
            <w:pPr>
              <w:pStyle w:val="Compact"/>
              <w:spacing w:after="0" w:before="0" w:line="240" w:lineRule="auto"/>
              <w:jc w:val="left"/>
            </w:pPr>
            <w:r>
              <w:rPr>
                <w:sz w:val="19"/>
              </w:rPr>
              <w:t xml:space="preserve">−0.18 to −0.13</w:t>
            </w:r>
          </w:p>
        </w:tc>
        <w:tc>
          <w:tcPr>
            <w:tcW w:type="dxa" w:w="1479"/>
          </w:tcPr>
          <w:p>
            <w:pPr>
              <w:pStyle w:val="Compact"/>
              <w:spacing w:after="0" w:before="0" w:line="240" w:lineRule="auto"/>
              <w:jc w:val="left"/>
            </w:pPr>
            <w:r>
              <w:rPr>
                <w:sz w:val="19"/>
              </w:rPr>
              <w:t xml:space="preserve">100.00%</w:t>
            </w:r>
          </w:p>
        </w:tc>
      </w:tr>
      <w:tr>
        <w:trPr>
          <w:cantSplit/>
        </w:trPr>
        <w:tc>
          <w:tcPr>
            <w:tcW w:type="dxa" w:w="1066"/>
          </w:tcPr>
          <w:p>
            <w:pPr>
              <w:pStyle w:val="Compact"/>
              <w:spacing w:after="0" w:before="0" w:line="240" w:lineRule="auto"/>
              <w:jc w:val="left"/>
            </w:pPr>
            <w:r>
              <w:rPr>
                <w:sz w:val="19"/>
              </w:rPr>
              <w:t xml:space="preserve">Load</w:t>
            </w:r>
          </w:p>
        </w:tc>
        <w:tc>
          <w:tcPr>
            <w:tcW w:type="dxa" w:w="2855"/>
          </w:tcPr>
          <w:p>
            <w:pPr>
              <w:pStyle w:val="Compact"/>
              <w:spacing w:after="0" w:before="0" w:line="240" w:lineRule="auto"/>
              <w:jc w:val="left"/>
            </w:pPr>
            <w:r>
              <w:rPr>
                <w:sz w:val="19"/>
              </w:rPr>
              <w:t xml:space="preserve">Same hour last week</w:t>
            </w:r>
          </w:p>
        </w:tc>
        <w:tc>
          <w:tcPr>
            <w:tcW w:type="dxa" w:w="1617"/>
          </w:tcPr>
          <w:p>
            <w:pPr>
              <w:pStyle w:val="Compact"/>
              <w:spacing w:after="0" w:before="0" w:line="240" w:lineRule="auto"/>
              <w:jc w:val="left"/>
            </w:pPr>
            <w:r>
              <w:rPr>
                <w:sz w:val="19"/>
              </w:rPr>
              <w:t xml:space="preserve">−6.19</w:t>
            </w:r>
          </w:p>
        </w:tc>
        <w:tc>
          <w:tcPr>
            <w:tcW w:type="dxa" w:w="2167"/>
          </w:tcPr>
          <w:p>
            <w:pPr>
              <w:pStyle w:val="Compact"/>
              <w:spacing w:after="0" w:before="0" w:line="240" w:lineRule="auto"/>
              <w:jc w:val="left"/>
            </w:pPr>
            <w:r>
              <w:rPr>
                <w:sz w:val="19"/>
              </w:rPr>
              <w:t xml:space="preserve">−6.41 to −5.98</w:t>
            </w:r>
          </w:p>
        </w:tc>
        <w:tc>
          <w:tcPr>
            <w:tcW w:type="dxa" w:w="1479"/>
          </w:tcPr>
          <w:p>
            <w:pPr>
              <w:pStyle w:val="Compact"/>
              <w:spacing w:after="0" w:before="0" w:line="240" w:lineRule="auto"/>
              <w:jc w:val="left"/>
            </w:pPr>
            <w:r>
              <w:rPr>
                <w:sz w:val="19"/>
              </w:rPr>
              <w:t xml:space="preserve">100.00%</w:t>
            </w:r>
          </w:p>
        </w:tc>
      </w:tr>
      <w:tr>
        <w:trPr>
          <w:cantSplit/>
        </w:trPr>
        <w:tc>
          <w:tcPr>
            <w:tcW w:type="dxa" w:w="1066"/>
          </w:tcPr>
          <w:p>
            <w:pPr>
              <w:pStyle w:val="Compact"/>
              <w:spacing w:after="0" w:before="0" w:line="240" w:lineRule="auto"/>
              <w:jc w:val="left"/>
            </w:pPr>
            <w:r>
              <w:rPr>
                <w:sz w:val="19"/>
              </w:rPr>
              <w:t xml:space="preserve">Load</w:t>
            </w:r>
          </w:p>
        </w:tc>
        <w:tc>
          <w:tcPr>
            <w:tcW w:type="dxa" w:w="2855"/>
          </w:tcPr>
          <w:p>
            <w:pPr>
              <w:pStyle w:val="Compact"/>
              <w:spacing w:after="0" w:before="0" w:line="240" w:lineRule="auto"/>
              <w:jc w:val="left"/>
            </w:pPr>
            <w:r>
              <w:rPr>
                <w:sz w:val="19"/>
              </w:rPr>
              <w:t xml:space="preserve">LightGBM alone</w:t>
            </w:r>
          </w:p>
        </w:tc>
        <w:tc>
          <w:tcPr>
            <w:tcW w:type="dxa" w:w="1617"/>
          </w:tcPr>
          <w:p>
            <w:pPr>
              <w:pStyle w:val="Compact"/>
              <w:spacing w:after="0" w:before="0" w:line="240" w:lineRule="auto"/>
              <w:jc w:val="left"/>
            </w:pPr>
            <w:r>
              <w:rPr>
                <w:sz w:val="19"/>
              </w:rPr>
              <w:t xml:space="preserve">−0.19</w:t>
            </w:r>
          </w:p>
        </w:tc>
        <w:tc>
          <w:tcPr>
            <w:tcW w:type="dxa" w:w="2167"/>
          </w:tcPr>
          <w:p>
            <w:pPr>
              <w:pStyle w:val="Compact"/>
              <w:spacing w:after="0" w:before="0" w:line="240" w:lineRule="auto"/>
              <w:jc w:val="left"/>
            </w:pPr>
            <w:r>
              <w:rPr>
                <w:sz w:val="19"/>
              </w:rPr>
              <w:t xml:space="preserve">−0.22 to −0.17</w:t>
            </w:r>
          </w:p>
        </w:tc>
        <w:tc>
          <w:tcPr>
            <w:tcW w:type="dxa" w:w="1479"/>
          </w:tcPr>
          <w:p>
            <w:pPr>
              <w:pStyle w:val="Compact"/>
              <w:spacing w:after="0" w:before="0" w:line="240" w:lineRule="auto"/>
              <w:jc w:val="left"/>
            </w:pPr>
            <w:r>
              <w:rPr>
                <w:sz w:val="19"/>
              </w:rPr>
              <w:t xml:space="preserve">100.00%</w:t>
            </w:r>
          </w:p>
        </w:tc>
      </w:tr>
    </w:tbl>
    <w:p>
      <w:pPr>
        <w:pStyle w:val="BodyText"/>
        <w:spacing w:before="160"/>
      </w:pPr>
      <w:r>
        <w:rPr>
          <w:b/>
          <w:bCs/>
        </w:rPr>
        <w:t xml:space="preserve">Interpretation.</w:t>
      </w:r>
      <w:r>
        <w:t xml:space="preserve"> </w:t>
      </w:r>
      <w:r>
        <w:t xml:space="preserve">Against the usual planning rule,</w:t>
      </w:r>
      <w:r>
        <w:t xml:space="preserve"> </w:t>
      </w:r>
      <w:r>
        <w:t xml:space="preserve">“</w:t>
      </w:r>
      <w:r>
        <w:t xml:space="preserve">same hour last week</w:t>
      </w:r>
      <w:r>
        <w:t xml:space="preserve">”</w:t>
      </w:r>
      <w:r>
        <w:t xml:space="preserve">, the final forecast is much better: about 23% lower WAPE for demand and 24% for estimated load, with intervals far from zero. Against the historical average the gain is</w:t>
      </w:r>
      <w:r>
        <w:t xml:space="preserve"> </w:t>
      </w:r>
      <w:r>
        <w:rPr>
          <w:b/>
          <w:bCs/>
        </w:rPr>
        <w:t xml:space="preserve">small</w:t>
      </w:r>
      <w:r>
        <w:t xml:space="preserve">: 0.20 WAPE points for demand. The interval excludes zero, and the final forecast has the lower WAPE on 13 of the 14 test days for demand (12 of 14 for estimated load), so the gain is consistent; but it is too small to matter much in practice. It is also a gain in absolute error only: the model was tuned on absolute error, and on RMSE, which weights large errors more, the historical average is slightly better for demand (29.58 against 29.72; for load the final forecast is better, 6.90 against 6.96).</w:t>
      </w:r>
    </w:p>
    <w:p>
      <w:pPr>
        <w:pStyle w:val="BodyText"/>
      </w:pPr>
      <w:r>
        <w:t xml:space="preserve">The ablation and the feature importances explain why. Almost all of the model’s skill comes from same-hour history, and a single feature, the historical average itself, carries more than 70% of the gain. Bus demand in Salvador in these weeks is dominated by a stable weekly profile per route and hour; once that profile is known, there is little left for a model to learn from the features we have. LightGBM alone did not beat the historical average on test. We report this as a finding rather than hiding it: a well-chosen simple baseline is hard to beat for hourly route demand, and claims of large ML gains should always be checked against one. Note also that the bootstrap resamples route-directions within the same 14 test days: its interval does not cover week-to-week or seasonal variation, nor the extra uncertainty from the test weeks having been scored twice.</w:t>
      </w:r>
    </w:p>
    <w:bookmarkEnd w:id="58"/>
    <w:bookmarkStart w:id="68" w:name="error-analysis"/>
    <w:p>
      <w:pPr>
        <w:pStyle w:val="Heading2"/>
      </w:pPr>
      <w:r>
        <w:t xml:space="preserve">6.4 Error analysis</w:t>
      </w:r>
    </w:p>
    <w:p>
      <w:pPr>
        <w:pStyle w:val="FirstParagraph"/>
        <w:keepNext/>
      </w:pPr>
      <w:r>
        <w:rPr>
          <w:b/>
          <w:bCs/>
        </w:rPr>
        <w:t xml:space="preserve">Table 7. Demand WAPE by segment (test).</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4513"/>
        <w:gridCol w:w="1104"/>
        <w:gridCol w:w="978"/>
        <w:gridCol w:w="1483"/>
        <w:gridCol w:w="1104"/>
      </w:tblGrid>
      <w:tr>
        <w:trPr>
          <w:tblHeader w:val="true"/>
          <w:cantSplit/>
          <w:tblHeader/>
        </w:trPr>
        <w:tc>
          <w:tcPr>
            <w:tcW w:type="dxa" w:w="4513"/>
            <w:shd w:val="clear" w:color="auto" w:fill="DCE3F0"/>
          </w:tcPr>
          <w:p>
            <w:pPr>
              <w:pStyle w:val="Compact"/>
              <w:spacing w:after="0" w:before="0" w:line="240" w:lineRule="auto"/>
              <w:jc w:val="left"/>
            </w:pPr>
            <w:r>
              <w:rPr>
                <w:b/>
                <w:sz w:val="19"/>
              </w:rPr>
              <w:t xml:space="preserve">Segment</w:t>
            </w:r>
          </w:p>
        </w:tc>
        <w:tc>
          <w:tcPr>
            <w:tcW w:type="dxa" w:w="1105"/>
            <w:shd w:val="clear" w:color="auto" w:fill="DCE3F0"/>
          </w:tcPr>
          <w:p>
            <w:pPr>
              <w:pStyle w:val="Compact"/>
              <w:spacing w:after="0" w:before="0" w:line="240" w:lineRule="auto"/>
              <w:jc w:val="left"/>
            </w:pPr>
            <w:r>
              <w:rPr>
                <w:b/>
                <w:sz w:val="19"/>
              </w:rPr>
              <w:t xml:space="preserve">Rows</w:t>
            </w:r>
          </w:p>
        </w:tc>
        <w:tc>
          <w:tcPr>
            <w:tcW w:type="dxa" w:w="978"/>
            <w:shd w:val="clear" w:color="auto" w:fill="DCE3F0"/>
          </w:tcPr>
          <w:p>
            <w:pPr>
              <w:pStyle w:val="Compact"/>
              <w:spacing w:after="0" w:before="0" w:line="240" w:lineRule="auto"/>
              <w:jc w:val="left"/>
            </w:pPr>
            <w:r>
              <w:rPr>
                <w:b/>
                <w:sz w:val="19"/>
              </w:rPr>
              <w:t xml:space="preserve">Final</w:t>
            </w:r>
          </w:p>
        </w:tc>
        <w:tc>
          <w:tcPr>
            <w:tcW w:type="dxa" w:w="1483"/>
            <w:shd w:val="clear" w:color="auto" w:fill="DCE3F0"/>
          </w:tcPr>
          <w:p>
            <w:pPr>
              <w:pStyle w:val="Compact"/>
              <w:spacing w:after="0" w:before="0" w:line="240" w:lineRule="auto"/>
              <w:jc w:val="left"/>
            </w:pPr>
            <w:r>
              <w:rPr>
                <w:b/>
                <w:sz w:val="19"/>
              </w:rPr>
              <w:t xml:space="preserve">Historical average</w:t>
            </w:r>
          </w:p>
        </w:tc>
        <w:tc>
          <w:tcPr>
            <w:tcW w:type="dxa" w:w="1105"/>
            <w:shd w:val="clear" w:color="auto" w:fill="DCE3F0"/>
          </w:tcPr>
          <w:p>
            <w:pPr>
              <w:pStyle w:val="Compact"/>
              <w:spacing w:after="0" w:before="0" w:line="240" w:lineRule="auto"/>
              <w:jc w:val="left"/>
            </w:pPr>
            <w:r>
              <w:rPr>
                <w:b/>
                <w:sz w:val="19"/>
              </w:rPr>
              <w:t xml:space="preserve">Same hour last week</w:t>
            </w:r>
          </w:p>
        </w:tc>
      </w:tr>
      <w:tr>
        <w:trPr>
          <w:cantSplit/>
        </w:trPr>
        <w:tc>
          <w:tcPr>
            <w:tcW w:type="dxa" w:w="4513"/>
          </w:tcPr>
          <w:p>
            <w:pPr>
              <w:pStyle w:val="Compact"/>
              <w:spacing w:after="0" w:before="0" w:line="240" w:lineRule="auto"/>
              <w:jc w:val="left"/>
            </w:pPr>
            <w:r>
              <w:rPr>
                <w:sz w:val="19"/>
              </w:rPr>
              <w:t xml:space="preserve">Early 03–05</w:t>
            </w:r>
          </w:p>
        </w:tc>
        <w:tc>
          <w:tcPr>
            <w:tcW w:type="dxa" w:w="1105"/>
          </w:tcPr>
          <w:p>
            <w:pPr>
              <w:pStyle w:val="Compact"/>
              <w:spacing w:after="0" w:before="0" w:line="240" w:lineRule="auto"/>
              <w:jc w:val="left"/>
            </w:pPr>
            <w:r>
              <w:rPr>
                <w:sz w:val="19"/>
              </w:rPr>
              <w:t xml:space="preserve">9,318</w:t>
            </w:r>
          </w:p>
        </w:tc>
        <w:tc>
          <w:tcPr>
            <w:tcW w:type="dxa" w:w="978"/>
          </w:tcPr>
          <w:p>
            <w:pPr>
              <w:pStyle w:val="Compact"/>
              <w:spacing w:after="0" w:before="0" w:line="240" w:lineRule="auto"/>
              <w:jc w:val="left"/>
            </w:pPr>
            <w:r>
              <w:rPr>
                <w:sz w:val="19"/>
              </w:rPr>
              <w:t xml:space="preserve">13.80%</w:t>
            </w:r>
          </w:p>
        </w:tc>
        <w:tc>
          <w:tcPr>
            <w:tcW w:type="dxa" w:w="1483"/>
          </w:tcPr>
          <w:p>
            <w:pPr>
              <w:pStyle w:val="Compact"/>
              <w:spacing w:after="0" w:before="0" w:line="240" w:lineRule="auto"/>
              <w:jc w:val="left"/>
            </w:pPr>
            <w:r>
              <w:rPr>
                <w:sz w:val="19"/>
              </w:rPr>
              <w:t xml:space="preserve">13.99%</w:t>
            </w:r>
          </w:p>
        </w:tc>
        <w:tc>
          <w:tcPr>
            <w:tcW w:type="dxa" w:w="1105"/>
          </w:tcPr>
          <w:p>
            <w:pPr>
              <w:pStyle w:val="Compact"/>
              <w:spacing w:after="0" w:before="0" w:line="240" w:lineRule="auto"/>
              <w:jc w:val="left"/>
            </w:pPr>
            <w:r>
              <w:rPr>
                <w:sz w:val="19"/>
              </w:rPr>
              <w:t xml:space="preserve">17.34%</w:t>
            </w:r>
          </w:p>
        </w:tc>
      </w:tr>
      <w:tr>
        <w:trPr>
          <w:cantSplit/>
        </w:trPr>
        <w:tc>
          <w:tcPr>
            <w:tcW w:type="dxa" w:w="4513"/>
          </w:tcPr>
          <w:p>
            <w:pPr>
              <w:pStyle w:val="Compact"/>
              <w:spacing w:after="0" w:before="0" w:line="240" w:lineRule="auto"/>
              <w:jc w:val="left"/>
            </w:pPr>
            <w:r>
              <w:rPr>
                <w:sz w:val="19"/>
              </w:rPr>
              <w:t xml:space="preserve">AM peak 06–08</w:t>
            </w:r>
          </w:p>
        </w:tc>
        <w:tc>
          <w:tcPr>
            <w:tcW w:type="dxa" w:w="1105"/>
          </w:tcPr>
          <w:p>
            <w:pPr>
              <w:pStyle w:val="Compact"/>
              <w:spacing w:after="0" w:before="0" w:line="240" w:lineRule="auto"/>
              <w:jc w:val="left"/>
            </w:pPr>
            <w:r>
              <w:rPr>
                <w:sz w:val="19"/>
              </w:rPr>
              <w:t xml:space="preserve">21,333</w:t>
            </w:r>
          </w:p>
        </w:tc>
        <w:tc>
          <w:tcPr>
            <w:tcW w:type="dxa" w:w="978"/>
          </w:tcPr>
          <w:p>
            <w:pPr>
              <w:pStyle w:val="Compact"/>
              <w:spacing w:after="0" w:before="0" w:line="240" w:lineRule="auto"/>
              <w:jc w:val="left"/>
            </w:pPr>
            <w:r>
              <w:rPr>
                <w:sz w:val="19"/>
              </w:rPr>
              <w:t xml:space="preserve">15.75%</w:t>
            </w:r>
          </w:p>
        </w:tc>
        <w:tc>
          <w:tcPr>
            <w:tcW w:type="dxa" w:w="1483"/>
          </w:tcPr>
          <w:p>
            <w:pPr>
              <w:pStyle w:val="Compact"/>
              <w:spacing w:after="0" w:before="0" w:line="240" w:lineRule="auto"/>
              <w:jc w:val="left"/>
            </w:pPr>
            <w:r>
              <w:rPr>
                <w:sz w:val="19"/>
              </w:rPr>
              <w:t xml:space="preserve">15.65%</w:t>
            </w:r>
          </w:p>
        </w:tc>
        <w:tc>
          <w:tcPr>
            <w:tcW w:type="dxa" w:w="1105"/>
          </w:tcPr>
          <w:p>
            <w:pPr>
              <w:pStyle w:val="Compact"/>
              <w:spacing w:after="0" w:before="0" w:line="240" w:lineRule="auto"/>
              <w:jc w:val="left"/>
            </w:pPr>
            <w:r>
              <w:rPr>
                <w:sz w:val="19"/>
              </w:rPr>
              <w:t xml:space="preserve">19.82%</w:t>
            </w:r>
          </w:p>
        </w:tc>
      </w:tr>
      <w:tr>
        <w:trPr>
          <w:cantSplit/>
        </w:trPr>
        <w:tc>
          <w:tcPr>
            <w:tcW w:type="dxa" w:w="4513"/>
          </w:tcPr>
          <w:p>
            <w:pPr>
              <w:pStyle w:val="Compact"/>
              <w:spacing w:after="0" w:before="0" w:line="240" w:lineRule="auto"/>
              <w:jc w:val="left"/>
            </w:pPr>
            <w:r>
              <w:rPr>
                <w:sz w:val="19"/>
              </w:rPr>
              <w:t xml:space="preserve">Midday 09–15</w:t>
            </w:r>
          </w:p>
        </w:tc>
        <w:tc>
          <w:tcPr>
            <w:tcW w:type="dxa" w:w="1105"/>
          </w:tcPr>
          <w:p>
            <w:pPr>
              <w:pStyle w:val="Compact"/>
              <w:spacing w:after="0" w:before="0" w:line="240" w:lineRule="auto"/>
              <w:jc w:val="left"/>
            </w:pPr>
            <w:r>
              <w:rPr>
                <w:sz w:val="19"/>
              </w:rPr>
              <w:t xml:space="preserve">45,682</w:t>
            </w:r>
          </w:p>
        </w:tc>
        <w:tc>
          <w:tcPr>
            <w:tcW w:type="dxa" w:w="978"/>
          </w:tcPr>
          <w:p>
            <w:pPr>
              <w:pStyle w:val="Compact"/>
              <w:spacing w:after="0" w:before="0" w:line="240" w:lineRule="auto"/>
              <w:jc w:val="left"/>
            </w:pPr>
            <w:r>
              <w:rPr>
                <w:sz w:val="19"/>
              </w:rPr>
              <w:t xml:space="preserve">19.15%</w:t>
            </w:r>
          </w:p>
        </w:tc>
        <w:tc>
          <w:tcPr>
            <w:tcW w:type="dxa" w:w="1483"/>
          </w:tcPr>
          <w:p>
            <w:pPr>
              <w:pStyle w:val="Compact"/>
              <w:spacing w:after="0" w:before="0" w:line="240" w:lineRule="auto"/>
              <w:jc w:val="left"/>
            </w:pPr>
            <w:r>
              <w:rPr>
                <w:sz w:val="19"/>
              </w:rPr>
              <w:t xml:space="preserve">19.37%</w:t>
            </w:r>
          </w:p>
        </w:tc>
        <w:tc>
          <w:tcPr>
            <w:tcW w:type="dxa" w:w="1105"/>
          </w:tcPr>
          <w:p>
            <w:pPr>
              <w:pStyle w:val="Compact"/>
              <w:spacing w:after="0" w:before="0" w:line="240" w:lineRule="auto"/>
              <w:jc w:val="left"/>
            </w:pPr>
            <w:r>
              <w:rPr>
                <w:sz w:val="19"/>
              </w:rPr>
              <w:t xml:space="preserve">25.90%</w:t>
            </w:r>
          </w:p>
        </w:tc>
      </w:tr>
      <w:tr>
        <w:trPr>
          <w:cantSplit/>
        </w:trPr>
        <w:tc>
          <w:tcPr>
            <w:tcW w:type="dxa" w:w="4513"/>
          </w:tcPr>
          <w:p>
            <w:pPr>
              <w:pStyle w:val="Compact"/>
              <w:spacing w:after="0" w:before="0" w:line="240" w:lineRule="auto"/>
              <w:jc w:val="left"/>
            </w:pPr>
            <w:r>
              <w:rPr>
                <w:sz w:val="19"/>
              </w:rPr>
              <w:t xml:space="preserve">PM peak 16–19</w:t>
            </w:r>
          </w:p>
        </w:tc>
        <w:tc>
          <w:tcPr>
            <w:tcW w:type="dxa" w:w="1105"/>
          </w:tcPr>
          <w:p>
            <w:pPr>
              <w:pStyle w:val="Compact"/>
              <w:spacing w:after="0" w:before="0" w:line="240" w:lineRule="auto"/>
              <w:jc w:val="left"/>
            </w:pPr>
            <w:r>
              <w:rPr>
                <w:sz w:val="19"/>
              </w:rPr>
              <w:t xml:space="preserve">26,964</w:t>
            </w:r>
          </w:p>
        </w:tc>
        <w:tc>
          <w:tcPr>
            <w:tcW w:type="dxa" w:w="978"/>
          </w:tcPr>
          <w:p>
            <w:pPr>
              <w:pStyle w:val="Compact"/>
              <w:spacing w:after="0" w:before="0" w:line="240" w:lineRule="auto"/>
              <w:jc w:val="left"/>
            </w:pPr>
            <w:r>
              <w:rPr>
                <w:sz w:val="19"/>
              </w:rPr>
              <w:t xml:space="preserve">18.25%</w:t>
            </w:r>
          </w:p>
        </w:tc>
        <w:tc>
          <w:tcPr>
            <w:tcW w:type="dxa" w:w="1483"/>
          </w:tcPr>
          <w:p>
            <w:pPr>
              <w:pStyle w:val="Compact"/>
              <w:spacing w:after="0" w:before="0" w:line="240" w:lineRule="auto"/>
              <w:jc w:val="left"/>
            </w:pPr>
            <w:r>
              <w:rPr>
                <w:sz w:val="19"/>
              </w:rPr>
              <w:t xml:space="preserve">18.65%</w:t>
            </w:r>
          </w:p>
        </w:tc>
        <w:tc>
          <w:tcPr>
            <w:tcW w:type="dxa" w:w="1105"/>
          </w:tcPr>
          <w:p>
            <w:pPr>
              <w:pStyle w:val="Compact"/>
              <w:spacing w:after="0" w:before="0" w:line="240" w:lineRule="auto"/>
              <w:jc w:val="left"/>
            </w:pPr>
            <w:r>
              <w:rPr>
                <w:sz w:val="19"/>
              </w:rPr>
              <w:t xml:space="preserve">23.50%</w:t>
            </w:r>
          </w:p>
        </w:tc>
      </w:tr>
      <w:tr>
        <w:trPr>
          <w:cantSplit/>
        </w:trPr>
        <w:tc>
          <w:tcPr>
            <w:tcW w:type="dxa" w:w="4513"/>
          </w:tcPr>
          <w:p>
            <w:pPr>
              <w:pStyle w:val="Compact"/>
              <w:spacing w:after="0" w:before="0" w:line="240" w:lineRule="auto"/>
              <w:jc w:val="left"/>
            </w:pPr>
            <w:r>
              <w:rPr>
                <w:sz w:val="19"/>
              </w:rPr>
              <w:t xml:space="preserve">Evening 20–23</w:t>
            </w:r>
          </w:p>
        </w:tc>
        <w:tc>
          <w:tcPr>
            <w:tcW w:type="dxa" w:w="1105"/>
          </w:tcPr>
          <w:p>
            <w:pPr>
              <w:pStyle w:val="Compact"/>
              <w:spacing w:after="0" w:before="0" w:line="240" w:lineRule="auto"/>
              <w:jc w:val="left"/>
            </w:pPr>
            <w:r>
              <w:rPr>
                <w:sz w:val="19"/>
              </w:rPr>
              <w:t xml:space="preserve">22,401</w:t>
            </w:r>
          </w:p>
        </w:tc>
        <w:tc>
          <w:tcPr>
            <w:tcW w:type="dxa" w:w="978"/>
          </w:tcPr>
          <w:p>
            <w:pPr>
              <w:pStyle w:val="Compact"/>
              <w:spacing w:after="0" w:before="0" w:line="240" w:lineRule="auto"/>
              <w:jc w:val="left"/>
            </w:pPr>
            <w:r>
              <w:rPr>
                <w:sz w:val="19"/>
              </w:rPr>
              <w:t xml:space="preserve">26.72%</w:t>
            </w:r>
          </w:p>
        </w:tc>
        <w:tc>
          <w:tcPr>
            <w:tcW w:type="dxa" w:w="1483"/>
          </w:tcPr>
          <w:p>
            <w:pPr>
              <w:pStyle w:val="Compact"/>
              <w:spacing w:after="0" w:before="0" w:line="240" w:lineRule="auto"/>
              <w:jc w:val="left"/>
            </w:pPr>
            <w:r>
              <w:rPr>
                <w:sz w:val="19"/>
              </w:rPr>
              <w:t xml:space="preserve">27.13%</w:t>
            </w:r>
          </w:p>
        </w:tc>
        <w:tc>
          <w:tcPr>
            <w:tcW w:type="dxa" w:w="1105"/>
          </w:tcPr>
          <w:p>
            <w:pPr>
              <w:pStyle w:val="Compact"/>
              <w:spacing w:after="0" w:before="0" w:line="240" w:lineRule="auto"/>
              <w:jc w:val="left"/>
            </w:pPr>
            <w:r>
              <w:rPr>
                <w:sz w:val="19"/>
              </w:rPr>
              <w:t xml:space="preserve">35.00%</w:t>
            </w:r>
          </w:p>
        </w:tc>
      </w:tr>
      <w:tr>
        <w:trPr>
          <w:cantSplit/>
        </w:trPr>
        <w:tc>
          <w:tcPr>
            <w:tcW w:type="dxa" w:w="4513"/>
          </w:tcPr>
          <w:p>
            <w:pPr>
              <w:pStyle w:val="Compact"/>
              <w:spacing w:after="0" w:before="0" w:line="240" w:lineRule="auto"/>
              <w:jc w:val="left"/>
            </w:pPr>
            <w:r>
              <w:rPr>
                <w:sz w:val="19"/>
              </w:rPr>
              <w:t xml:space="preserve">Night 00–02</w:t>
            </w:r>
          </w:p>
        </w:tc>
        <w:tc>
          <w:tcPr>
            <w:tcW w:type="dxa" w:w="1105"/>
          </w:tcPr>
          <w:p>
            <w:pPr>
              <w:pStyle w:val="Compact"/>
              <w:spacing w:after="0" w:before="0" w:line="240" w:lineRule="auto"/>
              <w:jc w:val="left"/>
            </w:pPr>
            <w:r>
              <w:rPr>
                <w:sz w:val="19"/>
              </w:rPr>
              <w:t xml:space="preserve">2,237</w:t>
            </w:r>
          </w:p>
        </w:tc>
        <w:tc>
          <w:tcPr>
            <w:tcW w:type="dxa" w:w="978"/>
          </w:tcPr>
          <w:p>
            <w:pPr>
              <w:pStyle w:val="Compact"/>
              <w:spacing w:after="0" w:before="0" w:line="240" w:lineRule="auto"/>
              <w:jc w:val="left"/>
            </w:pPr>
            <w:r>
              <w:rPr>
                <w:sz w:val="19"/>
              </w:rPr>
              <w:t xml:space="preserve">82.58%</w:t>
            </w:r>
          </w:p>
        </w:tc>
        <w:tc>
          <w:tcPr>
            <w:tcW w:type="dxa" w:w="1483"/>
          </w:tcPr>
          <w:p>
            <w:pPr>
              <w:pStyle w:val="Compact"/>
              <w:spacing w:after="0" w:before="0" w:line="240" w:lineRule="auto"/>
              <w:jc w:val="left"/>
            </w:pPr>
            <w:r>
              <w:rPr>
                <w:sz w:val="19"/>
              </w:rPr>
              <w:t xml:space="preserve">83.03%</w:t>
            </w:r>
          </w:p>
        </w:tc>
        <w:tc>
          <w:tcPr>
            <w:tcW w:type="dxa" w:w="1105"/>
          </w:tcPr>
          <w:p>
            <w:pPr>
              <w:pStyle w:val="Compact"/>
              <w:spacing w:after="0" w:before="0" w:line="240" w:lineRule="auto"/>
              <w:jc w:val="left"/>
            </w:pPr>
            <w:r>
              <w:rPr>
                <w:sz w:val="19"/>
              </w:rPr>
              <w:t xml:space="preserve">102.69%</w:t>
            </w:r>
          </w:p>
        </w:tc>
      </w:tr>
      <w:tr>
        <w:trPr>
          <w:cantSplit/>
        </w:trPr>
        <w:tc>
          <w:tcPr>
            <w:tcW w:type="dxa" w:w="4513"/>
          </w:tcPr>
          <w:p>
            <w:pPr>
              <w:pStyle w:val="Compact"/>
              <w:spacing w:after="0" w:before="0" w:line="240" w:lineRule="auto"/>
              <w:jc w:val="left"/>
            </w:pPr>
            <w:r>
              <w:rPr>
                <w:sz w:val="19"/>
              </w:rPr>
              <w:t xml:space="preserve">Weekday</w:t>
            </w:r>
          </w:p>
        </w:tc>
        <w:tc>
          <w:tcPr>
            <w:tcW w:type="dxa" w:w="1105"/>
          </w:tcPr>
          <w:p>
            <w:pPr>
              <w:pStyle w:val="Compact"/>
              <w:spacing w:after="0" w:before="0" w:line="240" w:lineRule="auto"/>
              <w:jc w:val="left"/>
            </w:pPr>
            <w:r>
              <w:rPr>
                <w:sz w:val="19"/>
              </w:rPr>
              <w:t xml:space="preserve">94,804</w:t>
            </w:r>
          </w:p>
        </w:tc>
        <w:tc>
          <w:tcPr>
            <w:tcW w:type="dxa" w:w="978"/>
          </w:tcPr>
          <w:p>
            <w:pPr>
              <w:pStyle w:val="Compact"/>
              <w:spacing w:after="0" w:before="0" w:line="240" w:lineRule="auto"/>
              <w:jc w:val="left"/>
            </w:pPr>
            <w:r>
              <w:rPr>
                <w:sz w:val="19"/>
              </w:rPr>
              <w:t xml:space="preserve">17.18%</w:t>
            </w:r>
          </w:p>
        </w:tc>
        <w:tc>
          <w:tcPr>
            <w:tcW w:type="dxa" w:w="1483"/>
          </w:tcPr>
          <w:p>
            <w:pPr>
              <w:pStyle w:val="Compact"/>
              <w:spacing w:after="0" w:before="0" w:line="240" w:lineRule="auto"/>
              <w:jc w:val="left"/>
            </w:pPr>
            <w:r>
              <w:rPr>
                <w:sz w:val="19"/>
              </w:rPr>
              <w:t xml:space="preserve">17.34%</w:t>
            </w:r>
          </w:p>
        </w:tc>
        <w:tc>
          <w:tcPr>
            <w:tcW w:type="dxa" w:w="1105"/>
          </w:tcPr>
          <w:p>
            <w:pPr>
              <w:pStyle w:val="Compact"/>
              <w:spacing w:after="0" w:before="0" w:line="240" w:lineRule="auto"/>
              <w:jc w:val="left"/>
            </w:pPr>
            <w:r>
              <w:rPr>
                <w:sz w:val="19"/>
              </w:rPr>
              <w:t xml:space="preserve">22.39%</w:t>
            </w:r>
          </w:p>
        </w:tc>
      </w:tr>
      <w:tr>
        <w:trPr>
          <w:cantSplit/>
        </w:trPr>
        <w:tc>
          <w:tcPr>
            <w:tcW w:type="dxa" w:w="4513"/>
          </w:tcPr>
          <w:p>
            <w:pPr>
              <w:pStyle w:val="Compact"/>
              <w:spacing w:after="0" w:before="0" w:line="240" w:lineRule="auto"/>
              <w:jc w:val="left"/>
            </w:pPr>
            <w:r>
              <w:rPr>
                <w:sz w:val="19"/>
              </w:rPr>
              <w:t xml:space="preserve">Saturday</w:t>
            </w:r>
          </w:p>
        </w:tc>
        <w:tc>
          <w:tcPr>
            <w:tcW w:type="dxa" w:w="1105"/>
          </w:tcPr>
          <w:p>
            <w:pPr>
              <w:pStyle w:val="Compact"/>
              <w:spacing w:after="0" w:before="0" w:line="240" w:lineRule="auto"/>
              <w:jc w:val="left"/>
            </w:pPr>
            <w:r>
              <w:rPr>
                <w:sz w:val="19"/>
              </w:rPr>
              <w:t xml:space="preserve">17,317</w:t>
            </w:r>
          </w:p>
        </w:tc>
        <w:tc>
          <w:tcPr>
            <w:tcW w:type="dxa" w:w="978"/>
          </w:tcPr>
          <w:p>
            <w:pPr>
              <w:pStyle w:val="Compact"/>
              <w:spacing w:after="0" w:before="0" w:line="240" w:lineRule="auto"/>
              <w:jc w:val="left"/>
            </w:pPr>
            <w:r>
              <w:rPr>
                <w:sz w:val="19"/>
              </w:rPr>
              <w:t xml:space="preserve">20.48%</w:t>
            </w:r>
          </w:p>
        </w:tc>
        <w:tc>
          <w:tcPr>
            <w:tcW w:type="dxa" w:w="1483"/>
          </w:tcPr>
          <w:p>
            <w:pPr>
              <w:pStyle w:val="Compact"/>
              <w:spacing w:after="0" w:before="0" w:line="240" w:lineRule="auto"/>
              <w:jc w:val="left"/>
            </w:pPr>
            <w:r>
              <w:rPr>
                <w:sz w:val="19"/>
              </w:rPr>
              <w:t xml:space="preserve">20.74%</w:t>
            </w:r>
          </w:p>
        </w:tc>
        <w:tc>
          <w:tcPr>
            <w:tcW w:type="dxa" w:w="1105"/>
          </w:tcPr>
          <w:p>
            <w:pPr>
              <w:pStyle w:val="Compact"/>
              <w:spacing w:after="0" w:before="0" w:line="240" w:lineRule="auto"/>
              <w:jc w:val="left"/>
            </w:pPr>
            <w:r>
              <w:rPr>
                <w:sz w:val="19"/>
              </w:rPr>
              <w:t xml:space="preserve">26.30%</w:t>
            </w:r>
          </w:p>
        </w:tc>
      </w:tr>
      <w:tr>
        <w:trPr>
          <w:cantSplit/>
        </w:trPr>
        <w:tc>
          <w:tcPr>
            <w:tcW w:type="dxa" w:w="4513"/>
          </w:tcPr>
          <w:p>
            <w:pPr>
              <w:pStyle w:val="Compact"/>
              <w:spacing w:after="0" w:before="0" w:line="240" w:lineRule="auto"/>
              <w:jc w:val="left"/>
            </w:pPr>
            <w:r>
              <w:rPr>
                <w:sz w:val="19"/>
              </w:rPr>
              <w:t xml:space="preserve">Sunday</w:t>
            </w:r>
          </w:p>
        </w:tc>
        <w:tc>
          <w:tcPr>
            <w:tcW w:type="dxa" w:w="1105"/>
          </w:tcPr>
          <w:p>
            <w:pPr>
              <w:pStyle w:val="Compact"/>
              <w:spacing w:after="0" w:before="0" w:line="240" w:lineRule="auto"/>
              <w:jc w:val="left"/>
            </w:pPr>
            <w:r>
              <w:rPr>
                <w:sz w:val="19"/>
              </w:rPr>
              <w:t xml:space="preserve">15,814</w:t>
            </w:r>
          </w:p>
        </w:tc>
        <w:tc>
          <w:tcPr>
            <w:tcW w:type="dxa" w:w="978"/>
          </w:tcPr>
          <w:p>
            <w:pPr>
              <w:pStyle w:val="Compact"/>
              <w:spacing w:after="0" w:before="0" w:line="240" w:lineRule="auto"/>
              <w:jc w:val="left"/>
            </w:pPr>
            <w:r>
              <w:rPr>
                <w:sz w:val="19"/>
              </w:rPr>
              <w:t xml:space="preserve">29.05%</w:t>
            </w:r>
          </w:p>
        </w:tc>
        <w:tc>
          <w:tcPr>
            <w:tcW w:type="dxa" w:w="1483"/>
          </w:tcPr>
          <w:p>
            <w:pPr>
              <w:pStyle w:val="Compact"/>
              <w:spacing w:after="0" w:before="0" w:line="240" w:lineRule="auto"/>
              <w:jc w:val="left"/>
            </w:pPr>
            <w:r>
              <w:rPr>
                <w:sz w:val="19"/>
              </w:rPr>
              <w:t xml:space="preserve">29.72%</w:t>
            </w:r>
          </w:p>
        </w:tc>
        <w:tc>
          <w:tcPr>
            <w:tcW w:type="dxa" w:w="1105"/>
          </w:tcPr>
          <w:p>
            <w:pPr>
              <w:pStyle w:val="Compact"/>
              <w:spacing w:after="0" w:before="0" w:line="240" w:lineRule="auto"/>
              <w:jc w:val="left"/>
            </w:pPr>
            <w:r>
              <w:rPr>
                <w:sz w:val="19"/>
              </w:rPr>
              <w:t xml:space="preserve">38.91%</w:t>
            </w:r>
          </w:p>
        </w:tc>
      </w:tr>
      <w:tr>
        <w:trPr>
          <w:cantSplit/>
        </w:trPr>
        <w:tc>
          <w:tcPr>
            <w:tcW w:type="dxa" w:w="4513"/>
          </w:tcPr>
          <w:p>
            <w:pPr>
              <w:pStyle w:val="Compact"/>
              <w:spacing w:after="0" w:before="0" w:line="240" w:lineRule="auto"/>
              <w:jc w:val="left"/>
            </w:pPr>
            <w:r>
              <w:rPr>
                <w:sz w:val="19"/>
              </w:rPr>
              <w:t xml:space="preserve">Low-volume routes (lowest third)</w:t>
            </w:r>
          </w:p>
        </w:tc>
        <w:tc>
          <w:tcPr>
            <w:tcW w:type="dxa" w:w="1105"/>
          </w:tcPr>
          <w:p>
            <w:pPr>
              <w:pStyle w:val="Compact"/>
              <w:spacing w:after="0" w:before="0" w:line="240" w:lineRule="auto"/>
              <w:jc w:val="left"/>
            </w:pPr>
            <w:r>
              <w:rPr>
                <w:sz w:val="19"/>
              </w:rPr>
              <w:t xml:space="preserve">28,786</w:t>
            </w:r>
          </w:p>
        </w:tc>
        <w:tc>
          <w:tcPr>
            <w:tcW w:type="dxa" w:w="978"/>
          </w:tcPr>
          <w:p>
            <w:pPr>
              <w:pStyle w:val="Compact"/>
              <w:spacing w:after="0" w:before="0" w:line="240" w:lineRule="auto"/>
              <w:jc w:val="left"/>
            </w:pPr>
            <w:r>
              <w:rPr>
                <w:sz w:val="19"/>
              </w:rPr>
              <w:t xml:space="preserve">29.72%</w:t>
            </w:r>
          </w:p>
        </w:tc>
        <w:tc>
          <w:tcPr>
            <w:tcW w:type="dxa" w:w="1483"/>
          </w:tcPr>
          <w:p>
            <w:pPr>
              <w:pStyle w:val="Compact"/>
              <w:spacing w:after="0" w:before="0" w:line="240" w:lineRule="auto"/>
              <w:jc w:val="left"/>
            </w:pPr>
            <w:r>
              <w:rPr>
                <w:sz w:val="19"/>
              </w:rPr>
              <w:t xml:space="preserve">30.09%</w:t>
            </w:r>
          </w:p>
        </w:tc>
        <w:tc>
          <w:tcPr>
            <w:tcW w:type="dxa" w:w="1105"/>
          </w:tcPr>
          <w:p>
            <w:pPr>
              <w:pStyle w:val="Compact"/>
              <w:spacing w:after="0" w:before="0" w:line="240" w:lineRule="auto"/>
              <w:jc w:val="left"/>
            </w:pPr>
            <w:r>
              <w:rPr>
                <w:sz w:val="19"/>
              </w:rPr>
              <w:t xml:space="preserve">39.03%</w:t>
            </w:r>
          </w:p>
        </w:tc>
      </w:tr>
      <w:tr>
        <w:trPr>
          <w:cantSplit/>
        </w:trPr>
        <w:tc>
          <w:tcPr>
            <w:tcW w:type="dxa" w:w="4513"/>
          </w:tcPr>
          <w:p>
            <w:pPr>
              <w:pStyle w:val="Compact"/>
              <w:spacing w:after="0" w:before="0" w:line="240" w:lineRule="auto"/>
              <w:jc w:val="left"/>
            </w:pPr>
            <w:r>
              <w:rPr>
                <w:sz w:val="19"/>
              </w:rPr>
              <w:t xml:space="preserve">Middle-volume routes</w:t>
            </w:r>
          </w:p>
        </w:tc>
        <w:tc>
          <w:tcPr>
            <w:tcW w:type="dxa" w:w="1105"/>
          </w:tcPr>
          <w:p>
            <w:pPr>
              <w:pStyle w:val="Compact"/>
              <w:spacing w:after="0" w:before="0" w:line="240" w:lineRule="auto"/>
              <w:jc w:val="left"/>
            </w:pPr>
            <w:r>
              <w:rPr>
                <w:sz w:val="19"/>
              </w:rPr>
              <w:t xml:space="preserve">45,782</w:t>
            </w:r>
          </w:p>
        </w:tc>
        <w:tc>
          <w:tcPr>
            <w:tcW w:type="dxa" w:w="978"/>
          </w:tcPr>
          <w:p>
            <w:pPr>
              <w:pStyle w:val="Compact"/>
              <w:spacing w:after="0" w:before="0" w:line="240" w:lineRule="auto"/>
              <w:jc w:val="left"/>
            </w:pPr>
            <w:r>
              <w:rPr>
                <w:sz w:val="19"/>
              </w:rPr>
              <w:t xml:space="preserve">22.92%</w:t>
            </w:r>
          </w:p>
        </w:tc>
        <w:tc>
          <w:tcPr>
            <w:tcW w:type="dxa" w:w="1483"/>
          </w:tcPr>
          <w:p>
            <w:pPr>
              <w:pStyle w:val="Compact"/>
              <w:spacing w:after="0" w:before="0" w:line="240" w:lineRule="auto"/>
              <w:jc w:val="left"/>
            </w:pPr>
            <w:r>
              <w:rPr>
                <w:sz w:val="19"/>
              </w:rPr>
              <w:t xml:space="preserve">23.31%</w:t>
            </w:r>
          </w:p>
        </w:tc>
        <w:tc>
          <w:tcPr>
            <w:tcW w:type="dxa" w:w="1105"/>
          </w:tcPr>
          <w:p>
            <w:pPr>
              <w:pStyle w:val="Compact"/>
              <w:spacing w:after="0" w:before="0" w:line="240" w:lineRule="auto"/>
              <w:jc w:val="left"/>
            </w:pPr>
            <w:r>
              <w:rPr>
                <w:sz w:val="19"/>
              </w:rPr>
              <w:t xml:space="preserve">29.78%</w:t>
            </w:r>
          </w:p>
        </w:tc>
      </w:tr>
      <w:tr>
        <w:trPr>
          <w:cantSplit/>
        </w:trPr>
        <w:tc>
          <w:tcPr>
            <w:tcW w:type="dxa" w:w="4513"/>
          </w:tcPr>
          <w:p>
            <w:pPr>
              <w:pStyle w:val="Compact"/>
              <w:spacing w:after="0" w:before="0" w:line="240" w:lineRule="auto"/>
              <w:jc w:val="left"/>
            </w:pPr>
            <w:r>
              <w:rPr>
                <w:sz w:val="19"/>
              </w:rPr>
              <w:t xml:space="preserve">High-volume routes (highest third)</w:t>
            </w:r>
          </w:p>
        </w:tc>
        <w:tc>
          <w:tcPr>
            <w:tcW w:type="dxa" w:w="1105"/>
          </w:tcPr>
          <w:p>
            <w:pPr>
              <w:pStyle w:val="Compact"/>
              <w:spacing w:after="0" w:before="0" w:line="240" w:lineRule="auto"/>
              <w:jc w:val="left"/>
            </w:pPr>
            <w:r>
              <w:rPr>
                <w:sz w:val="19"/>
              </w:rPr>
              <w:t xml:space="preserve">53,367</w:t>
            </w:r>
          </w:p>
        </w:tc>
        <w:tc>
          <w:tcPr>
            <w:tcW w:type="dxa" w:w="978"/>
          </w:tcPr>
          <w:p>
            <w:pPr>
              <w:pStyle w:val="Compact"/>
              <w:spacing w:after="0" w:before="0" w:line="240" w:lineRule="auto"/>
              <w:jc w:val="left"/>
            </w:pPr>
            <w:r>
              <w:rPr>
                <w:sz w:val="19"/>
              </w:rPr>
              <w:t xml:space="preserve">15.44%</w:t>
            </w:r>
          </w:p>
        </w:tc>
        <w:tc>
          <w:tcPr>
            <w:tcW w:type="dxa" w:w="1483"/>
          </w:tcPr>
          <w:p>
            <w:pPr>
              <w:pStyle w:val="Compact"/>
              <w:spacing w:after="0" w:before="0" w:line="240" w:lineRule="auto"/>
              <w:jc w:val="left"/>
            </w:pPr>
            <w:r>
              <w:rPr>
                <w:sz w:val="19"/>
              </w:rPr>
              <w:t xml:space="preserve">15.56%</w:t>
            </w:r>
          </w:p>
        </w:tc>
        <w:tc>
          <w:tcPr>
            <w:tcW w:type="dxa" w:w="1105"/>
          </w:tcPr>
          <w:p>
            <w:pPr>
              <w:pStyle w:val="Compact"/>
              <w:spacing w:after="0" w:before="0" w:line="240" w:lineRule="auto"/>
              <w:jc w:val="left"/>
            </w:pPr>
            <w:r>
              <w:rPr>
                <w:sz w:val="19"/>
              </w:rPr>
              <w:t xml:space="preserve">20.16%</w:t>
            </w:r>
          </w:p>
        </w:tc>
      </w:tr>
      <w:tr>
        <w:trPr>
          <w:cantSplit/>
        </w:trPr>
        <w:tc>
          <w:tcPr>
            <w:tcW w:type="dxa" w:w="4513"/>
          </w:tcPr>
          <w:p>
            <w:pPr>
              <w:pStyle w:val="Compact"/>
              <w:spacing w:after="0" w:before="0" w:line="240" w:lineRule="auto"/>
              <w:jc w:val="left"/>
            </w:pPr>
            <w:r>
              <w:rPr>
                <w:sz w:val="19"/>
              </w:rPr>
              <w:t xml:space="preserve">Regular cell</w:t>
            </w:r>
          </w:p>
        </w:tc>
        <w:tc>
          <w:tcPr>
            <w:tcW w:type="dxa" w:w="1105"/>
          </w:tcPr>
          <w:p>
            <w:pPr>
              <w:pStyle w:val="Compact"/>
              <w:spacing w:after="0" w:before="0" w:line="240" w:lineRule="auto"/>
              <w:jc w:val="left"/>
            </w:pPr>
            <w:r>
              <w:rPr>
                <w:sz w:val="19"/>
              </w:rPr>
              <w:t xml:space="preserve">125,681</w:t>
            </w:r>
          </w:p>
        </w:tc>
        <w:tc>
          <w:tcPr>
            <w:tcW w:type="dxa" w:w="978"/>
          </w:tcPr>
          <w:p>
            <w:pPr>
              <w:pStyle w:val="Compact"/>
              <w:spacing w:after="0" w:before="0" w:line="240" w:lineRule="auto"/>
              <w:jc w:val="left"/>
            </w:pPr>
            <w:r>
              <w:rPr>
                <w:sz w:val="19"/>
              </w:rPr>
              <w:t xml:space="preserve">18.08%</w:t>
            </w:r>
          </w:p>
        </w:tc>
        <w:tc>
          <w:tcPr>
            <w:tcW w:type="dxa" w:w="1483"/>
          </w:tcPr>
          <w:p>
            <w:pPr>
              <w:pStyle w:val="Compact"/>
              <w:spacing w:after="0" w:before="0" w:line="240" w:lineRule="auto"/>
              <w:jc w:val="left"/>
            </w:pPr>
            <w:r>
              <w:rPr>
                <w:sz w:val="19"/>
              </w:rPr>
              <w:t xml:space="preserve">18.28%</w:t>
            </w:r>
          </w:p>
        </w:tc>
        <w:tc>
          <w:tcPr>
            <w:tcW w:type="dxa" w:w="1105"/>
          </w:tcPr>
          <w:p>
            <w:pPr>
              <w:pStyle w:val="Compact"/>
              <w:spacing w:after="0" w:before="0" w:line="240" w:lineRule="auto"/>
              <w:jc w:val="left"/>
            </w:pPr>
            <w:r>
              <w:rPr>
                <w:sz w:val="19"/>
              </w:rPr>
              <w:t xml:space="preserve">23.59%</w:t>
            </w:r>
          </w:p>
        </w:tc>
      </w:tr>
      <w:tr>
        <w:trPr>
          <w:cantSplit/>
        </w:trPr>
        <w:tc>
          <w:tcPr>
            <w:tcW w:type="dxa" w:w="4513"/>
          </w:tcPr>
          <w:p>
            <w:pPr>
              <w:pStyle w:val="Compact"/>
              <w:spacing w:after="0" w:before="0" w:line="240" w:lineRule="auto"/>
              <w:jc w:val="left"/>
            </w:pPr>
            <w:r>
              <w:rPr>
                <w:sz w:val="19"/>
              </w:rPr>
              <w:t xml:space="preserve">Non-regular cell</w:t>
            </w:r>
          </w:p>
        </w:tc>
        <w:tc>
          <w:tcPr>
            <w:tcW w:type="dxa" w:w="1105"/>
          </w:tcPr>
          <w:p>
            <w:pPr>
              <w:pStyle w:val="Compact"/>
              <w:spacing w:after="0" w:before="0" w:line="240" w:lineRule="auto"/>
              <w:jc w:val="left"/>
            </w:pPr>
            <w:r>
              <w:rPr>
                <w:sz w:val="19"/>
              </w:rPr>
              <w:t xml:space="preserve">2,254</w:t>
            </w:r>
          </w:p>
        </w:tc>
        <w:tc>
          <w:tcPr>
            <w:tcW w:type="dxa" w:w="978"/>
          </w:tcPr>
          <w:p>
            <w:pPr>
              <w:pStyle w:val="Compact"/>
              <w:spacing w:after="0" w:before="0" w:line="240" w:lineRule="auto"/>
              <w:jc w:val="left"/>
            </w:pPr>
            <w:r>
              <w:rPr>
                <w:sz w:val="19"/>
              </w:rPr>
              <w:t xml:space="preserve">55.83%</w:t>
            </w:r>
          </w:p>
        </w:tc>
        <w:tc>
          <w:tcPr>
            <w:tcW w:type="dxa" w:w="1483"/>
          </w:tcPr>
          <w:p>
            <w:pPr>
              <w:pStyle w:val="Compact"/>
              <w:spacing w:after="0" w:before="0" w:line="240" w:lineRule="auto"/>
              <w:jc w:val="left"/>
            </w:pPr>
            <w:r>
              <w:rPr>
                <w:sz w:val="19"/>
              </w:rPr>
              <w:t xml:space="preserve">58.26%</w:t>
            </w:r>
          </w:p>
        </w:tc>
        <w:tc>
          <w:tcPr>
            <w:tcW w:type="dxa" w:w="1105"/>
          </w:tcPr>
          <w:p>
            <w:pPr>
              <w:pStyle w:val="Compact"/>
              <w:spacing w:after="0" w:before="0" w:line="240" w:lineRule="auto"/>
              <w:jc w:val="left"/>
            </w:pPr>
            <w:r>
              <w:rPr>
                <w:sz w:val="19"/>
              </w:rPr>
              <w:t xml:space="preserve">69.16%</w:t>
            </w:r>
          </w:p>
        </w:tc>
      </w:tr>
    </w:tbl>
    <w:p>
      <w:pPr>
        <w:pStyle w:val="CaptionedFigure"/>
        <w:spacing w:before="160"/>
      </w:pPr>
      <w:r>
        <w:drawing>
          <wp:inline>
            <wp:extent cx="4800600" cy="1813559"/>
            <wp:effectExtent b="0" l="0" r="0" t="0"/>
            <wp:docPr descr="Figure 3. Demand WAPE by time of day on the test weeks." title="" id="60" name="Picture"/>
            <a:graphic>
              <a:graphicData uri="http://schemas.openxmlformats.org/drawingml/2006/picture">
                <pic:pic>
                  <pic:nvPicPr>
                    <pic:cNvPr descr="../figures/demand_wape_by_period.png" id="61" name="Picture"/>
                    <pic:cNvPicPr>
                      <a:picLocks noChangeArrowheads="1" noChangeAspect="1"/>
                    </pic:cNvPicPr>
                  </pic:nvPicPr>
                  <pic:blipFill>
                    <a:blip r:embed="rId59"/>
                    <a:stretch>
                      <a:fillRect/>
                    </a:stretch>
                  </pic:blipFill>
                  <pic:spPr bwMode="auto">
                    <a:xfrm>
                      <a:off x="0" y="0"/>
                      <a:ext cx="4800600" cy="1813559"/>
                    </a:xfrm>
                    <a:prstGeom prst="rect">
                      <a:avLst/>
                    </a:prstGeom>
                    <a:noFill/>
                    <a:ln w="9525">
                      <a:noFill/>
                      <a:headEnd/>
                      <a:tailEnd/>
                    </a:ln>
                  </pic:spPr>
                </pic:pic>
              </a:graphicData>
            </a:graphic>
          </wp:inline>
        </w:drawing>
      </w:r>
    </w:p>
    <w:p>
      <w:pPr>
        <w:pStyle w:val="ImageCaption"/>
      </w:pPr>
      <w:r>
        <w:t xml:space="preserve">Figure 3. Demand WAPE by time of day on the test weeks.</w:t>
      </w:r>
    </w:p>
    <w:p>
      <w:pPr>
        <w:pStyle w:val="CaptionedFigure"/>
      </w:pPr>
      <w:r>
        <w:drawing>
          <wp:inline>
            <wp:extent cx="4800600" cy="1706880"/>
            <wp:effectExtent b="0" l="0" r="0" t="0"/>
            <wp:docPr descr="Figure 4. Demand WAPE on each test day." title="" id="63" name="Picture"/>
            <a:graphic>
              <a:graphicData uri="http://schemas.openxmlformats.org/drawingml/2006/picture">
                <pic:pic>
                  <pic:nvPicPr>
                    <pic:cNvPr descr="../figures/demand_wape_by_day.png" id="64" name="Picture"/>
                    <pic:cNvPicPr>
                      <a:picLocks noChangeArrowheads="1" noChangeAspect="1"/>
                    </pic:cNvPicPr>
                  </pic:nvPicPr>
                  <pic:blipFill>
                    <a:blip r:embed="rId62"/>
                    <a:stretch>
                      <a:fillRect/>
                    </a:stretch>
                  </pic:blipFill>
                  <pic:spPr bwMode="auto">
                    <a:xfrm>
                      <a:off x="0" y="0"/>
                      <a:ext cx="4800600" cy="1706880"/>
                    </a:xfrm>
                    <a:prstGeom prst="rect">
                      <a:avLst/>
                    </a:prstGeom>
                    <a:noFill/>
                    <a:ln w="9525">
                      <a:noFill/>
                      <a:headEnd/>
                      <a:tailEnd/>
                    </a:ln>
                  </pic:spPr>
                </pic:pic>
              </a:graphicData>
            </a:graphic>
          </wp:inline>
        </w:drawing>
      </w:r>
    </w:p>
    <w:p>
      <w:pPr>
        <w:pStyle w:val="ImageCaption"/>
      </w:pPr>
      <w:r>
        <w:t xml:space="preserve">Figure 4. Demand WAPE on each test day.</w:t>
      </w:r>
    </w:p>
    <w:p>
      <w:pPr>
        <w:pStyle w:val="BodyText"/>
      </w:pPr>
      <w:r>
        <w:t xml:space="preserve">Errors are largest where volumes are low or service is irregular: night hours, Sundays, low-volume routes, and hours outside a route’s regular service (non-regular cells). With few passengers, a small absolute error is a large relative one. Every method, including the baselines, struggles in the same places, which points to the data rather than to one model. The final forecast is better than the historical average in every segment except the morning peak (15.75% against 15.65%).</w:t>
      </w:r>
    </w:p>
    <w:p>
      <w:pPr>
        <w:pStyle w:val="BodyText"/>
      </w:pPr>
      <w:r>
        <w:t xml:space="preserve">The worst test day was Sunday 21 April 2024 (final WAPE 32.21%), which was also the Tiradentes national holiday; the best was Tuesday 23 April (15.54%). The five route-directions with the largest total absolute error have moderate WAPE (14–17%). They rank first because they carry the most passengers (all five are among the ten busiest of 664 route-directions in the test weeks, computed from the committed prediction file), and each contributes under 1% of all error. No single route dominates the error.</w:t>
      </w:r>
    </w:p>
    <w:p>
      <w:pPr>
        <w:pStyle w:val="BodyText"/>
      </w:pPr>
      <w:r>
        <w:t xml:space="preserve">On the 5,165 test hours with zero recorded boardings, the final forecast’s MAE is 2.95 boardings, slightly worse than the last-week rule (2.81), which reproduces zeros exactly when the previous week was also zero.</w:t>
      </w:r>
    </w:p>
    <w:p>
      <w:pPr>
        <w:pStyle w:val="BodyText"/>
      </w:pPr>
      <w:r>
        <w:rPr>
          <w:b/>
          <w:bCs/>
        </w:rPr>
        <w:t xml:space="preserve">Burst hours (estimated load).</w:t>
      </w:r>
      <w:r>
        <w:t xml:space="preserve"> </w:t>
      </w:r>
      <w:r>
        <w:t xml:space="preserve">Route-hours containing a burst validation (446 rows) have a higher final MAE (9.98 against 4.67 without bursts) but a lower WAPE (14.73% against 19.24%), because they are busy hours.</w:t>
      </w:r>
    </w:p>
    <w:p>
      <w:pPr>
        <w:pStyle w:val="CaptionedFigure"/>
      </w:pPr>
      <w:r>
        <w:drawing>
          <wp:inline>
            <wp:extent cx="5067300" cy="1914313"/>
            <wp:effectExtent b="0" l="0" r="0" t="0"/>
            <wp:docPr descr="Figure 5. Hourly boardings on the busiest test route-direction (route 137, direction I) on Wednesday 17 April 2024, against the final forecast and the last-week rule." title="" id="66" name="Picture"/>
            <a:graphic>
              <a:graphicData uri="http://schemas.openxmlformats.org/drawingml/2006/picture">
                <pic:pic>
                  <pic:nvPicPr>
                    <pic:cNvPr descr="../figures/example_route_day.png" id="67" name="Picture"/>
                    <pic:cNvPicPr>
                      <a:picLocks noChangeArrowheads="1" noChangeAspect="1"/>
                    </pic:cNvPicPr>
                  </pic:nvPicPr>
                  <pic:blipFill>
                    <a:blip r:embed="rId65"/>
                    <a:stretch>
                      <a:fillRect/>
                    </a:stretch>
                  </pic:blipFill>
                  <pic:spPr bwMode="auto">
                    <a:xfrm>
                      <a:off x="0" y="0"/>
                      <a:ext cx="5067300" cy="1914313"/>
                    </a:xfrm>
                    <a:prstGeom prst="rect">
                      <a:avLst/>
                    </a:prstGeom>
                    <a:noFill/>
                    <a:ln w="9525">
                      <a:noFill/>
                      <a:headEnd/>
                      <a:tailEnd/>
                    </a:ln>
                  </pic:spPr>
                </pic:pic>
              </a:graphicData>
            </a:graphic>
          </wp:inline>
        </w:drawing>
      </w:r>
    </w:p>
    <w:p>
      <w:pPr>
        <w:pStyle w:val="ImageCaption"/>
      </w:pPr>
      <w:r>
        <w:t xml:space="preserve">Figure 5. Hourly boardings on the busiest test route-direction (route 137, direction I) on Wednesday 17 April 2024, against the final forecast and the last-week rule.</w:t>
      </w:r>
    </w:p>
    <w:p>
      <w:pPr>
        <w:pStyle w:val="BodyText"/>
      </w:pPr>
      <w:r>
        <w:t xml:space="preserve">Figure 5 shows one day of the busiest route-direction in the test weeks. Both forecasts follow the daily shape closely outside the morning peak. In the 06:00–08:00 peak the final forecast stays well below the actual values, while the last-week rule happens to be closer on this day. The example is chosen by a fixed rule in the report generator (the busiest route-direction, on the first test Wednesday), not picked to flatter the model, and it happens to be unfavourable: 17 April is the only test day on which the final forecast’s demand WAPE was higher than the historical average’s (16.74% against 16.59%). A single day cannot show which method is better overall; Tables 1 and 6 do that. The figure shows the typical shape and that the blend is conservative at the highest peaks.</w:t>
      </w:r>
    </w:p>
    <w:bookmarkEnd w:id="68"/>
    <w:bookmarkEnd w:id="69"/>
    <w:bookmarkStart w:id="76" w:name="Xa32ef9a5c8c39b775796fec3b06955edb777645"/>
    <w:p>
      <w:pPr>
        <w:pStyle w:val="Heading1"/>
      </w:pPr>
      <w:r>
        <w:t xml:space="preserve">7. Crowding classification and bus-capacity sensitivity</w:t>
      </w:r>
    </w:p>
    <w:bookmarkStart w:id="70" w:name="method-assumption"/>
    <w:p>
      <w:pPr>
        <w:pStyle w:val="Heading2"/>
      </w:pPr>
      <w:r>
        <w:t xml:space="preserve">7.1 Method (assumption)</w:t>
      </w:r>
    </w:p>
    <w:p>
      <w:pPr>
        <w:pStyle w:val="FirstParagraph"/>
      </w:pPr>
      <w:r>
        <w:t xml:space="preserve">SUNT has no vehicle capacity, and the fleet mix per route is unknown. We therefore take the minimum seated-plus-standing capacities set by the Brazilian urban-bus standard ABNT NBR 15570:2009 (Table 1, minimum capacity by vehicle class, with 6 standing passengers per m² from Table 2): midiônibus 40, ônibus básico 70 (the base case), padron 80 and articulado 100 (decision D10). With load factor LF = estimated load ÷ capacity:</w:t>
      </w:r>
    </w:p>
    <w:p>
      <w:pPr>
        <w:pStyle w:val="Compact"/>
        <w:numPr>
          <w:ilvl w:val="0"/>
          <w:numId w:val="1010"/>
        </w:numPr>
      </w:pPr>
      <w:r>
        <w:rPr>
          <w:b/>
          <w:bCs/>
        </w:rPr>
        <w:t xml:space="preserve">low:</w:t>
      </w:r>
      <w:r>
        <w:t xml:space="preserve"> </w:t>
      </w:r>
      <w:r>
        <w:t xml:space="preserve">LF &lt; 0.5;</w:t>
      </w:r>
      <w:r>
        <w:t xml:space="preserve"> </w:t>
      </w:r>
      <w:r>
        <w:rPr>
          <w:b/>
          <w:bCs/>
        </w:rPr>
        <w:t xml:space="preserve">medium:</w:t>
      </w:r>
      <w:r>
        <w:t xml:space="preserve"> </w:t>
      </w:r>
      <w:r>
        <w:t xml:space="preserve">0.5 ≤ LF &lt; 0.8;</w:t>
      </w:r>
      <w:r>
        <w:t xml:space="preserve"> </w:t>
      </w:r>
      <w:r>
        <w:rPr>
          <w:b/>
          <w:bCs/>
        </w:rPr>
        <w:t xml:space="preserve">high:</w:t>
      </w:r>
      <w:r>
        <w:t xml:space="preserve"> </w:t>
      </w:r>
      <w:r>
        <w:t xml:space="preserve">LF ≥ 0.8.</w:t>
      </w:r>
    </w:p>
    <w:p>
      <w:pPr>
        <w:pStyle w:val="FirstParagraph"/>
      </w:pPr>
      <w:r>
        <w:t xml:space="preserve">The same rule labels both the actual estimated load and the forecast.</w:t>
      </w:r>
      <w:r>
        <w:t xml:space="preserve"> </w:t>
      </w:r>
      <w:r>
        <w:t xml:space="preserve">“</w:t>
      </w:r>
      <w:r>
        <w:t xml:space="preserve">Actual</w:t>
      </w:r>
      <w:r>
        <w:t xml:space="preserve">”</w:t>
      </w:r>
      <w:r>
        <w:t xml:space="preserve"> </w:t>
      </w:r>
      <w:r>
        <w:t xml:space="preserve">crowding is therefore itself derived from an estimate.</w:t>
      </w:r>
    </w:p>
    <w:bookmarkEnd w:id="70"/>
    <w:bookmarkStart w:id="74" w:name="results-measured"/>
    <w:p>
      <w:pPr>
        <w:pStyle w:val="Heading2"/>
      </w:pPr>
      <w:r>
        <w:t xml:space="preserve">7.2 Results (measured)</w:t>
      </w:r>
    </w:p>
    <w:p>
      <w:pPr>
        <w:pStyle w:val="FirstParagraph"/>
        <w:keepNext/>
      </w:pPr>
      <w:r>
        <w:rPr>
          <w:b/>
          <w:bCs/>
        </w:rPr>
        <w:t xml:space="preserve">Table 8. Crowding levels on the test weeks under each capacity assumption.</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1777"/>
        <w:gridCol w:w="1879"/>
        <w:gridCol w:w="1105"/>
        <w:gridCol w:w="1218"/>
        <w:gridCol w:w="1105"/>
        <w:gridCol w:w="1218"/>
        <w:gridCol w:w="878"/>
      </w:tblGrid>
      <w:tr>
        <w:trPr>
          <w:tblHeader w:val="true"/>
          <w:cantSplit/>
          <w:tblHeader/>
        </w:trPr>
        <w:tc>
          <w:tcPr>
            <w:tcW w:type="dxa" w:w="1777"/>
            <w:shd w:val="clear" w:color="auto" w:fill="DCE3F0"/>
          </w:tcPr>
          <w:p>
            <w:pPr>
              <w:pStyle w:val="Compact"/>
              <w:spacing w:after="0" w:before="0" w:line="240" w:lineRule="auto"/>
              <w:jc w:val="left"/>
            </w:pPr>
            <w:r>
              <w:rPr>
                <w:b/>
                <w:sz w:val="19"/>
              </w:rPr>
              <w:t xml:space="preserve">Scenario (capacity)</w:t>
            </w:r>
          </w:p>
        </w:tc>
        <w:tc>
          <w:tcPr>
            <w:tcW w:type="dxa" w:w="1880"/>
            <w:shd w:val="clear" w:color="auto" w:fill="DCE3F0"/>
          </w:tcPr>
          <w:p>
            <w:pPr>
              <w:pStyle w:val="Compact"/>
              <w:spacing w:after="0" w:before="0" w:line="240" w:lineRule="auto"/>
              <w:jc w:val="left"/>
            </w:pPr>
            <w:r>
              <w:rPr>
                <w:b/>
                <w:sz w:val="19"/>
              </w:rPr>
              <w:t xml:space="preserve">Actual low / medium / high</w:t>
            </w:r>
          </w:p>
        </w:tc>
        <w:tc>
          <w:tcPr>
            <w:tcW w:type="dxa" w:w="1106"/>
            <w:shd w:val="clear" w:color="auto" w:fill="DCE3F0"/>
          </w:tcPr>
          <w:p>
            <w:pPr>
              <w:pStyle w:val="Compact"/>
              <w:spacing w:after="0" w:before="0" w:line="240" w:lineRule="auto"/>
              <w:jc w:val="left"/>
            </w:pPr>
            <w:r>
              <w:rPr>
                <w:b/>
                <w:sz w:val="19"/>
              </w:rPr>
              <w:t xml:space="preserve">Final macro-F1</w:t>
            </w:r>
          </w:p>
        </w:tc>
        <w:tc>
          <w:tcPr>
            <w:tcW w:type="dxa" w:w="1219"/>
            <w:shd w:val="clear" w:color="auto" w:fill="DCE3F0"/>
          </w:tcPr>
          <w:p>
            <w:pPr>
              <w:pStyle w:val="Compact"/>
              <w:spacing w:after="0" w:before="0" w:line="240" w:lineRule="auto"/>
              <w:jc w:val="left"/>
            </w:pPr>
            <w:r>
              <w:rPr>
                <w:b/>
                <w:sz w:val="19"/>
              </w:rPr>
              <w:t xml:space="preserve">Last-week macro-F1</w:t>
            </w:r>
          </w:p>
        </w:tc>
        <w:tc>
          <w:tcPr>
            <w:tcW w:type="dxa" w:w="1106"/>
            <w:shd w:val="clear" w:color="auto" w:fill="DCE3F0"/>
          </w:tcPr>
          <w:p>
            <w:pPr>
              <w:pStyle w:val="Compact"/>
              <w:spacing w:after="0" w:before="0" w:line="240" w:lineRule="auto"/>
              <w:jc w:val="left"/>
            </w:pPr>
            <w:r>
              <w:rPr>
                <w:b/>
                <w:sz w:val="19"/>
              </w:rPr>
              <w:t xml:space="preserve">Hist. avg macro-F1</w:t>
            </w:r>
          </w:p>
        </w:tc>
        <w:tc>
          <w:tcPr>
            <w:tcW w:type="dxa" w:w="1219"/>
            <w:shd w:val="clear" w:color="auto" w:fill="DCE3F0"/>
          </w:tcPr>
          <w:p>
            <w:pPr>
              <w:pStyle w:val="Compact"/>
              <w:spacing w:after="0" w:before="0" w:line="240" w:lineRule="auto"/>
              <w:jc w:val="left"/>
            </w:pPr>
            <w:r>
              <w:rPr>
                <w:b/>
                <w:sz w:val="19"/>
              </w:rPr>
              <w:t xml:space="preserve">Final</w:t>
            </w:r>
            <w:r>
              <w:rPr>
                <w:b/>
                <w:sz w:val="19"/>
              </w:rPr>
              <w:t xml:space="preserve"> </w:t>
            </w:r>
            <w:r>
              <w:rPr>
                <w:b/>
                <w:sz w:val="19"/>
              </w:rPr>
              <w:t xml:space="preserve">“</w:t>
            </w:r>
            <w:r>
              <w:rPr>
                <w:b/>
                <w:sz w:val="19"/>
              </w:rPr>
              <w:t xml:space="preserve">high</w:t>
            </w:r>
            <w:r>
              <w:rPr>
                <w:b/>
                <w:sz w:val="19"/>
              </w:rPr>
              <w:t xml:space="preserve">”</w:t>
            </w:r>
            <w:r>
              <w:rPr>
                <w:b/>
                <w:sz w:val="19"/>
              </w:rPr>
              <w:t xml:space="preserve"> </w:t>
            </w:r>
            <w:r>
              <w:rPr>
                <w:b/>
                <w:sz w:val="19"/>
              </w:rPr>
              <w:t xml:space="preserve">precision</w:t>
            </w:r>
          </w:p>
        </w:tc>
        <w:tc>
          <w:tcPr>
            <w:tcW w:type="dxa" w:w="879"/>
            <w:shd w:val="clear" w:color="auto" w:fill="DCE3F0"/>
          </w:tcPr>
          <w:p>
            <w:pPr>
              <w:pStyle w:val="Compact"/>
              <w:spacing w:after="0" w:before="0" w:line="240" w:lineRule="auto"/>
              <w:jc w:val="left"/>
            </w:pPr>
            <w:r>
              <w:rPr>
                <w:b/>
                <w:sz w:val="19"/>
              </w:rPr>
              <w:t xml:space="preserve">Final</w:t>
            </w:r>
            <w:r>
              <w:rPr>
                <w:b/>
                <w:sz w:val="19"/>
              </w:rPr>
              <w:t xml:space="preserve"> </w:t>
            </w:r>
            <w:r>
              <w:rPr>
                <w:b/>
                <w:sz w:val="19"/>
              </w:rPr>
              <w:t xml:space="preserve">“</w:t>
            </w:r>
            <w:r>
              <w:rPr>
                <w:b/>
                <w:sz w:val="19"/>
              </w:rPr>
              <w:t xml:space="preserve">high</w:t>
            </w:r>
            <w:r>
              <w:rPr>
                <w:b/>
                <w:sz w:val="19"/>
              </w:rPr>
              <w:t xml:space="preserve">”</w:t>
            </w:r>
            <w:r>
              <w:rPr>
                <w:b/>
                <w:sz w:val="19"/>
              </w:rPr>
              <w:t xml:space="preserve"> </w:t>
            </w:r>
            <w:r>
              <w:rPr>
                <w:b/>
                <w:sz w:val="19"/>
              </w:rPr>
              <w:t xml:space="preserve">recall</w:t>
            </w:r>
          </w:p>
        </w:tc>
      </w:tr>
      <w:tr>
        <w:trPr>
          <w:cantSplit/>
        </w:trPr>
        <w:tc>
          <w:tcPr>
            <w:tcW w:type="dxa" w:w="1777"/>
          </w:tcPr>
          <w:p>
            <w:pPr>
              <w:pStyle w:val="Compact"/>
              <w:spacing w:after="0" w:before="0" w:line="240" w:lineRule="auto"/>
              <w:jc w:val="left"/>
            </w:pPr>
            <w:r>
              <w:rPr>
                <w:sz w:val="19"/>
              </w:rPr>
              <w:t xml:space="preserve">Midiônibus (40)</w:t>
            </w:r>
          </w:p>
        </w:tc>
        <w:tc>
          <w:tcPr>
            <w:tcW w:type="dxa" w:w="1880"/>
          </w:tcPr>
          <w:p>
            <w:pPr>
              <w:pStyle w:val="Compact"/>
              <w:spacing w:after="0" w:before="0" w:line="240" w:lineRule="auto"/>
              <w:jc w:val="left"/>
            </w:pPr>
            <w:r>
              <w:rPr>
                <w:sz w:val="19"/>
              </w:rPr>
              <w:t xml:space="preserve">45.52% / 26.25% / 28.23%</w:t>
            </w:r>
          </w:p>
        </w:tc>
        <w:tc>
          <w:tcPr>
            <w:tcW w:type="dxa" w:w="1106"/>
          </w:tcPr>
          <w:p>
            <w:pPr>
              <w:pStyle w:val="Compact"/>
              <w:spacing w:after="0" w:before="0" w:line="240" w:lineRule="auto"/>
              <w:jc w:val="left"/>
            </w:pPr>
            <w:r>
              <w:rPr>
                <w:sz w:val="19"/>
              </w:rPr>
              <w:t xml:space="preserve">0.772</w:t>
            </w:r>
          </w:p>
        </w:tc>
        <w:tc>
          <w:tcPr>
            <w:tcW w:type="dxa" w:w="1219"/>
          </w:tcPr>
          <w:p>
            <w:pPr>
              <w:pStyle w:val="Compact"/>
              <w:spacing w:after="0" w:before="0" w:line="240" w:lineRule="auto"/>
              <w:jc w:val="left"/>
            </w:pPr>
            <w:r>
              <w:rPr>
                <w:sz w:val="19"/>
              </w:rPr>
              <w:t xml:space="preserve">0.708</w:t>
            </w:r>
          </w:p>
        </w:tc>
        <w:tc>
          <w:tcPr>
            <w:tcW w:type="dxa" w:w="1106"/>
          </w:tcPr>
          <w:p>
            <w:pPr>
              <w:pStyle w:val="Compact"/>
              <w:spacing w:after="0" w:before="0" w:line="240" w:lineRule="auto"/>
              <w:jc w:val="left"/>
            </w:pPr>
            <w:r>
              <w:rPr>
                <w:sz w:val="19"/>
              </w:rPr>
              <w:t xml:space="preserve">0.771</w:t>
            </w:r>
          </w:p>
        </w:tc>
        <w:tc>
          <w:tcPr>
            <w:tcW w:type="dxa" w:w="1219"/>
          </w:tcPr>
          <w:p>
            <w:pPr>
              <w:pStyle w:val="Compact"/>
              <w:spacing w:after="0" w:before="0" w:line="240" w:lineRule="auto"/>
              <w:jc w:val="left"/>
            </w:pPr>
            <w:r>
              <w:rPr>
                <w:sz w:val="19"/>
              </w:rPr>
              <w:t xml:space="preserve">0.847</w:t>
            </w:r>
          </w:p>
        </w:tc>
        <w:tc>
          <w:tcPr>
            <w:tcW w:type="dxa" w:w="879"/>
          </w:tcPr>
          <w:p>
            <w:pPr>
              <w:pStyle w:val="Compact"/>
              <w:spacing w:after="0" w:before="0" w:line="240" w:lineRule="auto"/>
              <w:jc w:val="left"/>
            </w:pPr>
            <w:r>
              <w:rPr>
                <w:sz w:val="19"/>
              </w:rPr>
              <w:t xml:space="preserve">0.787</w:t>
            </w:r>
          </w:p>
        </w:tc>
      </w:tr>
      <w:tr>
        <w:trPr>
          <w:cantSplit/>
        </w:trPr>
        <w:tc>
          <w:tcPr>
            <w:tcW w:type="dxa" w:w="1777"/>
          </w:tcPr>
          <w:p>
            <w:pPr>
              <w:pStyle w:val="Compact"/>
              <w:spacing w:after="0" w:before="0" w:line="240" w:lineRule="auto"/>
              <w:jc w:val="left"/>
            </w:pPr>
            <w:r>
              <w:rPr>
                <w:sz w:val="19"/>
              </w:rPr>
              <w:t xml:space="preserve">Ônibus básico (70)</w:t>
            </w:r>
          </w:p>
        </w:tc>
        <w:tc>
          <w:tcPr>
            <w:tcW w:type="dxa" w:w="1880"/>
          </w:tcPr>
          <w:p>
            <w:pPr>
              <w:pStyle w:val="Compact"/>
              <w:spacing w:after="0" w:before="0" w:line="240" w:lineRule="auto"/>
              <w:jc w:val="left"/>
            </w:pPr>
            <w:r>
              <w:rPr>
                <w:sz w:val="19"/>
              </w:rPr>
              <w:t xml:space="preserve">76.64% / 18.17% / 5.19%</w:t>
            </w:r>
          </w:p>
        </w:tc>
        <w:tc>
          <w:tcPr>
            <w:tcW w:type="dxa" w:w="1106"/>
          </w:tcPr>
          <w:p>
            <w:pPr>
              <w:pStyle w:val="Compact"/>
              <w:spacing w:after="0" w:before="0" w:line="240" w:lineRule="auto"/>
              <w:jc w:val="left"/>
            </w:pPr>
            <w:r>
              <w:rPr>
                <w:sz w:val="19"/>
              </w:rPr>
              <w:t xml:space="preserve">0.769</w:t>
            </w:r>
          </w:p>
        </w:tc>
        <w:tc>
          <w:tcPr>
            <w:tcW w:type="dxa" w:w="1219"/>
          </w:tcPr>
          <w:p>
            <w:pPr>
              <w:pStyle w:val="Compact"/>
              <w:spacing w:after="0" w:before="0" w:line="240" w:lineRule="auto"/>
              <w:jc w:val="left"/>
            </w:pPr>
            <w:r>
              <w:rPr>
                <w:sz w:val="19"/>
              </w:rPr>
              <w:t xml:space="preserve">0.713</w:t>
            </w:r>
          </w:p>
        </w:tc>
        <w:tc>
          <w:tcPr>
            <w:tcW w:type="dxa" w:w="1106"/>
          </w:tcPr>
          <w:p>
            <w:pPr>
              <w:pStyle w:val="Compact"/>
              <w:spacing w:after="0" w:before="0" w:line="240" w:lineRule="auto"/>
              <w:jc w:val="left"/>
            </w:pPr>
            <w:r>
              <w:rPr>
                <w:sz w:val="19"/>
              </w:rPr>
              <w:t xml:space="preserve">0.766</w:t>
            </w:r>
          </w:p>
        </w:tc>
        <w:tc>
          <w:tcPr>
            <w:tcW w:type="dxa" w:w="1219"/>
          </w:tcPr>
          <w:p>
            <w:pPr>
              <w:pStyle w:val="Compact"/>
              <w:spacing w:after="0" w:before="0" w:line="240" w:lineRule="auto"/>
              <w:jc w:val="left"/>
            </w:pPr>
            <w:r>
              <w:rPr>
                <w:sz w:val="19"/>
              </w:rPr>
              <w:t xml:space="preserve">0.786</w:t>
            </w:r>
          </w:p>
        </w:tc>
        <w:tc>
          <w:tcPr>
            <w:tcW w:type="dxa" w:w="879"/>
          </w:tcPr>
          <w:p>
            <w:pPr>
              <w:pStyle w:val="Compact"/>
              <w:spacing w:after="0" w:before="0" w:line="240" w:lineRule="auto"/>
              <w:jc w:val="left"/>
            </w:pPr>
            <w:r>
              <w:rPr>
                <w:sz w:val="19"/>
              </w:rPr>
              <w:t xml:space="preserve">0.610</w:t>
            </w:r>
          </w:p>
        </w:tc>
      </w:tr>
      <w:tr>
        <w:trPr>
          <w:cantSplit/>
        </w:trPr>
        <w:tc>
          <w:tcPr>
            <w:tcW w:type="dxa" w:w="1777"/>
          </w:tcPr>
          <w:p>
            <w:pPr>
              <w:pStyle w:val="Compact"/>
              <w:spacing w:after="0" w:before="0" w:line="240" w:lineRule="auto"/>
              <w:jc w:val="left"/>
            </w:pPr>
            <w:r>
              <w:rPr>
                <w:sz w:val="19"/>
              </w:rPr>
              <w:t xml:space="preserve">Padron (80)</w:t>
            </w:r>
          </w:p>
        </w:tc>
        <w:tc>
          <w:tcPr>
            <w:tcW w:type="dxa" w:w="1880"/>
          </w:tcPr>
          <w:p>
            <w:pPr>
              <w:pStyle w:val="Compact"/>
              <w:spacing w:after="0" w:before="0" w:line="240" w:lineRule="auto"/>
              <w:jc w:val="left"/>
            </w:pPr>
            <w:r>
              <w:rPr>
                <w:sz w:val="19"/>
              </w:rPr>
              <w:t xml:space="preserve">83.15% / 14.26% / 2.59%</w:t>
            </w:r>
          </w:p>
        </w:tc>
        <w:tc>
          <w:tcPr>
            <w:tcW w:type="dxa" w:w="1106"/>
          </w:tcPr>
          <w:p>
            <w:pPr>
              <w:pStyle w:val="Compact"/>
              <w:spacing w:after="0" w:before="0" w:line="240" w:lineRule="auto"/>
              <w:jc w:val="left"/>
            </w:pPr>
            <w:r>
              <w:rPr>
                <w:sz w:val="19"/>
              </w:rPr>
              <w:t xml:space="preserve">0.751</w:t>
            </w:r>
          </w:p>
        </w:tc>
        <w:tc>
          <w:tcPr>
            <w:tcW w:type="dxa" w:w="1219"/>
          </w:tcPr>
          <w:p>
            <w:pPr>
              <w:pStyle w:val="Compact"/>
              <w:spacing w:after="0" w:before="0" w:line="240" w:lineRule="auto"/>
              <w:jc w:val="left"/>
            </w:pPr>
            <w:r>
              <w:rPr>
                <w:sz w:val="19"/>
              </w:rPr>
              <w:t xml:space="preserve">0.701</w:t>
            </w:r>
          </w:p>
        </w:tc>
        <w:tc>
          <w:tcPr>
            <w:tcW w:type="dxa" w:w="1106"/>
          </w:tcPr>
          <w:p>
            <w:pPr>
              <w:pStyle w:val="Compact"/>
              <w:spacing w:after="0" w:before="0" w:line="240" w:lineRule="auto"/>
              <w:jc w:val="left"/>
            </w:pPr>
            <w:r>
              <w:rPr>
                <w:sz w:val="19"/>
              </w:rPr>
              <w:t xml:space="preserve">0.748</w:t>
            </w:r>
          </w:p>
        </w:tc>
        <w:tc>
          <w:tcPr>
            <w:tcW w:type="dxa" w:w="1219"/>
          </w:tcPr>
          <w:p>
            <w:pPr>
              <w:pStyle w:val="Compact"/>
              <w:spacing w:after="0" w:before="0" w:line="240" w:lineRule="auto"/>
              <w:jc w:val="left"/>
            </w:pPr>
            <w:r>
              <w:rPr>
                <w:sz w:val="19"/>
              </w:rPr>
              <w:t xml:space="preserve">0.782</w:t>
            </w:r>
          </w:p>
        </w:tc>
        <w:tc>
          <w:tcPr>
            <w:tcW w:type="dxa" w:w="879"/>
          </w:tcPr>
          <w:p>
            <w:pPr>
              <w:pStyle w:val="Compact"/>
              <w:spacing w:after="0" w:before="0" w:line="240" w:lineRule="auto"/>
              <w:jc w:val="left"/>
            </w:pPr>
            <w:r>
              <w:rPr>
                <w:sz w:val="19"/>
              </w:rPr>
              <w:t xml:space="preserve">0.498</w:t>
            </w:r>
          </w:p>
        </w:tc>
      </w:tr>
      <w:tr>
        <w:trPr>
          <w:cantSplit/>
        </w:trPr>
        <w:tc>
          <w:tcPr>
            <w:tcW w:type="dxa" w:w="1777"/>
          </w:tcPr>
          <w:p>
            <w:pPr>
              <w:pStyle w:val="Compact"/>
              <w:spacing w:after="0" w:before="0" w:line="240" w:lineRule="auto"/>
              <w:jc w:val="left"/>
            </w:pPr>
            <w:r>
              <w:rPr>
                <w:sz w:val="19"/>
              </w:rPr>
              <w:t xml:space="preserve">Articulado (100)</w:t>
            </w:r>
          </w:p>
        </w:tc>
        <w:tc>
          <w:tcPr>
            <w:tcW w:type="dxa" w:w="1880"/>
          </w:tcPr>
          <w:p>
            <w:pPr>
              <w:pStyle w:val="Compact"/>
              <w:spacing w:after="0" w:before="0" w:line="240" w:lineRule="auto"/>
              <w:jc w:val="left"/>
            </w:pPr>
            <w:r>
              <w:rPr>
                <w:sz w:val="19"/>
              </w:rPr>
              <w:t xml:space="preserve">91.70% / 7.79% / 0.51%</w:t>
            </w:r>
          </w:p>
        </w:tc>
        <w:tc>
          <w:tcPr>
            <w:tcW w:type="dxa" w:w="1106"/>
          </w:tcPr>
          <w:p>
            <w:pPr>
              <w:pStyle w:val="Compact"/>
              <w:spacing w:after="0" w:before="0" w:line="240" w:lineRule="auto"/>
              <w:jc w:val="left"/>
            </w:pPr>
            <w:r>
              <w:rPr>
                <w:sz w:val="19"/>
              </w:rPr>
              <w:t xml:space="preserve">0.683</w:t>
            </w:r>
          </w:p>
        </w:tc>
        <w:tc>
          <w:tcPr>
            <w:tcW w:type="dxa" w:w="1219"/>
          </w:tcPr>
          <w:p>
            <w:pPr>
              <w:pStyle w:val="Compact"/>
              <w:spacing w:after="0" w:before="0" w:line="240" w:lineRule="auto"/>
              <w:jc w:val="left"/>
            </w:pPr>
            <w:r>
              <w:rPr>
                <w:sz w:val="19"/>
              </w:rPr>
              <w:t xml:space="preserve">0.663</w:t>
            </w:r>
          </w:p>
        </w:tc>
        <w:tc>
          <w:tcPr>
            <w:tcW w:type="dxa" w:w="1106"/>
          </w:tcPr>
          <w:p>
            <w:pPr>
              <w:pStyle w:val="Compact"/>
              <w:spacing w:after="0" w:before="0" w:line="240" w:lineRule="auto"/>
              <w:jc w:val="left"/>
            </w:pPr>
            <w:r>
              <w:rPr>
                <w:sz w:val="19"/>
              </w:rPr>
              <w:t xml:space="preserve">0.686</w:t>
            </w:r>
          </w:p>
        </w:tc>
        <w:tc>
          <w:tcPr>
            <w:tcW w:type="dxa" w:w="1219"/>
          </w:tcPr>
          <w:p>
            <w:pPr>
              <w:pStyle w:val="Compact"/>
              <w:spacing w:after="0" w:before="0" w:line="240" w:lineRule="auto"/>
              <w:jc w:val="left"/>
            </w:pPr>
            <w:r>
              <w:rPr>
                <w:sz w:val="19"/>
              </w:rPr>
              <w:t xml:space="preserve">0.773</w:t>
            </w:r>
          </w:p>
        </w:tc>
        <w:tc>
          <w:tcPr>
            <w:tcW w:type="dxa" w:w="879"/>
          </w:tcPr>
          <w:p>
            <w:pPr>
              <w:pStyle w:val="Compact"/>
              <w:spacing w:after="0" w:before="0" w:line="240" w:lineRule="auto"/>
              <w:jc w:val="left"/>
            </w:pPr>
            <w:r>
              <w:rPr>
                <w:sz w:val="19"/>
              </w:rPr>
              <w:t xml:space="preserve">0.250</w:t>
            </w:r>
          </w:p>
        </w:tc>
      </w:tr>
    </w:tbl>
    <w:p>
      <w:pPr>
        <w:pStyle w:val="BodyText"/>
        <w:keepNext/>
        <w:spacing w:before="160"/>
      </w:pPr>
      <w:r>
        <w:rPr>
          <w:b/>
          <w:bCs/>
        </w:rPr>
        <w:t xml:space="preserve">Table 9. Confusion matrix of the final forecast, base case (capacity 70). Rows are actual levels, columns predicted.</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2882"/>
        <w:gridCol w:w="2100"/>
        <w:gridCol w:w="2100"/>
        <w:gridCol w:w="2100"/>
      </w:tblGrid>
      <w:tr>
        <w:trPr>
          <w:tblHeader w:val="true"/>
          <w:cantSplit/>
          <w:tblHeader/>
        </w:trPr>
        <w:tc>
          <w:tcPr>
            <w:tcW w:type="dxa" w:w="2882"/>
            <w:shd w:val="clear" w:color="auto" w:fill="DCE3F0"/>
          </w:tcPr>
          <w:p>
            <w:pPr>
              <w:pStyle w:val="Compact"/>
              <w:spacing w:after="0" w:before="0" w:line="240" w:lineRule="auto"/>
            </w:pPr>
          </w:p>
        </w:tc>
        <w:tc>
          <w:tcPr>
            <w:tcW w:type="dxa" w:w="2101"/>
            <w:shd w:val="clear" w:color="auto" w:fill="DCE3F0"/>
          </w:tcPr>
          <w:p>
            <w:pPr>
              <w:pStyle w:val="Compact"/>
              <w:spacing w:after="0" w:before="0" w:line="240" w:lineRule="auto"/>
              <w:jc w:val="left"/>
            </w:pPr>
            <w:r>
              <w:rPr>
                <w:b/>
                <w:sz w:val="19"/>
              </w:rPr>
              <w:t xml:space="preserve">Predicted low</w:t>
            </w:r>
          </w:p>
        </w:tc>
        <w:tc>
          <w:tcPr>
            <w:tcW w:type="dxa" w:w="2101"/>
            <w:shd w:val="clear" w:color="auto" w:fill="DCE3F0"/>
          </w:tcPr>
          <w:p>
            <w:pPr>
              <w:pStyle w:val="Compact"/>
              <w:spacing w:after="0" w:before="0" w:line="240" w:lineRule="auto"/>
              <w:jc w:val="left"/>
            </w:pPr>
            <w:r>
              <w:rPr>
                <w:b/>
                <w:sz w:val="19"/>
              </w:rPr>
              <w:t xml:space="preserve">Predicted medium</w:t>
            </w:r>
          </w:p>
        </w:tc>
        <w:tc>
          <w:tcPr>
            <w:tcW w:type="dxa" w:w="2101"/>
            <w:shd w:val="clear" w:color="auto" w:fill="DCE3F0"/>
          </w:tcPr>
          <w:p>
            <w:pPr>
              <w:pStyle w:val="Compact"/>
              <w:spacing w:after="0" w:before="0" w:line="240" w:lineRule="auto"/>
              <w:jc w:val="left"/>
            </w:pPr>
            <w:r>
              <w:rPr>
                <w:b/>
                <w:sz w:val="19"/>
              </w:rPr>
              <w:t xml:space="preserve">Predicted high</w:t>
            </w:r>
          </w:p>
        </w:tc>
      </w:tr>
      <w:tr>
        <w:trPr>
          <w:cantSplit/>
        </w:trPr>
        <w:tc>
          <w:tcPr>
            <w:tcW w:type="dxa" w:w="2882"/>
          </w:tcPr>
          <w:p>
            <w:pPr>
              <w:pStyle w:val="Compact"/>
              <w:spacing w:after="0" w:before="0" w:line="240" w:lineRule="auto"/>
              <w:jc w:val="left"/>
            </w:pPr>
            <w:r>
              <w:rPr>
                <w:sz w:val="19"/>
              </w:rPr>
              <w:t xml:space="preserve">Actual low</w:t>
            </w:r>
          </w:p>
        </w:tc>
        <w:tc>
          <w:tcPr>
            <w:tcW w:type="dxa" w:w="2101"/>
          </w:tcPr>
          <w:p>
            <w:pPr>
              <w:pStyle w:val="Compact"/>
              <w:spacing w:after="0" w:before="0" w:line="240" w:lineRule="auto"/>
              <w:jc w:val="left"/>
            </w:pPr>
            <w:r>
              <w:rPr>
                <w:sz w:val="19"/>
              </w:rPr>
              <w:t xml:space="preserve">93,779</w:t>
            </w:r>
          </w:p>
        </w:tc>
        <w:tc>
          <w:tcPr>
            <w:tcW w:type="dxa" w:w="2101"/>
          </w:tcPr>
          <w:p>
            <w:pPr>
              <w:pStyle w:val="Compact"/>
              <w:spacing w:after="0" w:before="0" w:line="240" w:lineRule="auto"/>
              <w:jc w:val="left"/>
            </w:pPr>
            <w:r>
              <w:rPr>
                <w:sz w:val="19"/>
              </w:rPr>
              <w:t xml:space="preserve">4,168</w:t>
            </w:r>
          </w:p>
        </w:tc>
        <w:tc>
          <w:tcPr>
            <w:tcW w:type="dxa" w:w="2101"/>
          </w:tcPr>
          <w:p>
            <w:pPr>
              <w:pStyle w:val="Compact"/>
              <w:spacing w:after="0" w:before="0" w:line="240" w:lineRule="auto"/>
              <w:jc w:val="left"/>
            </w:pPr>
            <w:r>
              <w:rPr>
                <w:sz w:val="19"/>
              </w:rPr>
              <w:t xml:space="preserve">38</w:t>
            </w:r>
          </w:p>
        </w:tc>
      </w:tr>
      <w:tr>
        <w:trPr>
          <w:cantSplit/>
        </w:trPr>
        <w:tc>
          <w:tcPr>
            <w:tcW w:type="dxa" w:w="2882"/>
          </w:tcPr>
          <w:p>
            <w:pPr>
              <w:pStyle w:val="Compact"/>
              <w:spacing w:after="0" w:before="0" w:line="240" w:lineRule="auto"/>
              <w:jc w:val="left"/>
            </w:pPr>
            <w:r>
              <w:rPr>
                <w:sz w:val="19"/>
              </w:rPr>
              <w:t xml:space="preserve">Actual medium</w:t>
            </w:r>
          </w:p>
        </w:tc>
        <w:tc>
          <w:tcPr>
            <w:tcW w:type="dxa" w:w="2101"/>
          </w:tcPr>
          <w:p>
            <w:pPr>
              <w:pStyle w:val="Compact"/>
              <w:spacing w:after="0" w:before="0" w:line="240" w:lineRule="auto"/>
              <w:jc w:val="left"/>
            </w:pPr>
            <w:r>
              <w:rPr>
                <w:sz w:val="19"/>
              </w:rPr>
              <w:t xml:space="preserve">6,950</w:t>
            </w:r>
          </w:p>
        </w:tc>
        <w:tc>
          <w:tcPr>
            <w:tcW w:type="dxa" w:w="2101"/>
          </w:tcPr>
          <w:p>
            <w:pPr>
              <w:pStyle w:val="Compact"/>
              <w:spacing w:after="0" w:before="0" w:line="240" w:lineRule="auto"/>
              <w:jc w:val="left"/>
            </w:pPr>
            <w:r>
              <w:rPr>
                <w:sz w:val="19"/>
              </w:rPr>
              <w:t xml:space="preserve">15,223</w:t>
            </w:r>
          </w:p>
        </w:tc>
        <w:tc>
          <w:tcPr>
            <w:tcW w:type="dxa" w:w="2101"/>
          </w:tcPr>
          <w:p>
            <w:pPr>
              <w:pStyle w:val="Compact"/>
              <w:spacing w:after="0" w:before="0" w:line="240" w:lineRule="auto"/>
              <w:jc w:val="left"/>
            </w:pPr>
            <w:r>
              <w:rPr>
                <w:sz w:val="19"/>
              </w:rPr>
              <w:t xml:space="preserve">1,062</w:t>
            </w:r>
          </w:p>
        </w:tc>
      </w:tr>
      <w:tr>
        <w:trPr>
          <w:cantSplit/>
        </w:trPr>
        <w:tc>
          <w:tcPr>
            <w:tcW w:type="dxa" w:w="2882"/>
          </w:tcPr>
          <w:p>
            <w:pPr>
              <w:pStyle w:val="Compact"/>
              <w:spacing w:after="0" w:before="0" w:line="240" w:lineRule="auto"/>
              <w:jc w:val="left"/>
            </w:pPr>
            <w:r>
              <w:rPr>
                <w:sz w:val="19"/>
              </w:rPr>
              <w:t xml:space="preserve">Actual high</w:t>
            </w:r>
          </w:p>
        </w:tc>
        <w:tc>
          <w:tcPr>
            <w:tcW w:type="dxa" w:w="2101"/>
          </w:tcPr>
          <w:p>
            <w:pPr>
              <w:pStyle w:val="Compact"/>
              <w:spacing w:after="0" w:before="0" w:line="240" w:lineRule="auto"/>
              <w:jc w:val="left"/>
            </w:pPr>
            <w:r>
              <w:rPr>
                <w:sz w:val="19"/>
              </w:rPr>
              <w:t xml:space="preserve">282</w:t>
            </w:r>
          </w:p>
        </w:tc>
        <w:tc>
          <w:tcPr>
            <w:tcW w:type="dxa" w:w="2101"/>
          </w:tcPr>
          <w:p>
            <w:pPr>
              <w:pStyle w:val="Compact"/>
              <w:spacing w:after="0" w:before="0" w:line="240" w:lineRule="auto"/>
              <w:jc w:val="left"/>
            </w:pPr>
            <w:r>
              <w:rPr>
                <w:sz w:val="19"/>
              </w:rPr>
              <w:t xml:space="preserve">2,307</w:t>
            </w:r>
          </w:p>
        </w:tc>
        <w:tc>
          <w:tcPr>
            <w:tcW w:type="dxa" w:w="2101"/>
          </w:tcPr>
          <w:p>
            <w:pPr>
              <w:pStyle w:val="Compact"/>
              <w:spacing w:after="0" w:before="0" w:line="240" w:lineRule="auto"/>
              <w:jc w:val="left"/>
            </w:pPr>
            <w:r>
              <w:rPr>
                <w:sz w:val="19"/>
              </w:rPr>
              <w:t xml:space="preserve">4,046</w:t>
            </w:r>
          </w:p>
        </w:tc>
      </w:tr>
    </w:tbl>
    <w:p>
      <w:pPr>
        <w:pStyle w:val="CaptionedFigure"/>
        <w:spacing w:before="160"/>
      </w:pPr>
      <w:r>
        <w:drawing>
          <wp:inline>
            <wp:extent cx="4800600" cy="2040255"/>
            <wp:effectExtent b="0" l="0" r="0" t="0"/>
            <wp:docPr descr="Figure 6. Macro-F1 of crowding levels under each capacity assumption (test weeks)." title="" id="72" name="Picture"/>
            <a:graphic>
              <a:graphicData uri="http://schemas.openxmlformats.org/drawingml/2006/picture">
                <pic:pic>
                  <pic:nvPicPr>
                    <pic:cNvPr descr="../figures/crowding_macro_f1.png" id="73" name="Picture"/>
                    <pic:cNvPicPr>
                      <a:picLocks noChangeArrowheads="1" noChangeAspect="1"/>
                    </pic:cNvPicPr>
                  </pic:nvPicPr>
                  <pic:blipFill>
                    <a:blip r:embed="rId71"/>
                    <a:stretch>
                      <a:fillRect/>
                    </a:stretch>
                  </pic:blipFill>
                  <pic:spPr bwMode="auto">
                    <a:xfrm>
                      <a:off x="0" y="0"/>
                      <a:ext cx="4800600" cy="2040255"/>
                    </a:xfrm>
                    <a:prstGeom prst="rect">
                      <a:avLst/>
                    </a:prstGeom>
                    <a:noFill/>
                    <a:ln w="9525">
                      <a:noFill/>
                      <a:headEnd/>
                      <a:tailEnd/>
                    </a:ln>
                  </pic:spPr>
                </pic:pic>
              </a:graphicData>
            </a:graphic>
          </wp:inline>
        </w:drawing>
      </w:r>
    </w:p>
    <w:p>
      <w:pPr>
        <w:pStyle w:val="ImageCaption"/>
      </w:pPr>
      <w:r>
        <w:t xml:space="preserve">Figure 6. Macro-F1 of crowding levels under each capacity assumption (test weeks).</w:t>
      </w:r>
    </w:p>
    <w:p>
      <w:pPr>
        <w:pStyle w:val="BodyText"/>
      </w:pPr>
      <w:r>
        <w:rPr>
          <w:b/>
          <w:bCs/>
        </w:rPr>
        <w:t xml:space="preserve">Why macro-F1.</w:t>
      </w:r>
      <w:r>
        <w:t xml:space="preserve"> </w:t>
      </w:r>
      <w:r>
        <w:t xml:space="preserve">The classes are imbalanced: in the base case 76.64% of test route-hours are actually low. For illustration, computed separately from the committed prediction files for this report: a rule that always predicts</w:t>
      </w:r>
      <w:r>
        <w:t xml:space="preserve"> </w:t>
      </w:r>
      <w:r>
        <w:t xml:space="preserve">“</w:t>
      </w:r>
      <w:r>
        <w:t xml:space="preserve">low</w:t>
      </w:r>
      <w:r>
        <w:t xml:space="preserve">”</w:t>
      </w:r>
      <w:r>
        <w:t xml:space="preserve"> </w:t>
      </w:r>
      <w:r>
        <w:t xml:space="preserve">would be 76.6% accurate but have a macro-F1 of only 0.289. Macro-F1 weights the rare medium and high classes equally with the common low class.</w:t>
      </w:r>
    </w:p>
    <w:p>
      <w:pPr>
        <w:pStyle w:val="BodyText"/>
      </w:pPr>
      <w:r>
        <w:rPr>
          <w:b/>
          <w:bCs/>
        </w:rPr>
        <w:t xml:space="preserve">Interpretation.</w:t>
      </w:r>
      <w:r>
        <w:t xml:space="preserve"> </w:t>
      </w:r>
      <w:r>
        <w:t xml:space="preserve">In the base case, when the system flags an hour as high crowding it is right 79% of the time, and it catches 61% of the high hours. Almost all errors are between neighbouring levels (Table 9);</w:t>
      </w:r>
      <w:r>
        <w:t xml:space="preserve"> </w:t>
      </w:r>
      <w:r>
        <w:t xml:space="preserve">“</w:t>
      </w:r>
      <w:r>
        <w:t xml:space="preserve">high</w:t>
      </w:r>
      <w:r>
        <w:t xml:space="preserve">”</w:t>
      </w:r>
      <w:r>
        <w:t xml:space="preserve"> </w:t>
      </w:r>
      <w:r>
        <w:t xml:space="preserve">is mistaken for</w:t>
      </w:r>
      <w:r>
        <w:t xml:space="preserve"> </w:t>
      </w:r>
      <w:r>
        <w:t xml:space="preserve">“</w:t>
      </w:r>
      <w:r>
        <w:t xml:space="preserve">low</w:t>
      </w:r>
      <w:r>
        <w:t xml:space="preserve">”</w:t>
      </w:r>
      <w:r>
        <w:t xml:space="preserve"> </w:t>
      </w:r>
      <w:r>
        <w:t xml:space="preserve">in only 282 hours. As the assumed bus gets larger, high crowding becomes rare (0.51% of hours at capacity 100) and recall drops to 0.250 while precision stays between 0.77 and 0.85. Our interpretation is that the forecast, being half a historical average, smooths towards typical values and rarely reaches the extreme peaks. The final forecast beats the last-week rule in every scenario but is level with the historical average (within 0.003 macro-F1).</w:t>
      </w:r>
      <w:r>
        <w:t xml:space="preserve"> </w:t>
      </w:r>
      <w:r>
        <w:rPr>
          <w:b/>
          <w:bCs/>
        </w:rPr>
        <w:t xml:space="preserve">The crowding results depend strongly on the capacity assumption</w:t>
      </w:r>
      <w:r>
        <w:t xml:space="preserve">, which is why all four scenarios are reported and the dashboard lets the user change it.</w:t>
      </w:r>
    </w:p>
    <w:bookmarkEnd w:id="74"/>
    <w:bookmarkStart w:id="75" w:name="Xf09ec57b6c31baaacf5d80ff8f36f9735e2a412"/>
    <w:p>
      <w:pPr>
        <w:pStyle w:val="Heading2"/>
      </w:pPr>
      <w:r>
        <w:t xml:space="preserve">7.3 Planning use: a daily crowding alert list (measured)</w:t>
      </w:r>
    </w:p>
    <w:p>
      <w:pPr>
        <w:pStyle w:val="FirstParagraph"/>
      </w:pPr>
      <w:r>
        <w:t xml:space="preserve">A planner cannot inspect thousands of route-hours a day. We therefore evaluated a simple use: each test day, list the</w:t>
      </w:r>
      <w:r>
        <w:t xml:space="preserve"> </w:t>
      </w:r>
      <w:r>
        <w:rPr>
          <w:i/>
          <w:iCs/>
        </w:rPr>
        <w:t xml:space="preserve">K</w:t>
      </w:r>
      <w:r>
        <w:t xml:space="preserve"> </w:t>
      </w:r>
      <w:r>
        <w:t xml:space="preserve">route-hours with the highest forecast estimated load, and measure the share that really were high crowding (at capacity 70), averaged over the 14 test days. The median test day had 580 actually high route-hours.</w:t>
      </w:r>
    </w:p>
    <w:p>
      <w:pPr>
        <w:pStyle w:val="BodyText"/>
        <w:keepNext/>
      </w:pPr>
      <w:r>
        <w:rPr>
          <w:b/>
          <w:bCs/>
        </w:rPr>
        <w:t xml:space="preserve">Table 10. Precision of the daily top-K alert list (test).</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1283"/>
        <w:gridCol w:w="2633"/>
        <w:gridCol w:w="3173"/>
        <w:gridCol w:w="2093"/>
      </w:tblGrid>
      <w:tr>
        <w:trPr>
          <w:tblHeader w:val="true"/>
          <w:cantSplit/>
          <w:tblHeader/>
        </w:trPr>
        <w:tc>
          <w:tcPr>
            <w:tcW w:type="dxa" w:w="1283"/>
            <w:shd w:val="clear" w:color="auto" w:fill="DCE3F0"/>
          </w:tcPr>
          <w:p>
            <w:pPr>
              <w:pStyle w:val="Compact"/>
              <w:spacing w:after="0" w:before="0" w:line="240" w:lineRule="auto"/>
              <w:jc w:val="left"/>
            </w:pPr>
            <w:r>
              <w:rPr>
                <w:b/>
                <w:sz w:val="19"/>
              </w:rPr>
              <w:t xml:space="preserve">K per day</w:t>
            </w:r>
          </w:p>
        </w:tc>
        <w:tc>
          <w:tcPr>
            <w:tcW w:type="dxa" w:w="2634"/>
            <w:shd w:val="clear" w:color="auto" w:fill="DCE3F0"/>
          </w:tcPr>
          <w:p>
            <w:pPr>
              <w:pStyle w:val="Compact"/>
              <w:spacing w:after="0" w:before="0" w:line="240" w:lineRule="auto"/>
              <w:jc w:val="left"/>
            </w:pPr>
            <w:r>
              <w:rPr>
                <w:b/>
                <w:sz w:val="19"/>
              </w:rPr>
              <w:t xml:space="preserve">Final forecast</w:t>
            </w:r>
          </w:p>
        </w:tc>
        <w:tc>
          <w:tcPr>
            <w:tcW w:type="dxa" w:w="3174"/>
            <w:shd w:val="clear" w:color="auto" w:fill="DCE3F0"/>
          </w:tcPr>
          <w:p>
            <w:pPr>
              <w:pStyle w:val="Compact"/>
              <w:spacing w:after="0" w:before="0" w:line="240" w:lineRule="auto"/>
              <w:jc w:val="left"/>
            </w:pPr>
            <w:r>
              <w:rPr>
                <w:b/>
                <w:sz w:val="19"/>
              </w:rPr>
              <w:t xml:space="preserve">Historical average</w:t>
            </w:r>
          </w:p>
        </w:tc>
        <w:tc>
          <w:tcPr>
            <w:tcW w:type="dxa" w:w="2093"/>
            <w:shd w:val="clear" w:color="auto" w:fill="DCE3F0"/>
          </w:tcPr>
          <w:p>
            <w:pPr>
              <w:pStyle w:val="Compact"/>
              <w:spacing w:after="0" w:before="0" w:line="240" w:lineRule="auto"/>
              <w:jc w:val="left"/>
            </w:pPr>
            <w:r>
              <w:rPr>
                <w:b/>
                <w:sz w:val="19"/>
              </w:rPr>
              <w:t xml:space="preserve">Same hour last week</w:t>
            </w:r>
          </w:p>
        </w:tc>
      </w:tr>
      <w:tr>
        <w:trPr>
          <w:cantSplit/>
        </w:trPr>
        <w:tc>
          <w:tcPr>
            <w:tcW w:type="dxa" w:w="1283"/>
          </w:tcPr>
          <w:p>
            <w:pPr>
              <w:pStyle w:val="Compact"/>
              <w:spacing w:after="0" w:before="0" w:line="240" w:lineRule="auto"/>
              <w:jc w:val="left"/>
            </w:pPr>
            <w:r>
              <w:rPr>
                <w:sz w:val="19"/>
              </w:rPr>
              <w:t xml:space="preserve">25</w:t>
            </w:r>
          </w:p>
        </w:tc>
        <w:tc>
          <w:tcPr>
            <w:tcW w:type="dxa" w:w="2634"/>
          </w:tcPr>
          <w:p>
            <w:pPr>
              <w:pStyle w:val="Compact"/>
              <w:spacing w:after="0" w:before="0" w:line="240" w:lineRule="auto"/>
              <w:jc w:val="left"/>
            </w:pPr>
            <w:r>
              <w:rPr>
                <w:sz w:val="19"/>
              </w:rPr>
              <w:t xml:space="preserve">96.00%</w:t>
            </w:r>
          </w:p>
        </w:tc>
        <w:tc>
          <w:tcPr>
            <w:tcW w:type="dxa" w:w="3174"/>
          </w:tcPr>
          <w:p>
            <w:pPr>
              <w:pStyle w:val="Compact"/>
              <w:spacing w:after="0" w:before="0" w:line="240" w:lineRule="auto"/>
              <w:jc w:val="left"/>
            </w:pPr>
            <w:r>
              <w:rPr>
                <w:sz w:val="19"/>
              </w:rPr>
              <w:t xml:space="preserve">94.00%</w:t>
            </w:r>
          </w:p>
        </w:tc>
        <w:tc>
          <w:tcPr>
            <w:tcW w:type="dxa" w:w="2093"/>
          </w:tcPr>
          <w:p>
            <w:pPr>
              <w:pStyle w:val="Compact"/>
              <w:spacing w:after="0" w:before="0" w:line="240" w:lineRule="auto"/>
              <w:jc w:val="left"/>
            </w:pPr>
            <w:r>
              <w:rPr>
                <w:sz w:val="19"/>
              </w:rPr>
              <w:t xml:space="preserve">83.71%</w:t>
            </w:r>
          </w:p>
        </w:tc>
      </w:tr>
      <w:tr>
        <w:trPr>
          <w:cantSplit/>
        </w:trPr>
        <w:tc>
          <w:tcPr>
            <w:tcW w:type="dxa" w:w="1283"/>
          </w:tcPr>
          <w:p>
            <w:pPr>
              <w:pStyle w:val="Compact"/>
              <w:spacing w:after="0" w:before="0" w:line="240" w:lineRule="auto"/>
              <w:jc w:val="left"/>
            </w:pPr>
            <w:r>
              <w:rPr>
                <w:sz w:val="19"/>
              </w:rPr>
              <w:t xml:space="preserve">50</w:t>
            </w:r>
          </w:p>
        </w:tc>
        <w:tc>
          <w:tcPr>
            <w:tcW w:type="dxa" w:w="2634"/>
          </w:tcPr>
          <w:p>
            <w:pPr>
              <w:pStyle w:val="Compact"/>
              <w:spacing w:after="0" w:before="0" w:line="240" w:lineRule="auto"/>
              <w:jc w:val="left"/>
            </w:pPr>
            <w:r>
              <w:rPr>
                <w:sz w:val="19"/>
              </w:rPr>
              <w:t xml:space="preserve">92.14%</w:t>
            </w:r>
          </w:p>
        </w:tc>
        <w:tc>
          <w:tcPr>
            <w:tcW w:type="dxa" w:w="3174"/>
          </w:tcPr>
          <w:p>
            <w:pPr>
              <w:pStyle w:val="Compact"/>
              <w:spacing w:after="0" w:before="0" w:line="240" w:lineRule="auto"/>
              <w:jc w:val="left"/>
            </w:pPr>
            <w:r>
              <w:rPr>
                <w:sz w:val="19"/>
              </w:rPr>
              <w:t xml:space="preserve">91.43%</w:t>
            </w:r>
          </w:p>
        </w:tc>
        <w:tc>
          <w:tcPr>
            <w:tcW w:type="dxa" w:w="2093"/>
          </w:tcPr>
          <w:p>
            <w:pPr>
              <w:pStyle w:val="Compact"/>
              <w:spacing w:after="0" w:before="0" w:line="240" w:lineRule="auto"/>
              <w:jc w:val="left"/>
            </w:pPr>
            <w:r>
              <w:rPr>
                <w:sz w:val="19"/>
              </w:rPr>
              <w:t xml:space="preserve">78.57%</w:t>
            </w:r>
          </w:p>
        </w:tc>
      </w:tr>
      <w:tr>
        <w:trPr>
          <w:cantSplit/>
        </w:trPr>
        <w:tc>
          <w:tcPr>
            <w:tcW w:type="dxa" w:w="1283"/>
          </w:tcPr>
          <w:p>
            <w:pPr>
              <w:pStyle w:val="Compact"/>
              <w:spacing w:after="0" w:before="0" w:line="240" w:lineRule="auto"/>
              <w:jc w:val="left"/>
            </w:pPr>
            <w:r>
              <w:rPr>
                <w:sz w:val="19"/>
              </w:rPr>
              <w:t xml:space="preserve">100</w:t>
            </w:r>
          </w:p>
        </w:tc>
        <w:tc>
          <w:tcPr>
            <w:tcW w:type="dxa" w:w="2634"/>
          </w:tcPr>
          <w:p>
            <w:pPr>
              <w:pStyle w:val="Compact"/>
              <w:spacing w:after="0" w:before="0" w:line="240" w:lineRule="auto"/>
              <w:jc w:val="left"/>
            </w:pPr>
            <w:r>
              <w:rPr>
                <w:sz w:val="19"/>
              </w:rPr>
              <w:t xml:space="preserve">87.07%</w:t>
            </w:r>
          </w:p>
        </w:tc>
        <w:tc>
          <w:tcPr>
            <w:tcW w:type="dxa" w:w="3174"/>
          </w:tcPr>
          <w:p>
            <w:pPr>
              <w:pStyle w:val="Compact"/>
              <w:spacing w:after="0" w:before="0" w:line="240" w:lineRule="auto"/>
              <w:jc w:val="left"/>
            </w:pPr>
            <w:r>
              <w:rPr>
                <w:sz w:val="19"/>
              </w:rPr>
              <w:t xml:space="preserve">87.50%</w:t>
            </w:r>
          </w:p>
        </w:tc>
        <w:tc>
          <w:tcPr>
            <w:tcW w:type="dxa" w:w="2093"/>
          </w:tcPr>
          <w:p>
            <w:pPr>
              <w:pStyle w:val="Compact"/>
              <w:spacing w:after="0" w:before="0" w:line="240" w:lineRule="auto"/>
              <w:jc w:val="left"/>
            </w:pPr>
            <w:r>
              <w:rPr>
                <w:sz w:val="19"/>
              </w:rPr>
              <w:t xml:space="preserve">74.36%</w:t>
            </w:r>
          </w:p>
        </w:tc>
      </w:tr>
    </w:tbl>
    <w:p>
      <w:pPr>
        <w:pStyle w:val="BodyText"/>
        <w:spacing w:before="160"/>
      </w:pPr>
      <w:r>
        <w:t xml:space="preserve">For a daily list of 50 hours, 92.1% of the flagged hours were genuinely high crowding, against 78.6% with the last-week rule. The final forecast and the historical average are again close: their precision differs by at most 2.0 percentage points at K = 25, 50 or 100. The clear gain is over the last-week rule.</w:t>
      </w:r>
    </w:p>
    <w:bookmarkEnd w:id="75"/>
    <w:bookmarkEnd w:id="76"/>
    <w:bookmarkStart w:id="80" w:name="prediction-intervals-and-uncertainty"/>
    <w:p>
      <w:pPr>
        <w:pStyle w:val="Heading1"/>
      </w:pPr>
      <w:r>
        <w:t xml:space="preserve">8. Prediction intervals and uncertainty</w:t>
      </w:r>
    </w:p>
    <w:bookmarkStart w:id="77" w:name="overall-coverage-measured"/>
    <w:p>
      <w:pPr>
        <w:pStyle w:val="Heading2"/>
      </w:pPr>
      <w:r>
        <w:t xml:space="preserve">8.1 Overall coverage (measured)</w:t>
      </w:r>
    </w:p>
    <w:p>
      <w:pPr>
        <w:pStyle w:val="FirstParagraph"/>
        <w:keepNext/>
      </w:pPr>
      <w:r>
        <w:rPr>
          <w:b/>
          <w:bCs/>
        </w:rPr>
        <w:t xml:space="preserve">Table 11. 80% prediction intervals on the test weeks.</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2234"/>
        <w:gridCol w:w="1382"/>
        <w:gridCol w:w="1666"/>
        <w:gridCol w:w="2375"/>
        <w:gridCol w:w="1524"/>
      </w:tblGrid>
      <w:tr>
        <w:trPr>
          <w:tblHeader w:val="true"/>
          <w:cantSplit/>
          <w:tblHeader/>
        </w:trPr>
        <w:tc>
          <w:tcPr>
            <w:tcW w:type="dxa" w:w="2234"/>
            <w:shd w:val="clear" w:color="auto" w:fill="DCE3F0"/>
          </w:tcPr>
          <w:p>
            <w:pPr>
              <w:pStyle w:val="Compact"/>
              <w:spacing w:after="0" w:before="0" w:line="240" w:lineRule="auto"/>
              <w:jc w:val="left"/>
            </w:pPr>
            <w:r>
              <w:rPr>
                <w:b/>
                <w:sz w:val="19"/>
              </w:rPr>
              <w:t xml:space="preserve">Target</w:t>
            </w:r>
          </w:p>
        </w:tc>
        <w:tc>
          <w:tcPr>
            <w:tcW w:type="dxa" w:w="1383"/>
            <w:shd w:val="clear" w:color="auto" w:fill="DCE3F0"/>
          </w:tcPr>
          <w:p>
            <w:pPr>
              <w:pStyle w:val="Compact"/>
              <w:spacing w:after="0" w:before="0" w:line="240" w:lineRule="auto"/>
              <w:jc w:val="left"/>
            </w:pPr>
            <w:r>
              <w:rPr>
                <w:b/>
                <w:sz w:val="19"/>
              </w:rPr>
              <w:t xml:space="preserve">Raw coverage</w:t>
            </w:r>
          </w:p>
        </w:tc>
        <w:tc>
          <w:tcPr>
            <w:tcW w:type="dxa" w:w="1667"/>
            <w:shd w:val="clear" w:color="auto" w:fill="DCE3F0"/>
          </w:tcPr>
          <w:p>
            <w:pPr>
              <w:pStyle w:val="Compact"/>
              <w:spacing w:after="0" w:before="0" w:line="240" w:lineRule="auto"/>
              <w:jc w:val="left"/>
            </w:pPr>
            <w:r>
              <w:rPr>
                <w:b/>
                <w:sz w:val="19"/>
              </w:rPr>
              <w:t xml:space="preserve">Calibrated coverage</w:t>
            </w:r>
          </w:p>
        </w:tc>
        <w:tc>
          <w:tcPr>
            <w:tcW w:type="dxa" w:w="2376"/>
            <w:shd w:val="clear" w:color="auto" w:fill="DCE3F0"/>
          </w:tcPr>
          <w:p>
            <w:pPr>
              <w:pStyle w:val="Compact"/>
              <w:spacing w:after="0" w:before="0" w:line="240" w:lineRule="auto"/>
              <w:jc w:val="left"/>
            </w:pPr>
            <w:r>
              <w:rPr>
                <w:b/>
                <w:sz w:val="19"/>
              </w:rPr>
              <w:t xml:space="preserve">Mean width (calibrated)</w:t>
            </w:r>
          </w:p>
        </w:tc>
        <w:tc>
          <w:tcPr>
            <w:tcW w:type="dxa" w:w="1525"/>
            <w:shd w:val="clear" w:color="auto" w:fill="DCE3F0"/>
          </w:tcPr>
          <w:p>
            <w:pPr>
              <w:pStyle w:val="Compact"/>
              <w:spacing w:after="0" w:before="0" w:line="240" w:lineRule="auto"/>
              <w:jc w:val="left"/>
            </w:pPr>
            <w:r>
              <w:rPr>
                <w:b/>
                <w:sz w:val="19"/>
              </w:rPr>
              <w:t xml:space="preserve">Conformal margin</w:t>
            </w:r>
          </w:p>
        </w:tc>
      </w:tr>
      <w:tr>
        <w:trPr>
          <w:cantSplit/>
        </w:trPr>
        <w:tc>
          <w:tcPr>
            <w:tcW w:type="dxa" w:w="2234"/>
          </w:tcPr>
          <w:p>
            <w:pPr>
              <w:pStyle w:val="Compact"/>
              <w:spacing w:after="0" w:before="0" w:line="240" w:lineRule="auto"/>
              <w:jc w:val="left"/>
            </w:pPr>
            <w:r>
              <w:rPr>
                <w:sz w:val="19"/>
              </w:rPr>
              <w:t xml:space="preserve">Demand</w:t>
            </w:r>
          </w:p>
        </w:tc>
        <w:tc>
          <w:tcPr>
            <w:tcW w:type="dxa" w:w="1383"/>
          </w:tcPr>
          <w:p>
            <w:pPr>
              <w:pStyle w:val="Compact"/>
              <w:spacing w:after="0" w:before="0" w:line="240" w:lineRule="auto"/>
              <w:jc w:val="left"/>
            </w:pPr>
            <w:r>
              <w:rPr>
                <w:sz w:val="19"/>
              </w:rPr>
              <w:t xml:space="preserve">78.93%</w:t>
            </w:r>
          </w:p>
        </w:tc>
        <w:tc>
          <w:tcPr>
            <w:tcW w:type="dxa" w:w="1667"/>
          </w:tcPr>
          <w:p>
            <w:pPr>
              <w:pStyle w:val="Compact"/>
              <w:spacing w:after="0" w:before="0" w:line="240" w:lineRule="auto"/>
              <w:jc w:val="left"/>
            </w:pPr>
            <w:r>
              <w:rPr>
                <w:sz w:val="19"/>
              </w:rPr>
              <w:t xml:space="preserve">80.39%</w:t>
            </w:r>
          </w:p>
        </w:tc>
        <w:tc>
          <w:tcPr>
            <w:tcW w:type="dxa" w:w="2376"/>
          </w:tcPr>
          <w:p>
            <w:pPr>
              <w:pStyle w:val="Compact"/>
              <w:spacing w:after="0" w:before="0" w:line="240" w:lineRule="auto"/>
              <w:jc w:val="left"/>
            </w:pPr>
            <w:r>
              <w:rPr>
                <w:sz w:val="19"/>
              </w:rPr>
              <w:t xml:space="preserve">59.6 boardings</w:t>
            </w:r>
          </w:p>
        </w:tc>
        <w:tc>
          <w:tcPr>
            <w:tcW w:type="dxa" w:w="1525"/>
          </w:tcPr>
          <w:p>
            <w:pPr>
              <w:pStyle w:val="Compact"/>
              <w:spacing w:after="0" w:before="0" w:line="240" w:lineRule="auto"/>
              <w:jc w:val="left"/>
            </w:pPr>
            <w:r>
              <w:rPr>
                <w:sz w:val="19"/>
              </w:rPr>
              <w:t xml:space="preserve">0.00</w:t>
            </w:r>
          </w:p>
        </w:tc>
      </w:tr>
      <w:tr>
        <w:trPr>
          <w:cantSplit/>
        </w:trPr>
        <w:tc>
          <w:tcPr>
            <w:tcW w:type="dxa" w:w="2234"/>
          </w:tcPr>
          <w:p>
            <w:pPr>
              <w:pStyle w:val="Compact"/>
              <w:spacing w:after="0" w:before="0" w:line="240" w:lineRule="auto"/>
              <w:jc w:val="left"/>
            </w:pPr>
            <w:r>
              <w:rPr>
                <w:sz w:val="19"/>
              </w:rPr>
              <w:t xml:space="preserve">Estimated load</w:t>
            </w:r>
          </w:p>
        </w:tc>
        <w:tc>
          <w:tcPr>
            <w:tcW w:type="dxa" w:w="1383"/>
          </w:tcPr>
          <w:p>
            <w:pPr>
              <w:pStyle w:val="Compact"/>
              <w:spacing w:after="0" w:before="0" w:line="240" w:lineRule="auto"/>
              <w:jc w:val="left"/>
            </w:pPr>
            <w:r>
              <w:rPr>
                <w:sz w:val="19"/>
              </w:rPr>
              <w:t xml:space="preserve">79.30%</w:t>
            </w:r>
          </w:p>
        </w:tc>
        <w:tc>
          <w:tcPr>
            <w:tcW w:type="dxa" w:w="1667"/>
          </w:tcPr>
          <w:p>
            <w:pPr>
              <w:pStyle w:val="Compact"/>
              <w:spacing w:after="0" w:before="0" w:line="240" w:lineRule="auto"/>
              <w:jc w:val="left"/>
            </w:pPr>
            <w:r>
              <w:rPr>
                <w:sz w:val="19"/>
              </w:rPr>
              <w:t xml:space="preserve">79.30%</w:t>
            </w:r>
          </w:p>
        </w:tc>
        <w:tc>
          <w:tcPr>
            <w:tcW w:type="dxa" w:w="2376"/>
          </w:tcPr>
          <w:p>
            <w:pPr>
              <w:pStyle w:val="Compact"/>
              <w:spacing w:after="0" w:before="0" w:line="240" w:lineRule="auto"/>
              <w:jc w:val="left"/>
            </w:pPr>
            <w:r>
              <w:rPr>
                <w:sz w:val="19"/>
              </w:rPr>
              <w:t xml:space="preserve">15.2 passengers</w:t>
            </w:r>
          </w:p>
        </w:tc>
        <w:tc>
          <w:tcPr>
            <w:tcW w:type="dxa" w:w="1525"/>
          </w:tcPr>
          <w:p>
            <w:pPr>
              <w:pStyle w:val="Compact"/>
              <w:spacing w:after="0" w:before="0" w:line="240" w:lineRule="auto"/>
              <w:jc w:val="left"/>
            </w:pPr>
            <w:r>
              <w:rPr>
                <w:sz w:val="19"/>
              </w:rPr>
              <w:t xml:space="preserve">0.00</w:t>
            </w:r>
          </w:p>
        </w:tc>
      </w:tr>
    </w:tbl>
    <w:p>
      <w:pPr>
        <w:pStyle w:val="BodyText"/>
        <w:spacing w:before="160"/>
      </w:pPr>
      <w:r>
        <w:t xml:space="preserve">On validation the raw quantile models already covered 79.21% (demand) and 80.38% (load), so the conformal margin is almost zero. For demand, even that tiny margin moves about 1.5% of test hours inside the interval; almost all are hours with zero boardings whose raw lower bound was just above zero. The intervals are wide for busy route-hours (about 60 boardings on average), which is the honest uncertainty of an hourly route forecast.</w:t>
      </w:r>
    </w:p>
    <w:p>
      <w:pPr>
        <w:pStyle w:val="BodyText"/>
      </w:pPr>
      <w:r>
        <w:t xml:space="preserve">An 80% interval is a long-run coverage rate over many route-hours. It is not a guarantee for any particular route or hour. Validation was used both for early stopping of the quantile models and for the margin, so the calibration is not perfectly independent; the test coverage is the honest check.</w:t>
      </w:r>
    </w:p>
    <w:bookmarkEnd w:id="77"/>
    <w:bookmarkStart w:id="78" w:name="X9f1e35c061525c54b88ed7cf64daf1c692d79a3"/>
    <w:p>
      <w:pPr>
        <w:pStyle w:val="Heading2"/>
      </w:pPr>
      <w:r>
        <w:t xml:space="preserve">8.2 Coverage by period: the night-time limitation</w:t>
      </w:r>
    </w:p>
    <w:p>
      <w:pPr>
        <w:pStyle w:val="FirstParagraph"/>
        <w:keepNext/>
      </w:pPr>
      <w:r>
        <w:rPr>
          <w:b/>
          <w:bCs/>
        </w:rPr>
        <w:t xml:space="preserve">Table 12. Calibrated coverage by period of day and day type.</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1459"/>
        <w:gridCol w:w="822"/>
        <w:gridCol w:w="822"/>
        <w:gridCol w:w="822"/>
        <w:gridCol w:w="822"/>
        <w:gridCol w:w="822"/>
        <w:gridCol w:w="929"/>
        <w:gridCol w:w="822"/>
        <w:gridCol w:w="929"/>
        <w:gridCol w:w="929"/>
      </w:tblGrid>
      <w:tr>
        <w:trPr>
          <w:tblHeader w:val="true"/>
          <w:cantSplit/>
          <w:tblHeader/>
        </w:trPr>
        <w:tc>
          <w:tcPr>
            <w:tcW w:type="dxa" w:w="1460"/>
            <w:shd w:val="clear" w:color="auto" w:fill="DCE3F0"/>
          </w:tcPr>
          <w:p>
            <w:pPr>
              <w:pStyle w:val="Compact"/>
              <w:spacing w:after="0" w:before="0" w:line="240" w:lineRule="auto"/>
              <w:jc w:val="left"/>
            </w:pPr>
            <w:r>
              <w:rPr>
                <w:b/>
                <w:sz w:val="19"/>
              </w:rPr>
              <w:t xml:space="preserve">Target</w:t>
            </w:r>
          </w:p>
        </w:tc>
        <w:tc>
          <w:tcPr>
            <w:tcW w:type="dxa" w:w="823"/>
            <w:shd w:val="clear" w:color="auto" w:fill="DCE3F0"/>
          </w:tcPr>
          <w:p>
            <w:pPr>
              <w:pStyle w:val="Compact"/>
              <w:spacing w:after="0" w:before="0" w:line="240" w:lineRule="auto"/>
              <w:jc w:val="left"/>
            </w:pPr>
            <w:r>
              <w:rPr>
                <w:b/>
                <w:sz w:val="19"/>
              </w:rPr>
              <w:t xml:space="preserve">All</w:t>
            </w:r>
          </w:p>
        </w:tc>
        <w:tc>
          <w:tcPr>
            <w:tcW w:type="dxa" w:w="823"/>
            <w:shd w:val="clear" w:color="auto" w:fill="DCE3F0"/>
          </w:tcPr>
          <w:p>
            <w:pPr>
              <w:pStyle w:val="Compact"/>
              <w:spacing w:after="0" w:before="0" w:line="240" w:lineRule="auto"/>
              <w:jc w:val="left"/>
            </w:pPr>
            <w:r>
              <w:rPr>
                <w:b/>
                <w:sz w:val="19"/>
              </w:rPr>
              <w:t xml:space="preserve">Early 03–05</w:t>
            </w:r>
          </w:p>
        </w:tc>
        <w:tc>
          <w:tcPr>
            <w:tcW w:type="dxa" w:w="823"/>
            <w:shd w:val="clear" w:color="auto" w:fill="DCE3F0"/>
          </w:tcPr>
          <w:p>
            <w:pPr>
              <w:pStyle w:val="Compact"/>
              <w:spacing w:after="0" w:before="0" w:line="240" w:lineRule="auto"/>
              <w:jc w:val="left"/>
            </w:pPr>
            <w:r>
              <w:rPr>
                <w:b/>
                <w:sz w:val="19"/>
              </w:rPr>
              <w:t xml:space="preserve">AM peak 06–08</w:t>
            </w:r>
          </w:p>
        </w:tc>
        <w:tc>
          <w:tcPr>
            <w:tcW w:type="dxa" w:w="823"/>
            <w:shd w:val="clear" w:color="auto" w:fill="DCE3F0"/>
          </w:tcPr>
          <w:p>
            <w:pPr>
              <w:pStyle w:val="Compact"/>
              <w:spacing w:after="0" w:before="0" w:line="240" w:lineRule="auto"/>
              <w:jc w:val="left"/>
            </w:pPr>
            <w:r>
              <w:rPr>
                <w:b/>
                <w:sz w:val="19"/>
              </w:rPr>
              <w:t xml:space="preserve">Midday 09–15</w:t>
            </w:r>
          </w:p>
        </w:tc>
        <w:tc>
          <w:tcPr>
            <w:tcW w:type="dxa" w:w="823"/>
            <w:shd w:val="clear" w:color="auto" w:fill="DCE3F0"/>
          </w:tcPr>
          <w:p>
            <w:pPr>
              <w:pStyle w:val="Compact"/>
              <w:spacing w:after="0" w:before="0" w:line="240" w:lineRule="auto"/>
              <w:jc w:val="left"/>
            </w:pPr>
            <w:r>
              <w:rPr>
                <w:b/>
                <w:sz w:val="19"/>
              </w:rPr>
              <w:t xml:space="preserve">PM peak 16–19</w:t>
            </w:r>
          </w:p>
        </w:tc>
        <w:tc>
          <w:tcPr>
            <w:tcW w:type="dxa" w:w="929"/>
            <w:shd w:val="clear" w:color="auto" w:fill="DCE3F0"/>
          </w:tcPr>
          <w:p>
            <w:pPr>
              <w:pStyle w:val="Compact"/>
              <w:spacing w:after="0" w:before="0" w:line="240" w:lineRule="auto"/>
              <w:jc w:val="left"/>
            </w:pPr>
            <w:r>
              <w:rPr>
                <w:b/>
                <w:sz w:val="19"/>
              </w:rPr>
              <w:t xml:space="preserve">Evening 20–23</w:t>
            </w:r>
          </w:p>
        </w:tc>
        <w:tc>
          <w:tcPr>
            <w:tcW w:type="dxa" w:w="823"/>
            <w:shd w:val="clear" w:color="auto" w:fill="DCE3F0"/>
          </w:tcPr>
          <w:p>
            <w:pPr>
              <w:pStyle w:val="Compact"/>
              <w:spacing w:after="0" w:before="0" w:line="240" w:lineRule="auto"/>
              <w:jc w:val="left"/>
            </w:pPr>
            <w:r>
              <w:rPr>
                <w:b/>
                <w:sz w:val="19"/>
              </w:rPr>
              <w:t xml:space="preserve">Night 00–02</w:t>
            </w:r>
          </w:p>
        </w:tc>
        <w:tc>
          <w:tcPr>
            <w:tcW w:type="dxa" w:w="929"/>
            <w:shd w:val="clear" w:color="auto" w:fill="DCE3F0"/>
          </w:tcPr>
          <w:p>
            <w:pPr>
              <w:pStyle w:val="Compact"/>
              <w:spacing w:after="0" w:before="0" w:line="240" w:lineRule="auto"/>
              <w:jc w:val="left"/>
            </w:pPr>
            <w:r>
              <w:rPr>
                <w:b/>
                <w:sz w:val="19"/>
              </w:rPr>
              <w:t xml:space="preserve">Weekday</w:t>
            </w:r>
          </w:p>
        </w:tc>
        <w:tc>
          <w:tcPr>
            <w:tcW w:type="dxa" w:w="929"/>
            <w:shd w:val="clear" w:color="auto" w:fill="DCE3F0"/>
          </w:tcPr>
          <w:p>
            <w:pPr>
              <w:pStyle w:val="Compact"/>
              <w:spacing w:after="0" w:before="0" w:line="240" w:lineRule="auto"/>
              <w:jc w:val="left"/>
            </w:pPr>
            <w:r>
              <w:rPr>
                <w:b/>
                <w:sz w:val="19"/>
              </w:rPr>
              <w:t xml:space="preserve">Weekend</w:t>
            </w:r>
          </w:p>
        </w:tc>
      </w:tr>
      <w:tr>
        <w:trPr>
          <w:cantSplit/>
        </w:trPr>
        <w:tc>
          <w:tcPr>
            <w:tcW w:type="dxa" w:w="1460"/>
          </w:tcPr>
          <w:p>
            <w:pPr>
              <w:pStyle w:val="Compact"/>
              <w:spacing w:after="0" w:before="0" w:line="240" w:lineRule="auto"/>
              <w:jc w:val="left"/>
            </w:pPr>
            <w:r>
              <w:rPr>
                <w:sz w:val="19"/>
              </w:rPr>
              <w:t xml:space="preserve">Demand (test)</w:t>
            </w:r>
          </w:p>
        </w:tc>
        <w:tc>
          <w:tcPr>
            <w:tcW w:type="dxa" w:w="823"/>
          </w:tcPr>
          <w:p>
            <w:pPr>
              <w:pStyle w:val="Compact"/>
              <w:spacing w:after="0" w:before="0" w:line="240" w:lineRule="auto"/>
              <w:jc w:val="left"/>
            </w:pPr>
            <w:r>
              <w:rPr>
                <w:sz w:val="19"/>
              </w:rPr>
              <w:t xml:space="preserve">80.39%</w:t>
            </w:r>
          </w:p>
        </w:tc>
        <w:tc>
          <w:tcPr>
            <w:tcW w:type="dxa" w:w="823"/>
          </w:tcPr>
          <w:p>
            <w:pPr>
              <w:pStyle w:val="Compact"/>
              <w:spacing w:after="0" w:before="0" w:line="240" w:lineRule="auto"/>
              <w:jc w:val="left"/>
            </w:pPr>
            <w:r>
              <w:rPr>
                <w:sz w:val="19"/>
              </w:rPr>
              <w:t xml:space="preserve">79.21%</w:t>
            </w:r>
          </w:p>
        </w:tc>
        <w:tc>
          <w:tcPr>
            <w:tcW w:type="dxa" w:w="823"/>
          </w:tcPr>
          <w:p>
            <w:pPr>
              <w:pStyle w:val="Compact"/>
              <w:spacing w:after="0" w:before="0" w:line="240" w:lineRule="auto"/>
              <w:jc w:val="left"/>
            </w:pPr>
            <w:r>
              <w:rPr>
                <w:sz w:val="19"/>
              </w:rPr>
              <w:t xml:space="preserve">79.44%</w:t>
            </w:r>
          </w:p>
        </w:tc>
        <w:tc>
          <w:tcPr>
            <w:tcW w:type="dxa" w:w="823"/>
          </w:tcPr>
          <w:p>
            <w:pPr>
              <w:pStyle w:val="Compact"/>
              <w:spacing w:after="0" w:before="0" w:line="240" w:lineRule="auto"/>
              <w:jc w:val="left"/>
            </w:pPr>
            <w:r>
              <w:rPr>
                <w:sz w:val="19"/>
              </w:rPr>
              <w:t xml:space="preserve">81.36%</w:t>
            </w:r>
          </w:p>
        </w:tc>
        <w:tc>
          <w:tcPr>
            <w:tcW w:type="dxa" w:w="823"/>
          </w:tcPr>
          <w:p>
            <w:pPr>
              <w:pStyle w:val="Compact"/>
              <w:spacing w:after="0" w:before="0" w:line="240" w:lineRule="auto"/>
              <w:jc w:val="left"/>
            </w:pPr>
            <w:r>
              <w:rPr>
                <w:sz w:val="19"/>
              </w:rPr>
              <w:t xml:space="preserve">80.64%</w:t>
            </w:r>
          </w:p>
        </w:tc>
        <w:tc>
          <w:tcPr>
            <w:tcW w:type="dxa" w:w="929"/>
          </w:tcPr>
          <w:p>
            <w:pPr>
              <w:pStyle w:val="Compact"/>
              <w:spacing w:after="0" w:before="0" w:line="240" w:lineRule="auto"/>
              <w:jc w:val="left"/>
            </w:pPr>
            <w:r>
              <w:rPr>
                <w:sz w:val="19"/>
              </w:rPr>
              <w:t xml:space="preserve">79.13%</w:t>
            </w:r>
          </w:p>
        </w:tc>
        <w:tc>
          <w:tcPr>
            <w:tcW w:type="dxa" w:w="823"/>
          </w:tcPr>
          <w:p>
            <w:pPr>
              <w:pStyle w:val="Compact"/>
              <w:spacing w:after="0" w:before="0" w:line="240" w:lineRule="auto"/>
              <w:jc w:val="left"/>
            </w:pPr>
            <w:r>
              <w:rPr>
                <w:sz w:val="19"/>
              </w:rPr>
              <w:t xml:space="preserve">84.26%</w:t>
            </w:r>
          </w:p>
        </w:tc>
        <w:tc>
          <w:tcPr>
            <w:tcW w:type="dxa" w:w="929"/>
          </w:tcPr>
          <w:p>
            <w:pPr>
              <w:pStyle w:val="Compact"/>
              <w:spacing w:after="0" w:before="0" w:line="240" w:lineRule="auto"/>
              <w:jc w:val="left"/>
            </w:pPr>
            <w:r>
              <w:rPr>
                <w:sz w:val="19"/>
              </w:rPr>
              <w:t xml:space="preserve">80.82%</w:t>
            </w:r>
          </w:p>
        </w:tc>
        <w:tc>
          <w:tcPr>
            <w:tcW w:type="dxa" w:w="929"/>
          </w:tcPr>
          <w:p>
            <w:pPr>
              <w:pStyle w:val="Compact"/>
              <w:spacing w:after="0" w:before="0" w:line="240" w:lineRule="auto"/>
              <w:jc w:val="left"/>
            </w:pPr>
            <w:r>
              <w:rPr>
                <w:sz w:val="19"/>
              </w:rPr>
              <w:t xml:space="preserve">79.18%</w:t>
            </w:r>
          </w:p>
        </w:tc>
      </w:tr>
      <w:tr>
        <w:trPr>
          <w:cantSplit/>
        </w:trPr>
        <w:tc>
          <w:tcPr>
            <w:tcW w:type="dxa" w:w="1460"/>
          </w:tcPr>
          <w:p>
            <w:pPr>
              <w:pStyle w:val="Compact"/>
              <w:spacing w:after="0" w:before="0" w:line="240" w:lineRule="auto"/>
              <w:jc w:val="left"/>
            </w:pPr>
            <w:r>
              <w:rPr>
                <w:sz w:val="19"/>
              </w:rPr>
              <w:t xml:space="preserve">Load (test)</w:t>
            </w:r>
          </w:p>
        </w:tc>
        <w:tc>
          <w:tcPr>
            <w:tcW w:type="dxa" w:w="823"/>
          </w:tcPr>
          <w:p>
            <w:pPr>
              <w:pStyle w:val="Compact"/>
              <w:spacing w:after="0" w:before="0" w:line="240" w:lineRule="auto"/>
              <w:jc w:val="left"/>
            </w:pPr>
            <w:r>
              <w:rPr>
                <w:sz w:val="19"/>
              </w:rPr>
              <w:t xml:space="preserve">79.30%</w:t>
            </w:r>
          </w:p>
        </w:tc>
        <w:tc>
          <w:tcPr>
            <w:tcW w:type="dxa" w:w="823"/>
          </w:tcPr>
          <w:p>
            <w:pPr>
              <w:pStyle w:val="Compact"/>
              <w:spacing w:after="0" w:before="0" w:line="240" w:lineRule="auto"/>
              <w:jc w:val="left"/>
            </w:pPr>
            <w:r>
              <w:rPr>
                <w:sz w:val="19"/>
              </w:rPr>
              <w:t xml:space="preserve">79.14%</w:t>
            </w:r>
          </w:p>
        </w:tc>
        <w:tc>
          <w:tcPr>
            <w:tcW w:type="dxa" w:w="823"/>
          </w:tcPr>
          <w:p>
            <w:pPr>
              <w:pStyle w:val="Compact"/>
              <w:spacing w:after="0" w:before="0" w:line="240" w:lineRule="auto"/>
              <w:jc w:val="left"/>
            </w:pPr>
            <w:r>
              <w:rPr>
                <w:sz w:val="19"/>
              </w:rPr>
              <w:t xml:space="preserve">79.79%</w:t>
            </w:r>
          </w:p>
        </w:tc>
        <w:tc>
          <w:tcPr>
            <w:tcW w:type="dxa" w:w="823"/>
          </w:tcPr>
          <w:p>
            <w:pPr>
              <w:pStyle w:val="Compact"/>
              <w:spacing w:after="0" w:before="0" w:line="240" w:lineRule="auto"/>
              <w:jc w:val="left"/>
            </w:pPr>
            <w:r>
              <w:rPr>
                <w:sz w:val="19"/>
              </w:rPr>
              <w:t xml:space="preserve">80.30%</w:t>
            </w:r>
          </w:p>
        </w:tc>
        <w:tc>
          <w:tcPr>
            <w:tcW w:type="dxa" w:w="823"/>
          </w:tcPr>
          <w:p>
            <w:pPr>
              <w:pStyle w:val="Compact"/>
              <w:spacing w:after="0" w:before="0" w:line="240" w:lineRule="auto"/>
              <w:jc w:val="left"/>
            </w:pPr>
            <w:r>
              <w:rPr>
                <w:sz w:val="19"/>
              </w:rPr>
              <w:t xml:space="preserve">80.51%</w:t>
            </w:r>
          </w:p>
        </w:tc>
        <w:tc>
          <w:tcPr>
            <w:tcW w:type="dxa" w:w="929"/>
          </w:tcPr>
          <w:p>
            <w:pPr>
              <w:pStyle w:val="Compact"/>
              <w:spacing w:after="0" w:before="0" w:line="240" w:lineRule="auto"/>
              <w:jc w:val="left"/>
            </w:pPr>
            <w:r>
              <w:rPr>
                <w:sz w:val="19"/>
              </w:rPr>
              <w:t xml:space="preserve">78.02%</w:t>
            </w:r>
          </w:p>
        </w:tc>
        <w:tc>
          <w:tcPr>
            <w:tcW w:type="dxa" w:w="823"/>
          </w:tcPr>
          <w:p>
            <w:pPr>
              <w:pStyle w:val="Compact"/>
              <w:spacing w:after="0" w:before="0" w:line="240" w:lineRule="auto"/>
              <w:jc w:val="left"/>
            </w:pPr>
            <w:r>
              <w:rPr>
                <w:b/>
                <w:bCs/>
                <w:sz w:val="19"/>
              </w:rPr>
              <w:t xml:space="preserve">52.11%</w:t>
            </w:r>
          </w:p>
        </w:tc>
        <w:tc>
          <w:tcPr>
            <w:tcW w:type="dxa" w:w="929"/>
          </w:tcPr>
          <w:p>
            <w:pPr>
              <w:pStyle w:val="Compact"/>
              <w:spacing w:after="0" w:before="0" w:line="240" w:lineRule="auto"/>
              <w:jc w:val="left"/>
            </w:pPr>
            <w:r>
              <w:rPr>
                <w:sz w:val="19"/>
              </w:rPr>
              <w:t xml:space="preserve">79.75%</w:t>
            </w:r>
          </w:p>
        </w:tc>
        <w:tc>
          <w:tcPr>
            <w:tcW w:type="dxa" w:w="929"/>
          </w:tcPr>
          <w:p>
            <w:pPr>
              <w:pStyle w:val="Compact"/>
              <w:spacing w:after="0" w:before="0" w:line="240" w:lineRule="auto"/>
              <w:jc w:val="left"/>
            </w:pPr>
            <w:r>
              <w:rPr>
                <w:sz w:val="19"/>
              </w:rPr>
              <w:t xml:space="preserve">78.02%</w:t>
            </w:r>
          </w:p>
        </w:tc>
      </w:tr>
      <w:tr>
        <w:trPr>
          <w:cantSplit/>
        </w:trPr>
        <w:tc>
          <w:tcPr>
            <w:tcW w:type="dxa" w:w="1460"/>
          </w:tcPr>
          <w:p>
            <w:pPr>
              <w:pStyle w:val="Compact"/>
              <w:spacing w:after="0" w:before="0" w:line="240" w:lineRule="auto"/>
              <w:jc w:val="left"/>
            </w:pPr>
            <w:r>
              <w:rPr>
                <w:sz w:val="19"/>
              </w:rPr>
              <w:t xml:space="preserve">Demand (validation)</w:t>
            </w:r>
          </w:p>
        </w:tc>
        <w:tc>
          <w:tcPr>
            <w:tcW w:type="dxa" w:w="823"/>
          </w:tcPr>
          <w:p>
            <w:pPr>
              <w:pStyle w:val="Compact"/>
              <w:spacing w:after="0" w:before="0" w:line="240" w:lineRule="auto"/>
              <w:jc w:val="left"/>
            </w:pPr>
            <w:r>
              <w:rPr>
                <w:sz w:val="19"/>
              </w:rPr>
              <w:t xml:space="preserve">80.32%</w:t>
            </w:r>
          </w:p>
        </w:tc>
        <w:tc>
          <w:tcPr>
            <w:tcW w:type="dxa" w:w="823"/>
          </w:tcPr>
          <w:p>
            <w:pPr>
              <w:pStyle w:val="Compact"/>
              <w:spacing w:after="0" w:before="0" w:line="240" w:lineRule="auto"/>
              <w:jc w:val="left"/>
            </w:pPr>
            <w:r>
              <w:rPr>
                <w:sz w:val="19"/>
              </w:rPr>
              <w:t xml:space="preserve">81.23%</w:t>
            </w:r>
          </w:p>
        </w:tc>
        <w:tc>
          <w:tcPr>
            <w:tcW w:type="dxa" w:w="823"/>
          </w:tcPr>
          <w:p>
            <w:pPr>
              <w:pStyle w:val="Compact"/>
              <w:spacing w:after="0" w:before="0" w:line="240" w:lineRule="auto"/>
              <w:jc w:val="left"/>
            </w:pPr>
            <w:r>
              <w:rPr>
                <w:sz w:val="19"/>
              </w:rPr>
              <w:t xml:space="preserve">82.65%</w:t>
            </w:r>
          </w:p>
        </w:tc>
        <w:tc>
          <w:tcPr>
            <w:tcW w:type="dxa" w:w="823"/>
          </w:tcPr>
          <w:p>
            <w:pPr>
              <w:pStyle w:val="Compact"/>
              <w:spacing w:after="0" w:before="0" w:line="240" w:lineRule="auto"/>
              <w:jc w:val="left"/>
            </w:pPr>
            <w:r>
              <w:rPr>
                <w:sz w:val="19"/>
              </w:rPr>
              <w:t xml:space="preserve">80.36%</w:t>
            </w:r>
          </w:p>
        </w:tc>
        <w:tc>
          <w:tcPr>
            <w:tcW w:type="dxa" w:w="823"/>
          </w:tcPr>
          <w:p>
            <w:pPr>
              <w:pStyle w:val="Compact"/>
              <w:spacing w:after="0" w:before="0" w:line="240" w:lineRule="auto"/>
              <w:jc w:val="left"/>
            </w:pPr>
            <w:r>
              <w:rPr>
                <w:sz w:val="19"/>
              </w:rPr>
              <w:t xml:space="preserve">79.52%</w:t>
            </w:r>
          </w:p>
        </w:tc>
        <w:tc>
          <w:tcPr>
            <w:tcW w:type="dxa" w:w="929"/>
          </w:tcPr>
          <w:p>
            <w:pPr>
              <w:pStyle w:val="Compact"/>
              <w:spacing w:after="0" w:before="0" w:line="240" w:lineRule="auto"/>
              <w:jc w:val="left"/>
            </w:pPr>
            <w:r>
              <w:rPr>
                <w:sz w:val="19"/>
              </w:rPr>
              <w:t xml:space="preserve">78.39%</w:t>
            </w:r>
          </w:p>
        </w:tc>
        <w:tc>
          <w:tcPr>
            <w:tcW w:type="dxa" w:w="823"/>
          </w:tcPr>
          <w:p>
            <w:pPr>
              <w:pStyle w:val="Compact"/>
              <w:spacing w:after="0" w:before="0" w:line="240" w:lineRule="auto"/>
              <w:jc w:val="left"/>
            </w:pPr>
            <w:r>
              <w:rPr>
                <w:sz w:val="19"/>
              </w:rPr>
              <w:t xml:space="preserve">82.77%</w:t>
            </w:r>
          </w:p>
        </w:tc>
        <w:tc>
          <w:tcPr>
            <w:tcW w:type="dxa" w:w="929"/>
          </w:tcPr>
          <w:p>
            <w:pPr>
              <w:pStyle w:val="Compact"/>
              <w:spacing w:after="0" w:before="0" w:line="240" w:lineRule="auto"/>
              <w:jc w:val="left"/>
            </w:pPr>
            <w:r>
              <w:rPr>
                <w:sz w:val="19"/>
              </w:rPr>
              <w:t xml:space="preserve">80.20%</w:t>
            </w:r>
          </w:p>
        </w:tc>
        <w:tc>
          <w:tcPr>
            <w:tcW w:type="dxa" w:w="929"/>
          </w:tcPr>
          <w:p>
            <w:pPr>
              <w:pStyle w:val="Compact"/>
              <w:spacing w:after="0" w:before="0" w:line="240" w:lineRule="auto"/>
              <w:jc w:val="left"/>
            </w:pPr>
            <w:r>
              <w:rPr>
                <w:sz w:val="19"/>
              </w:rPr>
              <w:t xml:space="preserve">80.69%</w:t>
            </w:r>
          </w:p>
        </w:tc>
      </w:tr>
      <w:tr>
        <w:trPr>
          <w:cantSplit/>
        </w:trPr>
        <w:tc>
          <w:tcPr>
            <w:tcW w:type="dxa" w:w="1460"/>
          </w:tcPr>
          <w:p>
            <w:pPr>
              <w:pStyle w:val="Compact"/>
              <w:spacing w:after="0" w:before="0" w:line="240" w:lineRule="auto"/>
              <w:jc w:val="left"/>
            </w:pPr>
            <w:r>
              <w:rPr>
                <w:sz w:val="19"/>
              </w:rPr>
              <w:t xml:space="preserve">Load (validation)</w:t>
            </w:r>
          </w:p>
        </w:tc>
        <w:tc>
          <w:tcPr>
            <w:tcW w:type="dxa" w:w="823"/>
          </w:tcPr>
          <w:p>
            <w:pPr>
              <w:pStyle w:val="Compact"/>
              <w:spacing w:after="0" w:before="0" w:line="240" w:lineRule="auto"/>
              <w:jc w:val="left"/>
            </w:pPr>
            <w:r>
              <w:rPr>
                <w:sz w:val="19"/>
              </w:rPr>
              <w:t xml:space="preserve">80.38%</w:t>
            </w:r>
          </w:p>
        </w:tc>
        <w:tc>
          <w:tcPr>
            <w:tcW w:type="dxa" w:w="823"/>
          </w:tcPr>
          <w:p>
            <w:pPr>
              <w:pStyle w:val="Compact"/>
              <w:spacing w:after="0" w:before="0" w:line="240" w:lineRule="auto"/>
              <w:jc w:val="left"/>
            </w:pPr>
            <w:r>
              <w:rPr>
                <w:sz w:val="19"/>
              </w:rPr>
              <w:t xml:space="preserve">81.44%</w:t>
            </w:r>
          </w:p>
        </w:tc>
        <w:tc>
          <w:tcPr>
            <w:tcW w:type="dxa" w:w="823"/>
          </w:tcPr>
          <w:p>
            <w:pPr>
              <w:pStyle w:val="Compact"/>
              <w:spacing w:after="0" w:before="0" w:line="240" w:lineRule="auto"/>
              <w:jc w:val="left"/>
            </w:pPr>
            <w:r>
              <w:rPr>
                <w:sz w:val="19"/>
              </w:rPr>
              <w:t xml:space="preserve">83.06%</w:t>
            </w:r>
          </w:p>
        </w:tc>
        <w:tc>
          <w:tcPr>
            <w:tcW w:type="dxa" w:w="823"/>
          </w:tcPr>
          <w:p>
            <w:pPr>
              <w:pStyle w:val="Compact"/>
              <w:spacing w:after="0" w:before="0" w:line="240" w:lineRule="auto"/>
              <w:jc w:val="left"/>
            </w:pPr>
            <w:r>
              <w:rPr>
                <w:sz w:val="19"/>
              </w:rPr>
              <w:t xml:space="preserve">81.89%</w:t>
            </w:r>
          </w:p>
        </w:tc>
        <w:tc>
          <w:tcPr>
            <w:tcW w:type="dxa" w:w="823"/>
          </w:tcPr>
          <w:p>
            <w:pPr>
              <w:pStyle w:val="Compact"/>
              <w:spacing w:after="0" w:before="0" w:line="240" w:lineRule="auto"/>
              <w:jc w:val="left"/>
            </w:pPr>
            <w:r>
              <w:rPr>
                <w:sz w:val="19"/>
              </w:rPr>
              <w:t xml:space="preserve">79.99%</w:t>
            </w:r>
          </w:p>
        </w:tc>
        <w:tc>
          <w:tcPr>
            <w:tcW w:type="dxa" w:w="929"/>
          </w:tcPr>
          <w:p>
            <w:pPr>
              <w:pStyle w:val="Compact"/>
              <w:spacing w:after="0" w:before="0" w:line="240" w:lineRule="auto"/>
              <w:jc w:val="left"/>
            </w:pPr>
            <w:r>
              <w:rPr>
                <w:sz w:val="19"/>
              </w:rPr>
              <w:t xml:space="preserve">77.66%</w:t>
            </w:r>
          </w:p>
        </w:tc>
        <w:tc>
          <w:tcPr>
            <w:tcW w:type="dxa" w:w="823"/>
          </w:tcPr>
          <w:p>
            <w:pPr>
              <w:pStyle w:val="Compact"/>
              <w:spacing w:after="0" w:before="0" w:line="240" w:lineRule="auto"/>
              <w:jc w:val="left"/>
            </w:pPr>
            <w:r>
              <w:rPr>
                <w:b/>
                <w:bCs/>
                <w:sz w:val="19"/>
              </w:rPr>
              <w:t xml:space="preserve">49.86%</w:t>
            </w:r>
          </w:p>
        </w:tc>
        <w:tc>
          <w:tcPr>
            <w:tcW w:type="dxa" w:w="929"/>
          </w:tcPr>
          <w:p>
            <w:pPr>
              <w:pStyle w:val="Compact"/>
              <w:spacing w:after="0" w:before="0" w:line="240" w:lineRule="auto"/>
              <w:jc w:val="left"/>
            </w:pPr>
            <w:r>
              <w:rPr>
                <w:sz w:val="19"/>
              </w:rPr>
              <w:t xml:space="preserve">80.21%</w:t>
            </w:r>
          </w:p>
        </w:tc>
        <w:tc>
          <w:tcPr>
            <w:tcW w:type="dxa" w:w="929"/>
          </w:tcPr>
          <w:p>
            <w:pPr>
              <w:pStyle w:val="Compact"/>
              <w:spacing w:after="0" w:before="0" w:line="240" w:lineRule="auto"/>
              <w:jc w:val="left"/>
            </w:pPr>
            <w:r>
              <w:rPr>
                <w:sz w:val="19"/>
              </w:rPr>
              <w:t xml:space="preserve">80.85%</w:t>
            </w:r>
          </w:p>
        </w:tc>
      </w:tr>
    </w:tbl>
    <w:p>
      <w:pPr>
        <w:pStyle w:val="BodyText"/>
        <w:spacing w:before="160"/>
      </w:pPr>
      <w:r>
        <w:t xml:space="preserve">Demand coverage stays between 79% and 85% in every period.</w:t>
      </w:r>
      <w:r>
        <w:t xml:space="preserve"> </w:t>
      </w:r>
      <w:r>
        <w:rPr>
          <w:b/>
          <w:bCs/>
        </w:rPr>
        <w:t xml:space="preserve">Estimated-load intervals cover only 52.11% of night hours (00:00–02:00; 2,157 test rows)</w:t>
      </w:r>
      <w:r>
        <w:t xml:space="preserve">, far below 80%. In those hours 39.96% of actual values fall</w:t>
      </w:r>
      <w:r>
        <w:t xml:space="preserve"> </w:t>
      </w:r>
      <w:r>
        <w:rPr>
          <w:i/>
          <w:iCs/>
        </w:rPr>
        <w:t xml:space="preserve">below</w:t>
      </w:r>
      <w:r>
        <w:t xml:space="preserve"> </w:t>
      </w:r>
      <w:r>
        <w:t xml:space="preserve">the interval and 7.93% above it; the intervals are narrow (mean width 4.6 passengers). The validation week shows the same gap (49.86%), so it is a property of the method, not of the test weeks.</w:t>
      </w:r>
    </w:p>
    <w:p>
      <w:pPr>
        <w:pStyle w:val="BodyText"/>
      </w:pPr>
      <w:r>
        <w:t xml:space="preserve">The gap was noticed only after the test scoring. A plausible fix is to calibrate a separate conformal margin for each period of the day on the validation week. Applying it now would be a third look at the test weeks, so it has</w:t>
      </w:r>
      <w:r>
        <w:t xml:space="preserve"> </w:t>
      </w:r>
      <w:r>
        <w:rPr>
          <w:b/>
          <w:bCs/>
        </w:rPr>
        <w:t xml:space="preserve">not</w:t>
      </w:r>
      <w:r>
        <w:t xml:space="preserve"> </w:t>
      </w:r>
      <w:r>
        <w:t xml:space="preserve">been done; it is reported as a limitation and left as a team decision (D13). Night hours are a small share of all route-hours, but a planner should not trust the night-time load ranges as 80% ranges.</w:t>
      </w:r>
    </w:p>
    <w:bookmarkEnd w:id="78"/>
    <w:bookmarkStart w:id="79" w:name="other-sources-of-uncertainty"/>
    <w:p>
      <w:pPr>
        <w:pStyle w:val="Heading2"/>
      </w:pPr>
      <w:r>
        <w:t xml:space="preserve">8.3 Other sources of uncertainty</w:t>
      </w:r>
    </w:p>
    <w:p>
      <w:pPr>
        <w:pStyle w:val="Compact"/>
        <w:numPr>
          <w:ilvl w:val="0"/>
          <w:numId w:val="1011"/>
        </w:numPr>
      </w:pPr>
      <w:r>
        <w:rPr>
          <w:b/>
          <w:bCs/>
        </w:rPr>
        <w:t xml:space="preserve">Label uncertainty:</w:t>
      </w:r>
      <w:r>
        <w:t xml:space="preserve"> </w:t>
      </w:r>
      <w:r>
        <w:t xml:space="preserve">load is inferred by trip chaining, so even the</w:t>
      </w:r>
      <w:r>
        <w:t xml:space="preserve"> </w:t>
      </w:r>
      <w:r>
        <w:t xml:space="preserve">“</w:t>
      </w:r>
      <w:r>
        <w:t xml:space="preserve">actual</w:t>
      </w:r>
      <w:r>
        <w:t xml:space="preserve">”</w:t>
      </w:r>
      <w:r>
        <w:t xml:space="preserve"> </w:t>
      </w:r>
      <w:r>
        <w:t xml:space="preserve">values are estimates.</w:t>
      </w:r>
    </w:p>
    <w:p>
      <w:pPr>
        <w:pStyle w:val="Compact"/>
        <w:numPr>
          <w:ilvl w:val="0"/>
          <w:numId w:val="1011"/>
        </w:numPr>
      </w:pPr>
      <w:r>
        <w:rPr>
          <w:b/>
          <w:bCs/>
        </w:rPr>
        <w:t xml:space="preserve">Assumption uncertainty:</w:t>
      </w:r>
      <w:r>
        <w:t xml:space="preserve"> </w:t>
      </w:r>
      <w:r>
        <w:t xml:space="preserve">capacity is assumed; results are given under four capacities rather than one.</w:t>
      </w:r>
    </w:p>
    <w:p>
      <w:pPr>
        <w:pStyle w:val="Compact"/>
        <w:numPr>
          <w:ilvl w:val="0"/>
          <w:numId w:val="1011"/>
        </w:numPr>
      </w:pPr>
      <w:r>
        <w:rPr>
          <w:b/>
          <w:bCs/>
        </w:rPr>
        <w:t xml:space="preserve">Sampling uncertainty of the improvement:</w:t>
      </w:r>
      <w:r>
        <w:t xml:space="preserve"> </w:t>
      </w:r>
      <w:r>
        <w:t xml:space="preserve">handled by the cluster bootstrap (section 6.3).</w:t>
      </w:r>
    </w:p>
    <w:p>
      <w:pPr>
        <w:pStyle w:val="Compact"/>
        <w:numPr>
          <w:ilvl w:val="0"/>
          <w:numId w:val="1011"/>
        </w:numPr>
      </w:pPr>
      <w:r>
        <w:rPr>
          <w:b/>
          <w:bCs/>
        </w:rPr>
        <w:t xml:space="preserve">Protocol uncertainty:</w:t>
      </w:r>
      <w:r>
        <w:t xml:space="preserve"> </w:t>
      </w:r>
      <w:r>
        <w:t xml:space="preserve">the test weeks were scored twice (section 5.4).</w:t>
      </w:r>
    </w:p>
    <w:bookmarkEnd w:id="79"/>
    <w:bookmarkEnd w:id="80"/>
    <w:bookmarkStart w:id="89" w:name="Xddcff86c0f61894e04f838b1444659ba2822bd5"/>
    <w:p>
      <w:pPr>
        <w:pStyle w:val="Heading1"/>
      </w:pPr>
      <w:r>
        <w:t xml:space="preserve">9. Implementation, reproducibility, testing and dashboard</w:t>
      </w:r>
    </w:p>
    <w:bookmarkStart w:id="81" w:name="implementation"/>
    <w:p>
      <w:pPr>
        <w:pStyle w:val="Heading2"/>
      </w:pPr>
      <w:r>
        <w:t xml:space="preserve">9.1 Implementation</w:t>
      </w:r>
    </w:p>
    <w:p>
      <w:pPr>
        <w:pStyle w:val="FirstParagraph"/>
      </w:pPr>
      <w:r>
        <w:t xml:space="preserve">The system is written in Python as an installable package (</w:t>
      </w:r>
      <w:r>
        <w:rPr>
          <w:rStyle w:val="VerbatimChar"/>
        </w:rPr>
        <w:t xml:space="preserve">transit</w:t>
      </w:r>
      <w:r>
        <w:t xml:space="preserve">), using pandas and PyArrow for data, LightGBM and scikit-learn for modelling and metrics, Matplotlib for report figures, and Streamlit and Plotly for the dashboard. It requires Python 3.10 or newer. Main modules:</w:t>
      </w:r>
      <w:r>
        <w:t xml:space="preserve"> </w:t>
      </w:r>
      <w:r>
        <w:rPr>
          <w:rStyle w:val="VerbatimChar"/>
        </w:rPr>
        <w:t xml:space="preserve">config.py</w:t>
      </w:r>
      <w:r>
        <w:t xml:space="preserve"> </w:t>
      </w:r>
      <w:r>
        <w:t xml:space="preserve">(paths, pinned source, split dates),</w:t>
      </w:r>
      <w:r>
        <w:t xml:space="preserve"> </w:t>
      </w:r>
      <w:r>
        <w:rPr>
          <w:rStyle w:val="VerbatimChar"/>
        </w:rPr>
        <w:t xml:space="preserve">data/</w:t>
      </w:r>
      <w:r>
        <w:t xml:space="preserve"> </w:t>
      </w:r>
      <w:r>
        <w:t xml:space="preserve">(manifest, download, aggregation, build, service profile),</w:t>
      </w:r>
      <w:r>
        <w:t xml:space="preserve"> </w:t>
      </w:r>
      <w:r>
        <w:rPr>
          <w:rStyle w:val="VerbatimChar"/>
        </w:rPr>
        <w:t xml:space="preserve">features.py</w:t>
      </w:r>
      <w:r>
        <w:t xml:space="preserve">,</w:t>
      </w:r>
      <w:r>
        <w:t xml:space="preserve"> </w:t>
      </w:r>
      <w:r>
        <w:rPr>
          <w:rStyle w:val="VerbatimChar"/>
        </w:rPr>
        <w:t xml:space="preserve">models/</w:t>
      </w:r>
      <w:r>
        <w:t xml:space="preserve"> </w:t>
      </w:r>
      <w:r>
        <w:t xml:space="preserve">(baselines, LightGBM, the experiment runner),</w:t>
      </w:r>
      <w:r>
        <w:t xml:space="preserve"> </w:t>
      </w:r>
      <w:r>
        <w:rPr>
          <w:rStyle w:val="VerbatimChar"/>
        </w:rPr>
        <w:t xml:space="preserve">metrics.py</w:t>
      </w:r>
      <w:r>
        <w:t xml:space="preserve">,</w:t>
      </w:r>
      <w:r>
        <w:t xml:space="preserve"> </w:t>
      </w:r>
      <w:r>
        <w:rPr>
          <w:rStyle w:val="VerbatimChar"/>
        </w:rPr>
        <w:t xml:space="preserve">crowding.py</w:t>
      </w:r>
      <w:r>
        <w:t xml:space="preserve">,</w:t>
      </w:r>
      <w:r>
        <w:t xml:space="preserve"> </w:t>
      </w:r>
      <w:r>
        <w:rPr>
          <w:rStyle w:val="VerbatimChar"/>
        </w:rPr>
        <w:t xml:space="preserve">report.py</w:t>
      </w:r>
      <w:r>
        <w:t xml:space="preserve">,</w:t>
      </w:r>
      <w:r>
        <w:t xml:space="preserve"> </w:t>
      </w:r>
      <w:r>
        <w:rPr>
          <w:rStyle w:val="VerbatimChar"/>
        </w:rPr>
        <w:t xml:space="preserve">verify.py</w:t>
      </w:r>
      <w:r>
        <w:t xml:space="preserve">, and</w:t>
      </w:r>
      <w:r>
        <w:t xml:space="preserve"> </w:t>
      </w:r>
      <w:r>
        <w:rPr>
          <w:rStyle w:val="VerbatimChar"/>
        </w:rPr>
        <w:t xml:space="preserve">app/streamlit_app.py</w:t>
      </w:r>
      <w:r>
        <w:t xml:space="preserve">.</w:t>
      </w:r>
    </w:p>
    <w:p>
      <w:pPr>
        <w:pStyle w:val="BodyText"/>
      </w:pPr>
      <w:r>
        <w:t xml:space="preserve">The full pipeline is six commands:</w:t>
      </w:r>
    </w:p>
    <w:p>
      <w:pPr>
        <w:pStyle w:val="SourceCode"/>
      </w:pPr>
      <w:r>
        <w:rPr>
          <w:rStyle w:val="VerbatimChar"/>
        </w:rPr>
        <w:t xml:space="preserve">python -m transit.data.download   # 59 files, SHA-256 verified</w:t>
      </w:r>
      <w:r>
        <w:br/>
      </w:r>
      <w:r>
        <w:rPr>
          <w:rStyle w:val="VerbatimChar"/>
        </w:rPr>
        <w:t xml:space="preserve">python -m transit.data.build      # route-hour table, 6 quality checks</w:t>
      </w:r>
      <w:r>
        <w:br/>
      </w:r>
      <w:r>
        <w:rPr>
          <w:rStyle w:val="VerbatimChar"/>
        </w:rPr>
        <w:t xml:space="preserve">python -m transit.models.run      # tune, evaluate, forecast (about 8 min)</w:t>
      </w:r>
      <w:r>
        <w:br/>
      </w:r>
      <w:r>
        <w:rPr>
          <w:rStyle w:val="VerbatimChar"/>
        </w:rPr>
        <w:t xml:space="preserve">python -m transit.report          # RESULTS.md and figures</w:t>
      </w:r>
      <w:r>
        <w:br/>
      </w:r>
      <w:r>
        <w:rPr>
          <w:rStyle w:val="VerbatimChar"/>
        </w:rPr>
        <w:t xml:space="preserve">python -m transit.verify          # compare with the committed results</w:t>
      </w:r>
      <w:r>
        <w:br/>
      </w:r>
      <w:r>
        <w:rPr>
          <w:rStyle w:val="VerbatimChar"/>
        </w:rPr>
        <w:t xml:space="preserve">pytest                            # 93 tests</w:t>
      </w:r>
    </w:p>
    <w:bookmarkEnd w:id="81"/>
    <w:bookmarkStart w:id="82" w:name="reproducibility-measured"/>
    <w:p>
      <w:pPr>
        <w:pStyle w:val="Heading2"/>
      </w:pPr>
      <w:r>
        <w:t xml:space="preserve">9.2 Reproducibility (measured)</w:t>
      </w:r>
    </w:p>
    <w:p>
      <w:pPr>
        <w:pStyle w:val="Compact"/>
        <w:numPr>
          <w:ilvl w:val="0"/>
          <w:numId w:val="1012"/>
        </w:numPr>
      </w:pPr>
      <w:r>
        <w:rPr>
          <w:b/>
          <w:bCs/>
        </w:rPr>
        <w:t xml:space="preserve">Pinned inputs:</w:t>
      </w:r>
      <w:r>
        <w:t xml:space="preserve"> </w:t>
      </w:r>
      <w:r>
        <w:t xml:space="preserve">the SUNT download URL contains the exact commit, and every file is checked against its SHA-256.</w:t>
      </w:r>
    </w:p>
    <w:p>
      <w:pPr>
        <w:pStyle w:val="Compact"/>
        <w:numPr>
          <w:ilvl w:val="0"/>
          <w:numId w:val="1012"/>
        </w:numPr>
      </w:pPr>
      <w:r>
        <w:rPr>
          <w:b/>
          <w:bCs/>
        </w:rPr>
        <w:t xml:space="preserve">Deterministic training:</w:t>
      </w:r>
      <w:r>
        <w:t xml:space="preserve"> </w:t>
      </w:r>
      <w:r>
        <w:t xml:space="preserve">LightGBM runs with a fixed seed and its deterministic mode.</w:t>
      </w:r>
    </w:p>
    <w:p>
      <w:pPr>
        <w:pStyle w:val="Compact"/>
        <w:numPr>
          <w:ilvl w:val="0"/>
          <w:numId w:val="1012"/>
        </w:numPr>
      </w:pPr>
      <w:r>
        <w:rPr>
          <w:b/>
          <w:bCs/>
        </w:rPr>
        <w:t xml:space="preserve">Generated write-up:</w:t>
      </w:r>
      <w:r>
        <w:t xml:space="preserve"> </w:t>
      </w:r>
      <w:r>
        <w:rPr>
          <w:rStyle w:val="VerbatimChar"/>
        </w:rPr>
        <w:t xml:space="preserve">RESULTS.md</w:t>
      </w:r>
      <w:r>
        <w:t xml:space="preserve"> </w:t>
      </w:r>
      <w:r>
        <w:t xml:space="preserve">is generated from</w:t>
      </w:r>
      <w:r>
        <w:t xml:space="preserve"> </w:t>
      </w:r>
      <w:r>
        <w:rPr>
          <w:rStyle w:val="VerbatimChar"/>
        </w:rPr>
        <w:t xml:space="preserve">metrics.json</w:t>
      </w:r>
      <w:r>
        <w:t xml:space="preserve">; the generator recomputes every test WAPE from the prediction files and stops if any disagrees.</w:t>
      </w:r>
    </w:p>
    <w:p>
      <w:pPr>
        <w:pStyle w:val="Compact"/>
        <w:numPr>
          <w:ilvl w:val="0"/>
          <w:numId w:val="1012"/>
        </w:numPr>
      </w:pPr>
      <w:r>
        <w:rPr>
          <w:b/>
          <w:bCs/>
        </w:rPr>
        <w:t xml:space="preserve">Verification command:</w:t>
      </w:r>
      <w:r>
        <w:t xml:space="preserve"> </w:t>
      </w:r>
      <w:r>
        <w:rPr>
          <w:rStyle w:val="VerbatimChar"/>
        </w:rPr>
        <w:t xml:space="preserve">python -m transit.verify</w:t>
      </w:r>
      <w:r>
        <w:t xml:space="preserve"> </w:t>
      </w:r>
      <w:r>
        <w:t xml:space="preserve">compares a rebuilt route-hour table with the committed one cell by cell, and all 2,326 numbers in</w:t>
      </w:r>
      <w:r>
        <w:t xml:space="preserve"> </w:t>
      </w:r>
      <w:r>
        <w:rPr>
          <w:rStyle w:val="VerbatimChar"/>
        </w:rPr>
        <w:t xml:space="preserve">metrics.json</w:t>
      </w:r>
      <w:r>
        <w:t xml:space="preserve"> </w:t>
      </w:r>
      <w:r>
        <w:t xml:space="preserve">with the committed file (relative tolerance 10⁻⁶; run times ignored). It needs a git clone (not a ZIP download), because it compares against the files committed in git.</w:t>
      </w:r>
    </w:p>
    <w:p>
      <w:pPr>
        <w:pStyle w:val="Compact"/>
        <w:numPr>
          <w:ilvl w:val="0"/>
          <w:numId w:val="1012"/>
        </w:numPr>
      </w:pPr>
      <w:r>
        <w:rPr>
          <w:b/>
          <w:bCs/>
        </w:rPr>
        <w:t xml:space="preserve">Fresh-clone rerun (24 October 2026):</w:t>
      </w:r>
      <w:r>
        <w:t xml:space="preserve"> </w:t>
      </w:r>
      <w:r>
        <w:t xml:space="preserve">on Linux with Python 3.12.3, pandas 3.1.0 and LightGBM 4.7.0, a full rerun from a fresh clone downloaded all 59 files with matching checksums, rebuilt an identical table (541,611 × 12), reproduced all 2,326 values in</w:t>
      </w:r>
      <w:r>
        <w:t xml:space="preserve"> </w:t>
      </w:r>
      <w:r>
        <w:rPr>
          <w:rStyle w:val="VerbatimChar"/>
        </w:rPr>
        <w:t xml:space="preserve">metrics.json</w:t>
      </w:r>
      <w:r>
        <w:t xml:space="preserve"> </w:t>
      </w:r>
      <w:r>
        <w:t xml:space="preserve">and all five prediction files exactly, and regenerated a byte-identical</w:t>
      </w:r>
      <w:r>
        <w:t xml:space="preserve"> </w:t>
      </w:r>
      <w:r>
        <w:rPr>
          <w:rStyle w:val="VerbatimChar"/>
        </w:rPr>
        <w:t xml:space="preserve">RESULTS.md</w:t>
      </w:r>
      <w:r>
        <w:t xml:space="preserve">. The whole sequence took about 11 minutes. The committed results were originally produced with Python 3.13 and pandas 3.0.5. The full pipeline has not yet been rerun on Windows or Google Colab; only the tests have.</w:t>
      </w:r>
    </w:p>
    <w:bookmarkEnd w:id="82"/>
    <w:bookmarkStart w:id="83" w:name="testing-measured"/>
    <w:p>
      <w:pPr>
        <w:pStyle w:val="Heading2"/>
      </w:pPr>
      <w:r>
        <w:t xml:space="preserve">9.3 Testing (measured)</w:t>
      </w:r>
    </w:p>
    <w:p>
      <w:pPr>
        <w:pStyle w:val="FirstParagraph"/>
        <w:keepNext/>
      </w:pPr>
      <w:r>
        <w:t xml:space="preserve">There are 93 automated tests (pytest). GitHub Actions runs them, followed by</w:t>
      </w:r>
      <w:r>
        <w:t xml:space="preserve"> </w:t>
      </w:r>
      <w:r>
        <w:rPr>
          <w:rStyle w:val="VerbatimChar"/>
        </w:rPr>
        <w:t xml:space="preserve">python -m transit.verify</w:t>
      </w:r>
      <w:r>
        <w:t xml:space="preserve">, on Ubuntu (Python 3.11 and 3.12) and on Windows (Python 3.12, with both the normal and the locked requirement files). The tests use small hand-written fixtures in the SUNT file format, not observations, except where they check the committed outputs.</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1847"/>
        <w:gridCol w:w="3600"/>
        <w:gridCol w:w="765"/>
        <w:gridCol w:w="2971"/>
      </w:tblGrid>
      <w:tr>
        <w:trPr>
          <w:tblHeader w:val="true"/>
          <w:cantSplit/>
          <w:tblHeader/>
        </w:trPr>
        <w:tc>
          <w:tcPr>
            <w:tcW w:type="dxa" w:w="1848"/>
            <w:shd w:val="clear" w:color="auto" w:fill="DCE3F0"/>
          </w:tcPr>
          <w:p>
            <w:pPr>
              <w:pStyle w:val="Compact"/>
              <w:spacing w:after="0" w:before="0" w:line="240" w:lineRule="auto"/>
              <w:jc w:val="left"/>
            </w:pPr>
            <w:r>
              <w:rPr>
                <w:b/>
                <w:sz w:val="19"/>
              </w:rPr>
              <w:t xml:space="preserve">Area</w:t>
            </w:r>
          </w:p>
        </w:tc>
        <w:tc>
          <w:tcPr>
            <w:tcW w:type="dxa" w:w="3600"/>
            <w:shd w:val="clear" w:color="auto" w:fill="DCE3F0"/>
          </w:tcPr>
          <w:p>
            <w:pPr>
              <w:pStyle w:val="Compact"/>
              <w:spacing w:after="0" w:before="0" w:line="240" w:lineRule="auto"/>
              <w:jc w:val="left"/>
            </w:pPr>
            <w:r>
              <w:rPr>
                <w:b/>
                <w:sz w:val="19"/>
              </w:rPr>
              <w:t xml:space="preserve">Test file</w:t>
            </w:r>
          </w:p>
        </w:tc>
        <w:tc>
          <w:tcPr>
            <w:tcW w:type="dxa" w:w="765"/>
            <w:shd w:val="clear" w:color="auto" w:fill="DCE3F0"/>
          </w:tcPr>
          <w:p>
            <w:pPr>
              <w:pStyle w:val="Compact"/>
              <w:spacing w:after="0" w:before="0" w:line="240" w:lineRule="auto"/>
              <w:jc w:val="left"/>
            </w:pPr>
            <w:r>
              <w:rPr>
                <w:b/>
                <w:sz w:val="19"/>
              </w:rPr>
              <w:t xml:space="preserve">Tests</w:t>
            </w:r>
          </w:p>
        </w:tc>
        <w:tc>
          <w:tcPr>
            <w:tcW w:type="dxa" w:w="2971"/>
            <w:shd w:val="clear" w:color="auto" w:fill="DCE3F0"/>
          </w:tcPr>
          <w:p>
            <w:pPr>
              <w:pStyle w:val="Compact"/>
              <w:spacing w:after="0" w:before="0" w:line="240" w:lineRule="auto"/>
              <w:jc w:val="left"/>
            </w:pPr>
            <w:r>
              <w:rPr>
                <w:b/>
                <w:sz w:val="19"/>
              </w:rPr>
              <w:t xml:space="preserve">What they check</w:t>
            </w:r>
          </w:p>
        </w:tc>
      </w:tr>
      <w:tr>
        <w:trPr>
          <w:cantSplit/>
        </w:trPr>
        <w:tc>
          <w:tcPr>
            <w:tcW w:type="dxa" w:w="1848"/>
          </w:tcPr>
          <w:p>
            <w:pPr>
              <w:pStyle w:val="Compact"/>
              <w:spacing w:after="0" w:before="0" w:line="240" w:lineRule="auto"/>
              <w:jc w:val="left"/>
            </w:pPr>
            <w:r>
              <w:rPr>
                <w:sz w:val="19"/>
              </w:rPr>
              <w:t xml:space="preserve">Configuration</w:t>
            </w:r>
          </w:p>
        </w:tc>
        <w:tc>
          <w:tcPr>
            <w:tcW w:type="dxa" w:w="3600"/>
          </w:tcPr>
          <w:p>
            <w:pPr>
              <w:pStyle w:val="Compact"/>
              <w:spacing w:after="0" w:before="0" w:line="240" w:lineRule="auto"/>
              <w:jc w:val="left"/>
            </w:pPr>
            <w:r>
              <w:rPr>
                <w:rStyle w:val="VerbatimChar"/>
                <w:sz w:val="19"/>
              </w:rPr>
              <w:t xml:space="preserve">test_config.py</w:t>
            </w:r>
          </w:p>
        </w:tc>
        <w:tc>
          <w:tcPr>
            <w:tcW w:type="dxa" w:w="765"/>
          </w:tcPr>
          <w:p>
            <w:pPr>
              <w:pStyle w:val="Compact"/>
              <w:spacing w:after="0" w:before="0" w:line="240" w:lineRule="auto"/>
              <w:jc w:val="left"/>
            </w:pPr>
            <w:r>
              <w:rPr>
                <w:sz w:val="19"/>
              </w:rPr>
              <w:t xml:space="preserve">3</w:t>
            </w:r>
          </w:p>
        </w:tc>
        <w:tc>
          <w:tcPr>
            <w:tcW w:type="dxa" w:w="2971"/>
          </w:tcPr>
          <w:p>
            <w:pPr>
              <w:pStyle w:val="Compact"/>
              <w:spacing w:after="0" w:before="0" w:line="240" w:lineRule="auto"/>
              <w:jc w:val="left"/>
            </w:pPr>
            <w:r>
              <w:rPr>
                <w:sz w:val="19"/>
              </w:rPr>
              <w:t xml:space="preserve">59-day period, chronological split, pinned commit</w:t>
            </w:r>
          </w:p>
        </w:tc>
      </w:tr>
      <w:tr>
        <w:trPr>
          <w:cantSplit/>
        </w:trPr>
        <w:tc>
          <w:tcPr>
            <w:tcW w:type="dxa" w:w="1848"/>
          </w:tcPr>
          <w:p>
            <w:pPr>
              <w:pStyle w:val="Compact"/>
              <w:spacing w:after="0" w:before="0" w:line="240" w:lineRule="auto"/>
              <w:jc w:val="left"/>
            </w:pPr>
            <w:r>
              <w:rPr>
                <w:sz w:val="19"/>
              </w:rPr>
              <w:t xml:space="preserve">Aggregation</w:t>
            </w:r>
          </w:p>
        </w:tc>
        <w:tc>
          <w:tcPr>
            <w:tcW w:type="dxa" w:w="3600"/>
          </w:tcPr>
          <w:p>
            <w:pPr>
              <w:pStyle w:val="Compact"/>
              <w:spacing w:after="0" w:before="0" w:line="240" w:lineRule="auto"/>
              <w:jc w:val="left"/>
            </w:pPr>
            <w:r>
              <w:rPr>
                <w:rStyle w:val="VerbatimChar"/>
                <w:sz w:val="19"/>
              </w:rPr>
              <w:t xml:space="preserve">test_aggregate.py</w:t>
            </w:r>
          </w:p>
        </w:tc>
        <w:tc>
          <w:tcPr>
            <w:tcW w:type="dxa" w:w="765"/>
          </w:tcPr>
          <w:p>
            <w:pPr>
              <w:pStyle w:val="Compact"/>
              <w:spacing w:after="0" w:before="0" w:line="240" w:lineRule="auto"/>
              <w:jc w:val="left"/>
            </w:pPr>
            <w:r>
              <w:rPr>
                <w:sz w:val="19"/>
              </w:rPr>
              <w:t xml:space="preserve">10</w:t>
            </w:r>
          </w:p>
        </w:tc>
        <w:tc>
          <w:tcPr>
            <w:tcW w:type="dxa" w:w="2971"/>
          </w:tcPr>
          <w:p>
            <w:pPr>
              <w:pStyle w:val="Compact"/>
              <w:spacing w:after="0" w:before="0" w:line="240" w:lineRule="auto"/>
              <w:jc w:val="left"/>
            </w:pPr>
            <w:r>
              <w:rPr>
                <w:sz w:val="19"/>
              </w:rPr>
              <w:t xml:space="preserve">sums, conservation, service window, after-midnight hours, bursts, malformed trips, failing checks</w:t>
            </w:r>
          </w:p>
        </w:tc>
      </w:tr>
      <w:tr>
        <w:trPr>
          <w:cantSplit/>
        </w:trPr>
        <w:tc>
          <w:tcPr>
            <w:tcW w:type="dxa" w:w="1848"/>
          </w:tcPr>
          <w:p>
            <w:pPr>
              <w:pStyle w:val="Compact"/>
              <w:spacing w:after="0" w:before="0" w:line="240" w:lineRule="auto"/>
              <w:jc w:val="left"/>
            </w:pPr>
            <w:r>
              <w:rPr>
                <w:sz w:val="19"/>
              </w:rPr>
              <w:t xml:space="preserve">Inputs and time</w:t>
            </w:r>
          </w:p>
        </w:tc>
        <w:tc>
          <w:tcPr>
            <w:tcW w:type="dxa" w:w="3600"/>
          </w:tcPr>
          <w:p>
            <w:pPr>
              <w:pStyle w:val="Compact"/>
              <w:spacing w:after="0" w:before="0" w:line="240" w:lineRule="auto"/>
              <w:jc w:val="left"/>
            </w:pPr>
            <w:r>
              <w:rPr>
                <w:rStyle w:val="VerbatimChar"/>
                <w:sz w:val="19"/>
              </w:rPr>
              <w:t xml:space="preserve">test_inputs_and_time.py</w:t>
            </w:r>
          </w:p>
        </w:tc>
        <w:tc>
          <w:tcPr>
            <w:tcW w:type="dxa" w:w="765"/>
          </w:tcPr>
          <w:p>
            <w:pPr>
              <w:pStyle w:val="Compact"/>
              <w:spacing w:after="0" w:before="0" w:line="240" w:lineRule="auto"/>
              <w:jc w:val="left"/>
            </w:pPr>
            <w:r>
              <w:rPr>
                <w:sz w:val="19"/>
              </w:rPr>
              <w:t xml:space="preserve">9</w:t>
            </w:r>
          </w:p>
        </w:tc>
        <w:tc>
          <w:tcPr>
            <w:tcW w:type="dxa" w:w="2971"/>
          </w:tcPr>
          <w:p>
            <w:pPr>
              <w:pStyle w:val="Compact"/>
              <w:spacing w:after="0" w:before="0" w:line="240" w:lineRule="auto"/>
              <w:jc w:val="left"/>
            </w:pPr>
            <w:r>
              <w:rPr>
                <w:sz w:val="19"/>
              </w:rPr>
              <w:t xml:space="preserve">SUNT data types, missing loads stay NaN, unparseable times, hour boundaries</w:t>
            </w:r>
          </w:p>
        </w:tc>
      </w:tr>
      <w:tr>
        <w:trPr>
          <w:cantSplit/>
        </w:trPr>
        <w:tc>
          <w:tcPr>
            <w:tcW w:type="dxa" w:w="1848"/>
          </w:tcPr>
          <w:p>
            <w:pPr>
              <w:pStyle w:val="Compact"/>
              <w:spacing w:after="0" w:before="0" w:line="240" w:lineRule="auto"/>
              <w:jc w:val="left"/>
            </w:pPr>
            <w:r>
              <w:rPr>
                <w:sz w:val="19"/>
              </w:rPr>
              <w:t xml:space="preserve">Pipeline end to end</w:t>
            </w:r>
          </w:p>
        </w:tc>
        <w:tc>
          <w:tcPr>
            <w:tcW w:type="dxa" w:w="3600"/>
          </w:tcPr>
          <w:p>
            <w:pPr>
              <w:pStyle w:val="Compact"/>
              <w:spacing w:after="0" w:before="0" w:line="240" w:lineRule="auto"/>
              <w:jc w:val="left"/>
            </w:pPr>
            <w:r>
              <w:rPr>
                <w:rStyle w:val="VerbatimChar"/>
                <w:sz w:val="19"/>
              </w:rPr>
              <w:t xml:space="preserve">test_pipeline_e2e.py</w:t>
            </w:r>
          </w:p>
        </w:tc>
        <w:tc>
          <w:tcPr>
            <w:tcW w:type="dxa" w:w="765"/>
          </w:tcPr>
          <w:p>
            <w:pPr>
              <w:pStyle w:val="Compact"/>
              <w:spacing w:after="0" w:before="0" w:line="240" w:lineRule="auto"/>
              <w:jc w:val="left"/>
            </w:pPr>
            <w:r>
              <w:rPr>
                <w:sz w:val="19"/>
              </w:rPr>
              <w:t xml:space="preserve">6</w:t>
            </w:r>
          </w:p>
        </w:tc>
        <w:tc>
          <w:tcPr>
            <w:tcW w:type="dxa" w:w="2971"/>
          </w:tcPr>
          <w:p>
            <w:pPr>
              <w:pStyle w:val="Compact"/>
              <w:spacing w:after="0" w:before="0" w:line="240" w:lineRule="auto"/>
              <w:jc w:val="left"/>
            </w:pPr>
            <w:r>
              <w:rPr>
                <w:sz w:val="19"/>
              </w:rPr>
              <w:t xml:space="preserve">two-day build, manifest, download verification and checksum rejection</w:t>
            </w:r>
          </w:p>
        </w:tc>
      </w:tr>
      <w:tr>
        <w:trPr>
          <w:cantSplit/>
        </w:trPr>
        <w:tc>
          <w:tcPr>
            <w:tcW w:type="dxa" w:w="1848"/>
          </w:tcPr>
          <w:p>
            <w:pPr>
              <w:pStyle w:val="Compact"/>
              <w:spacing w:after="0" w:before="0" w:line="240" w:lineRule="auto"/>
              <w:jc w:val="left"/>
            </w:pPr>
            <w:r>
              <w:rPr>
                <w:sz w:val="19"/>
              </w:rPr>
              <w:t xml:space="preserve">Committed table</w:t>
            </w:r>
          </w:p>
        </w:tc>
        <w:tc>
          <w:tcPr>
            <w:tcW w:type="dxa" w:w="3600"/>
          </w:tcPr>
          <w:p>
            <w:pPr>
              <w:pStyle w:val="Compact"/>
              <w:spacing w:after="0" w:before="0" w:line="240" w:lineRule="auto"/>
              <w:jc w:val="left"/>
            </w:pPr>
            <w:r>
              <w:rPr>
                <w:rStyle w:val="VerbatimChar"/>
                <w:sz w:val="19"/>
              </w:rPr>
              <w:t xml:space="preserve">test_processed.py</w:t>
            </w:r>
          </w:p>
        </w:tc>
        <w:tc>
          <w:tcPr>
            <w:tcW w:type="dxa" w:w="765"/>
          </w:tcPr>
          <w:p>
            <w:pPr>
              <w:pStyle w:val="Compact"/>
              <w:spacing w:after="0" w:before="0" w:line="240" w:lineRule="auto"/>
              <w:jc w:val="left"/>
            </w:pPr>
            <w:r>
              <w:rPr>
                <w:sz w:val="19"/>
              </w:rPr>
              <w:t xml:space="preserve">14</w:t>
            </w:r>
          </w:p>
        </w:tc>
        <w:tc>
          <w:tcPr>
            <w:tcW w:type="dxa" w:w="2971"/>
          </w:tcPr>
          <w:p>
            <w:pPr>
              <w:pStyle w:val="Compact"/>
              <w:spacing w:after="0" w:before="0" w:line="240" w:lineRule="auto"/>
              <w:jc w:val="left"/>
            </w:pPr>
            <w:r>
              <w:rPr>
                <w:sz w:val="19"/>
              </w:rPr>
              <w:t xml:space="preserve">the committed table matches its quality report and pinned totals</w:t>
            </w:r>
          </w:p>
        </w:tc>
      </w:tr>
      <w:tr>
        <w:trPr>
          <w:cantSplit/>
        </w:trPr>
        <w:tc>
          <w:tcPr>
            <w:tcW w:type="dxa" w:w="1848"/>
          </w:tcPr>
          <w:p>
            <w:pPr>
              <w:pStyle w:val="Compact"/>
              <w:spacing w:after="0" w:before="0" w:line="240" w:lineRule="auto"/>
              <w:jc w:val="left"/>
            </w:pPr>
            <w:r>
              <w:rPr>
                <w:sz w:val="19"/>
              </w:rPr>
              <w:t xml:space="preserve">Missing hours</w:t>
            </w:r>
          </w:p>
        </w:tc>
        <w:tc>
          <w:tcPr>
            <w:tcW w:type="dxa" w:w="3600"/>
          </w:tcPr>
          <w:p>
            <w:pPr>
              <w:pStyle w:val="Compact"/>
              <w:spacing w:after="0" w:before="0" w:line="240" w:lineRule="auto"/>
              <w:jc w:val="left"/>
            </w:pPr>
            <w:r>
              <w:rPr>
                <w:rStyle w:val="VerbatimChar"/>
                <w:sz w:val="19"/>
              </w:rPr>
              <w:t xml:space="preserve">test_service.py</w:t>
            </w:r>
          </w:p>
        </w:tc>
        <w:tc>
          <w:tcPr>
            <w:tcW w:type="dxa" w:w="765"/>
          </w:tcPr>
          <w:p>
            <w:pPr>
              <w:pStyle w:val="Compact"/>
              <w:spacing w:after="0" w:before="0" w:line="240" w:lineRule="auto"/>
              <w:jc w:val="left"/>
            </w:pPr>
            <w:r>
              <w:rPr>
                <w:sz w:val="19"/>
              </w:rPr>
              <w:t xml:space="preserve">8</w:t>
            </w:r>
          </w:p>
        </w:tc>
        <w:tc>
          <w:tcPr>
            <w:tcW w:type="dxa" w:w="2971"/>
          </w:tcPr>
          <w:p>
            <w:pPr>
              <w:pStyle w:val="Compact"/>
              <w:spacing w:after="0" w:before="0" w:line="240" w:lineRule="auto"/>
              <w:jc w:val="left"/>
            </w:pPr>
            <w:r>
              <w:rPr>
                <w:sz w:val="19"/>
              </w:rPr>
              <w:t xml:space="preserve">regular cells from training only, missing records not zero, scope rules</w:t>
            </w:r>
          </w:p>
        </w:tc>
      </w:tr>
      <w:tr>
        <w:trPr>
          <w:cantSplit/>
        </w:trPr>
        <w:tc>
          <w:tcPr>
            <w:tcW w:type="dxa" w:w="1848"/>
          </w:tcPr>
          <w:p>
            <w:pPr>
              <w:pStyle w:val="Compact"/>
              <w:spacing w:after="0" w:before="0" w:line="240" w:lineRule="auto"/>
              <w:jc w:val="left"/>
            </w:pPr>
            <w:r>
              <w:rPr>
                <w:sz w:val="19"/>
              </w:rPr>
              <w:t xml:space="preserve">Features and baselines</w:t>
            </w:r>
          </w:p>
        </w:tc>
        <w:tc>
          <w:tcPr>
            <w:tcW w:type="dxa" w:w="3600"/>
          </w:tcPr>
          <w:p>
            <w:pPr>
              <w:pStyle w:val="Compact"/>
              <w:spacing w:after="0" w:before="0" w:line="240" w:lineRule="auto"/>
              <w:jc w:val="left"/>
            </w:pPr>
            <w:r>
              <w:rPr>
                <w:rStyle w:val="VerbatimChar"/>
                <w:sz w:val="19"/>
              </w:rPr>
              <w:t xml:space="preserve">test_features_and_baselines.py</w:t>
            </w:r>
          </w:p>
        </w:tc>
        <w:tc>
          <w:tcPr>
            <w:tcW w:type="dxa" w:w="765"/>
          </w:tcPr>
          <w:p>
            <w:pPr>
              <w:pStyle w:val="Compact"/>
              <w:spacing w:after="0" w:before="0" w:line="240" w:lineRule="auto"/>
              <w:jc w:val="left"/>
            </w:pPr>
            <w:r>
              <w:rPr>
                <w:sz w:val="19"/>
              </w:rPr>
              <w:t xml:space="preserve">8</w:t>
            </w:r>
          </w:p>
        </w:tc>
        <w:tc>
          <w:tcPr>
            <w:tcW w:type="dxa" w:w="2971"/>
          </w:tcPr>
          <w:p>
            <w:pPr>
              <w:pStyle w:val="Compact"/>
              <w:spacing w:after="0" w:before="0" w:line="240" w:lineRule="auto"/>
              <w:jc w:val="left"/>
            </w:pPr>
            <w:r>
              <w:rPr>
                <w:b/>
                <w:bCs/>
                <w:sz w:val="19"/>
              </w:rPr>
              <w:t xml:space="preserve">no leakage</w:t>
            </w:r>
            <w:r>
              <w:rPr>
                <w:sz w:val="19"/>
              </w:rPr>
              <w:t xml:space="preserve">, exact lags, fallbacks, metric values, crowding levels</w:t>
            </w:r>
          </w:p>
        </w:tc>
      </w:tr>
      <w:tr>
        <w:trPr>
          <w:cantSplit/>
        </w:trPr>
        <w:tc>
          <w:tcPr>
            <w:tcW w:type="dxa" w:w="1848"/>
          </w:tcPr>
          <w:p>
            <w:pPr>
              <w:pStyle w:val="Compact"/>
              <w:spacing w:after="0" w:before="0" w:line="240" w:lineRule="auto"/>
              <w:jc w:val="left"/>
            </w:pPr>
            <w:r>
              <w:rPr>
                <w:sz w:val="19"/>
              </w:rPr>
              <w:t xml:space="preserve">Model run</w:t>
            </w:r>
          </w:p>
        </w:tc>
        <w:tc>
          <w:tcPr>
            <w:tcW w:type="dxa" w:w="3600"/>
          </w:tcPr>
          <w:p>
            <w:pPr>
              <w:pStyle w:val="Compact"/>
              <w:spacing w:after="0" w:before="0" w:line="240" w:lineRule="auto"/>
              <w:jc w:val="left"/>
            </w:pPr>
            <w:r>
              <w:rPr>
                <w:rStyle w:val="VerbatimChar"/>
                <w:sz w:val="19"/>
              </w:rPr>
              <w:t xml:space="preserve">test_models_run.py</w:t>
            </w:r>
          </w:p>
        </w:tc>
        <w:tc>
          <w:tcPr>
            <w:tcW w:type="dxa" w:w="765"/>
          </w:tcPr>
          <w:p>
            <w:pPr>
              <w:pStyle w:val="Compact"/>
              <w:spacing w:after="0" w:before="0" w:line="240" w:lineRule="auto"/>
              <w:jc w:val="left"/>
            </w:pPr>
            <w:r>
              <w:rPr>
                <w:sz w:val="19"/>
              </w:rPr>
              <w:t xml:space="preserve">6</w:t>
            </w:r>
          </w:p>
        </w:tc>
        <w:tc>
          <w:tcPr>
            <w:tcW w:type="dxa" w:w="2971"/>
          </w:tcPr>
          <w:p>
            <w:pPr>
              <w:pStyle w:val="Compact"/>
              <w:spacing w:after="0" w:before="0" w:line="240" w:lineRule="auto"/>
              <w:jc w:val="left"/>
            </w:pPr>
            <w:r>
              <w:rPr>
                <w:sz w:val="19"/>
              </w:rPr>
              <w:t xml:space="preserve">complete results, documented blend, weight chosen on validation, beats last week on a learnable pattern</w:t>
            </w:r>
          </w:p>
        </w:tc>
      </w:tr>
      <w:tr>
        <w:trPr>
          <w:cantSplit/>
        </w:trPr>
        <w:tc>
          <w:tcPr>
            <w:tcW w:type="dxa" w:w="1848"/>
          </w:tcPr>
          <w:p>
            <w:pPr>
              <w:pStyle w:val="Compact"/>
              <w:spacing w:after="0" w:before="0" w:line="240" w:lineRule="auto"/>
              <w:jc w:val="left"/>
            </w:pPr>
            <w:r>
              <w:rPr>
                <w:sz w:val="19"/>
              </w:rPr>
              <w:t xml:space="preserve">Dashboard and outputs</w:t>
            </w:r>
          </w:p>
        </w:tc>
        <w:tc>
          <w:tcPr>
            <w:tcW w:type="dxa" w:w="3600"/>
          </w:tcPr>
          <w:p>
            <w:pPr>
              <w:pStyle w:val="Compact"/>
              <w:spacing w:after="0" w:before="0" w:line="240" w:lineRule="auto"/>
              <w:jc w:val="left"/>
            </w:pPr>
            <w:r>
              <w:rPr>
                <w:rStyle w:val="VerbatimChar"/>
                <w:sz w:val="19"/>
              </w:rPr>
              <w:t xml:space="preserve">test_app.py</w:t>
            </w:r>
          </w:p>
        </w:tc>
        <w:tc>
          <w:tcPr>
            <w:tcW w:type="dxa" w:w="765"/>
          </w:tcPr>
          <w:p>
            <w:pPr>
              <w:pStyle w:val="Compact"/>
              <w:spacing w:after="0" w:before="0" w:line="240" w:lineRule="auto"/>
              <w:jc w:val="left"/>
            </w:pPr>
            <w:r>
              <w:rPr>
                <w:sz w:val="19"/>
              </w:rPr>
              <w:t xml:space="preserve">15</w:t>
            </w:r>
          </w:p>
        </w:tc>
        <w:tc>
          <w:tcPr>
            <w:tcW w:type="dxa" w:w="2971"/>
          </w:tcPr>
          <w:p>
            <w:pPr>
              <w:pStyle w:val="Compact"/>
              <w:spacing w:after="0" w:before="0" w:line="240" w:lineRule="auto"/>
              <w:jc w:val="left"/>
            </w:pPr>
            <w:r>
              <w:rPr>
                <w:sz w:val="19"/>
              </w:rPr>
              <w:t xml:space="preserve">every page renders; reported metrics, coverage and alert precision match the prediction files; missing records never scored</w:t>
            </w:r>
          </w:p>
        </w:tc>
      </w:tr>
      <w:tr>
        <w:trPr>
          <w:cantSplit/>
        </w:trPr>
        <w:tc>
          <w:tcPr>
            <w:tcW w:type="dxa" w:w="1848"/>
          </w:tcPr>
          <w:p>
            <w:pPr>
              <w:pStyle w:val="Compact"/>
              <w:spacing w:after="0" w:before="0" w:line="240" w:lineRule="auto"/>
              <w:jc w:val="left"/>
            </w:pPr>
            <w:r>
              <w:rPr>
                <w:sz w:val="19"/>
              </w:rPr>
              <w:t xml:space="preserve">Verification</w:t>
            </w:r>
          </w:p>
        </w:tc>
        <w:tc>
          <w:tcPr>
            <w:tcW w:type="dxa" w:w="3600"/>
          </w:tcPr>
          <w:p>
            <w:pPr>
              <w:pStyle w:val="Compact"/>
              <w:spacing w:after="0" w:before="0" w:line="240" w:lineRule="auto"/>
              <w:jc w:val="left"/>
            </w:pPr>
            <w:r>
              <w:rPr>
                <w:rStyle w:val="VerbatimChar"/>
                <w:sz w:val="19"/>
              </w:rPr>
              <w:t xml:space="preserve">test_verify.py</w:t>
            </w:r>
          </w:p>
        </w:tc>
        <w:tc>
          <w:tcPr>
            <w:tcW w:type="dxa" w:w="765"/>
          </w:tcPr>
          <w:p>
            <w:pPr>
              <w:pStyle w:val="Compact"/>
              <w:spacing w:after="0" w:before="0" w:line="240" w:lineRule="auto"/>
              <w:jc w:val="left"/>
            </w:pPr>
            <w:r>
              <w:rPr>
                <w:sz w:val="19"/>
              </w:rPr>
              <w:t xml:space="preserve">7</w:t>
            </w:r>
          </w:p>
        </w:tc>
        <w:tc>
          <w:tcPr>
            <w:tcW w:type="dxa" w:w="2971"/>
          </w:tcPr>
          <w:p>
            <w:pPr>
              <w:pStyle w:val="Compact"/>
              <w:spacing w:after="0" w:before="0" w:line="240" w:lineRule="auto"/>
              <w:jc w:val="left"/>
            </w:pPr>
            <w:r>
              <w:rPr>
                <w:sz w:val="19"/>
              </w:rPr>
              <w:t xml:space="preserve">the comparison logic of</w:t>
            </w:r>
            <w:r>
              <w:rPr>
                <w:sz w:val="19"/>
              </w:rPr>
              <w:t xml:space="preserve"> </w:t>
            </w:r>
            <w:r>
              <w:rPr>
                <w:rStyle w:val="VerbatimChar"/>
                <w:sz w:val="19"/>
              </w:rPr>
              <w:t xml:space="preserve">transit.verify</w:t>
            </w:r>
            <w:r>
              <w:rPr>
                <w:sz w:val="19"/>
              </w:rPr>
              <w:t xml:space="preserve">, and a clear message when git is missing</w:t>
            </w:r>
          </w:p>
        </w:tc>
      </w:tr>
      <w:tr>
        <w:trPr>
          <w:cantSplit/>
        </w:trPr>
        <w:tc>
          <w:tcPr>
            <w:tcW w:type="dxa" w:w="1848"/>
          </w:tcPr>
          <w:p>
            <w:pPr>
              <w:pStyle w:val="Compact"/>
              <w:spacing w:after="0" w:before="0" w:line="240" w:lineRule="auto"/>
              <w:jc w:val="left"/>
            </w:pPr>
            <w:r>
              <w:rPr>
                <w:sz w:val="19"/>
              </w:rPr>
              <w:t xml:space="preserve">Public web build</w:t>
            </w:r>
          </w:p>
        </w:tc>
        <w:tc>
          <w:tcPr>
            <w:tcW w:type="dxa" w:w="3600"/>
          </w:tcPr>
          <w:p>
            <w:pPr>
              <w:pStyle w:val="Compact"/>
              <w:spacing w:after="0" w:before="0" w:line="240" w:lineRule="auto"/>
              <w:jc w:val="left"/>
            </w:pPr>
            <w:r>
              <w:rPr>
                <w:rStyle w:val="VerbatimChar"/>
                <w:sz w:val="19"/>
              </w:rPr>
              <w:t xml:space="preserve">test_web.py</w:t>
            </w:r>
          </w:p>
        </w:tc>
        <w:tc>
          <w:tcPr>
            <w:tcW w:type="dxa" w:w="765"/>
          </w:tcPr>
          <w:p>
            <w:pPr>
              <w:pStyle w:val="Compact"/>
              <w:spacing w:after="0" w:before="0" w:line="240" w:lineRule="auto"/>
              <w:jc w:val="left"/>
            </w:pPr>
            <w:r>
              <w:rPr>
                <w:sz w:val="19"/>
              </w:rPr>
              <w:t xml:space="preserve">7</w:t>
            </w:r>
          </w:p>
        </w:tc>
        <w:tc>
          <w:tcPr>
            <w:tcW w:type="dxa" w:w="2971"/>
          </w:tcPr>
          <w:p>
            <w:pPr>
              <w:pStyle w:val="Compact"/>
              <w:spacing w:after="0" w:before="0" w:line="240" w:lineRule="auto"/>
              <w:jc w:val="left"/>
            </w:pPr>
            <w:r>
              <w:rPr>
                <w:sz w:val="19"/>
              </w:rPr>
              <w:t xml:space="preserve">the web page lists every module and data file the app reads; the site build copies them byte for byte with a SHA-256 manifest; versions are pinned; the app does not load scikit-learn</w:t>
            </w:r>
          </w:p>
        </w:tc>
      </w:tr>
    </w:tbl>
    <w:p>
      <w:pPr>
        <w:pStyle w:val="BodyText"/>
        <w:spacing w:before="160"/>
      </w:pPr>
      <w:r>
        <w:t xml:space="preserve">On 24 October 2026 the suite passed (93 passed) and</w:t>
      </w:r>
      <w:r>
        <w:t xml:space="preserve"> </w:t>
      </w:r>
      <w:r>
        <w:rPr>
          <w:rStyle w:val="VerbatimChar"/>
        </w:rPr>
        <w:t xml:space="preserve">python -m transit.verify</w:t>
      </w:r>
      <w:r>
        <w:t xml:space="preserve"> </w:t>
      </w:r>
      <w:r>
        <w:t xml:space="preserve">matched all 2,326 values.</w:t>
      </w:r>
    </w:p>
    <w:bookmarkEnd w:id="83"/>
    <w:bookmarkStart w:id="87" w:name="dashboard"/>
    <w:p>
      <w:pPr>
        <w:pStyle w:val="Heading2"/>
      </w:pPr>
      <w:r>
        <w:t xml:space="preserve">9.4 Dashboard</w:t>
      </w:r>
    </w:p>
    <w:p>
      <w:pPr>
        <w:pStyle w:val="FirstParagraph"/>
      </w:pPr>
      <w:r>
        <w:t xml:space="preserve">The Streamlit dashboard (</w:t>
      </w:r>
      <w:r>
        <w:rPr>
          <w:rStyle w:val="VerbatimChar"/>
        </w:rPr>
        <w:t xml:space="preserve">app/streamlit_app.py</w:t>
      </w:r>
      <w:r>
        <w:t xml:space="preserve">) reads only committed files, so it starts without downloading SUNT and works offline. It has five pages:</w:t>
      </w:r>
    </w:p>
    <w:p>
      <w:pPr>
        <w:pStyle w:val="Compact"/>
        <w:numPr>
          <w:ilvl w:val="0"/>
          <w:numId w:val="1013"/>
        </w:numPr>
      </w:pPr>
      <w:r>
        <w:rPr>
          <w:b/>
          <w:bCs/>
        </w:rPr>
        <w:t xml:space="preserve">Forecast explorer:</w:t>
      </w:r>
      <w:r>
        <w:t xml:space="preserve"> </w:t>
      </w:r>
      <w:r>
        <w:t xml:space="preserve">choose the period, route-direction and day; see actual boardings, the final forecast, the last-week rule and the 80% band; the estimated load with the medium and high thresholds for a chosen capacity; and an hour-by-hour crowding strip. Hours with no SUNT record are shown as open circles and are not scored.</w:t>
      </w:r>
    </w:p>
    <w:p>
      <w:pPr>
        <w:pStyle w:val="Compact"/>
        <w:numPr>
          <w:ilvl w:val="0"/>
          <w:numId w:val="1013"/>
        </w:numPr>
      </w:pPr>
      <w:r>
        <w:rPr>
          <w:b/>
          <w:bCs/>
        </w:rPr>
        <w:t xml:space="preserve">Model comparison:</w:t>
      </w:r>
      <w:r>
        <w:t xml:space="preserve"> </w:t>
      </w:r>
      <w:r>
        <w:t xml:space="preserve">the test tables, a live recomputation of the metrics from the prediction files, error breakdowns, tuning results, the ablation and feature importances.</w:t>
      </w:r>
    </w:p>
    <w:p>
      <w:pPr>
        <w:pStyle w:val="Compact"/>
        <w:numPr>
          <w:ilvl w:val="0"/>
          <w:numId w:val="1013"/>
        </w:numPr>
      </w:pPr>
      <w:r>
        <w:rPr>
          <w:b/>
          <w:bCs/>
        </w:rPr>
        <w:t xml:space="preserve">Crowding and capacity:</w:t>
      </w:r>
      <w:r>
        <w:t xml:space="preserve"> </w:t>
      </w:r>
      <w:r>
        <w:t xml:space="preserve">results under all four capacities and the confusion matrices.</w:t>
      </w:r>
    </w:p>
    <w:p>
      <w:pPr>
        <w:pStyle w:val="Compact"/>
        <w:numPr>
          <w:ilvl w:val="0"/>
          <w:numId w:val="1013"/>
        </w:numPr>
      </w:pPr>
      <w:r>
        <w:rPr>
          <w:b/>
          <w:bCs/>
        </w:rPr>
        <w:t xml:space="preserve">Next-day forecast:</w:t>
      </w:r>
      <w:r>
        <w:t xml:space="preserve"> </w:t>
      </w:r>
      <w:r>
        <w:t xml:space="preserve">the forecast for 29 April 2024, with the route-hours forecast as high crowding; labelled as a demonstration because no actuals exist.</w:t>
      </w:r>
    </w:p>
    <w:p>
      <w:pPr>
        <w:pStyle w:val="Compact"/>
        <w:numPr>
          <w:ilvl w:val="0"/>
          <w:numId w:val="1013"/>
        </w:numPr>
      </w:pPr>
      <w:r>
        <w:rPr>
          <w:b/>
          <w:bCs/>
        </w:rPr>
        <w:t xml:space="preserve">Data and limitations:</w:t>
      </w:r>
      <w:r>
        <w:t xml:space="preserve"> </w:t>
      </w:r>
      <w:r>
        <w:t xml:space="preserve">source, licence, split and every caveat in this report.</w:t>
      </w:r>
    </w:p>
    <w:p>
      <w:pPr>
        <w:pStyle w:val="CaptionedFigure"/>
      </w:pPr>
      <w:r>
        <w:drawing>
          <wp:inline>
            <wp:extent cx="5334000" cy="6521302"/>
            <wp:effectExtent b="0" l="0" r="0" t="0"/>
            <wp:docPr descr="Figure 7. Main panel of the Forecast explorer page, running locally (screenshot taken on 24 October 2026). Shown: route 137, direction I, Monday 15 April 2024, the page’s default selection. The WAPE values on the page refer to this one route-day only; overall results are in Tables 1 and 2." title="" id="85" name="Picture"/>
            <a:graphic>
              <a:graphicData uri="http://schemas.openxmlformats.org/drawingml/2006/picture">
                <pic:pic>
                  <pic:nvPicPr>
                    <pic:cNvPr descr="figures/dashboard_explorer.png" id="86" name="Picture"/>
                    <pic:cNvPicPr>
                      <a:picLocks noChangeArrowheads="1" noChangeAspect="1"/>
                    </pic:cNvPicPr>
                  </pic:nvPicPr>
                  <pic:blipFill>
                    <a:blip r:embed="rId84"/>
                    <a:stretch>
                      <a:fillRect/>
                    </a:stretch>
                  </pic:blipFill>
                  <pic:spPr bwMode="auto">
                    <a:xfrm>
                      <a:off x="0" y="0"/>
                      <a:ext cx="5334000" cy="6521302"/>
                    </a:xfrm>
                    <a:prstGeom prst="rect">
                      <a:avLst/>
                    </a:prstGeom>
                    <a:noFill/>
                    <a:ln w="9525">
                      <a:noFill/>
                      <a:headEnd/>
                      <a:tailEnd/>
                    </a:ln>
                  </pic:spPr>
                </pic:pic>
              </a:graphicData>
            </a:graphic>
          </wp:inline>
        </w:drawing>
      </w:r>
    </w:p>
    <w:p>
      <w:pPr>
        <w:pStyle w:val="ImageCaption"/>
      </w:pPr>
      <w:r>
        <w:t xml:space="preserve">Figure 7. Main panel of the Forecast explorer page, running locally (screenshot taken on 24 October 2026). Shown: route 137, direction I, Monday 15 April 2024, the page’s default selection. The WAPE values on the page refer to this one route-day only; overall results are in Tables 1 and 2.</w:t>
      </w:r>
    </w:p>
    <w:p>
      <w:pPr>
        <w:pStyle w:val="BodyText"/>
      </w:pPr>
      <w:r>
        <w:t xml:space="preserve">Changing the capacity on the explorer page does not re-run any model; it only moves the threshold lines and relabels the crowding strip. Every page is checked by an automated test that fails on any exception.</w:t>
      </w:r>
    </w:p>
    <w:bookmarkEnd w:id="87"/>
    <w:bookmarkStart w:id="88" w:name="public-deployment-github-pages"/>
    <w:p>
      <w:pPr>
        <w:pStyle w:val="Heading2"/>
      </w:pPr>
      <w:r>
        <w:t xml:space="preserve">9.5 Public deployment (GitHub Pages)</w:t>
      </w:r>
    </w:p>
    <w:p>
      <w:pPr>
        <w:pStyle w:val="FirstParagraph"/>
      </w:pPr>
      <w:r>
        <w:t xml:space="preserve">The same dashboard is public at</w:t>
      </w:r>
      <w:r>
        <w:t xml:space="preserve"> </w:t>
      </w:r>
      <w:r>
        <w:rPr>
          <w:b/>
          <w:bCs/>
        </w:rPr>
        <w:t xml:space="preserve">https://jayvaghela779.github.io/cs3011-public-transport-demand-occupancy/</w:t>
      </w:r>
      <w:r>
        <w:t xml:space="preserve">. It is a static GitHub Pages site. The page (</w:t>
      </w:r>
      <w:r>
        <w:rPr>
          <w:rStyle w:val="VerbatimChar"/>
        </w:rPr>
        <w:t xml:space="preserve">web/index.html</w:t>
      </w:r>
      <w:r>
        <w:t xml:space="preserve">) runs the unchanged</w:t>
      </w:r>
      <w:r>
        <w:t xml:space="preserve"> </w:t>
      </w:r>
      <w:r>
        <w:rPr>
          <w:rStyle w:val="VerbatimChar"/>
        </w:rPr>
        <w:t xml:space="preserve">app/streamlit_app.py</w:t>
      </w:r>
      <w:r>
        <w:t xml:space="preserve"> </w:t>
      </w:r>
      <w:r>
        <w:t xml:space="preserve">inside the visitor’s browser with stlite 1.12.0 (Streamlit 1.65 on Pyodide 314.0.3, that is, Python compiled to WebAssembly). This approach was chosen because:</w:t>
      </w:r>
    </w:p>
    <w:p>
      <w:pPr>
        <w:pStyle w:val="Compact"/>
        <w:numPr>
          <w:ilvl w:val="0"/>
          <w:numId w:val="1014"/>
        </w:numPr>
      </w:pPr>
      <w:r>
        <w:t xml:space="preserve">there is no server that can sleep or fail;</w:t>
      </w:r>
    </w:p>
    <w:p>
      <w:pPr>
        <w:pStyle w:val="Compact"/>
        <w:numPr>
          <w:ilvl w:val="0"/>
          <w:numId w:val="1014"/>
        </w:numPr>
      </w:pPr>
      <w:r>
        <w:t xml:space="preserve">no account is needed beyond the repository’s own GitHub account;</w:t>
      </w:r>
    </w:p>
    <w:p>
      <w:pPr>
        <w:pStyle w:val="Compact"/>
        <w:numPr>
          <w:ilvl w:val="0"/>
          <w:numId w:val="1014"/>
        </w:numPr>
      </w:pPr>
      <w:r>
        <w:t xml:space="preserve">the site updates itself from</w:t>
      </w:r>
      <w:r>
        <w:t xml:space="preserve"> </w:t>
      </w:r>
      <w:r>
        <w:rPr>
          <w:rStyle w:val="VerbatimChar"/>
        </w:rPr>
        <w:t xml:space="preserve">main</w:t>
      </w:r>
      <w:r>
        <w:t xml:space="preserve">.</w:t>
      </w:r>
    </w:p>
    <w:p>
      <w:pPr>
        <w:pStyle w:val="FirstParagraph"/>
      </w:pPr>
      <w:r>
        <w:rPr>
          <w:b/>
          <w:bCs/>
        </w:rPr>
        <w:t xml:space="preserve">How it is published.</w:t>
      </w:r>
      <w:r>
        <w:t xml:space="preserve"> </w:t>
      </w:r>
      <w:r>
        <w:t xml:space="preserve">A GitHub Actions workflow (</w:t>
      </w:r>
      <w:r>
        <w:rPr>
          <w:rStyle w:val="VerbatimChar"/>
        </w:rPr>
        <w:t xml:space="preserve">.github/workflows/pages.yml</w:t>
      </w:r>
      <w:r>
        <w:t xml:space="preserve">) runs</w:t>
      </w:r>
      <w:r>
        <w:t xml:space="preserve"> </w:t>
      </w:r>
      <w:r>
        <w:rPr>
          <w:rStyle w:val="VerbatimChar"/>
        </w:rPr>
        <w:t xml:space="preserve">web/build_site.py</w:t>
      </w:r>
      <w:r>
        <w:t xml:space="preserve"> </w:t>
      </w:r>
      <w:r>
        <w:t xml:space="preserve">whenever the app, its modules or the committed results change on</w:t>
      </w:r>
      <w:r>
        <w:t xml:space="preserve"> </w:t>
      </w:r>
      <w:r>
        <w:rPr>
          <w:rStyle w:val="VerbatimChar"/>
        </w:rPr>
        <w:t xml:space="preserve">main</w:t>
      </w:r>
      <w:r>
        <w:t xml:space="preserve">.</w:t>
      </w:r>
    </w:p>
    <w:p>
      <w:pPr>
        <w:pStyle w:val="Compact"/>
        <w:numPr>
          <w:ilvl w:val="0"/>
          <w:numId w:val="1015"/>
        </w:numPr>
      </w:pPr>
      <w:r>
        <w:t xml:space="preserve">It copies the app code and result files to the</w:t>
      </w:r>
      <w:r>
        <w:t xml:space="preserve"> </w:t>
      </w:r>
      <w:r>
        <w:rPr>
          <w:rStyle w:val="VerbatimChar"/>
        </w:rPr>
        <w:t xml:space="preserve">gh-pages</w:t>
      </w:r>
      <w:r>
        <w:t xml:space="preserve"> </w:t>
      </w:r>
      <w:r>
        <w:t xml:space="preserve">branch together with a SHA-256 manifest.</w:t>
      </w:r>
    </w:p>
    <w:p>
      <w:pPr>
        <w:pStyle w:val="Compact"/>
        <w:numPr>
          <w:ilvl w:val="0"/>
          <w:numId w:val="1015"/>
        </w:numPr>
      </w:pPr>
      <w:r>
        <w:t xml:space="preserve">It also copies three pinned, hash-checked Python wheels (</w:t>
      </w:r>
      <w:r>
        <w:rPr>
          <w:rStyle w:val="VerbatimChar"/>
        </w:rPr>
        <w:t xml:space="preserve">web/wheels.txt</w:t>
      </w:r>
      <w:r>
        <w:t xml:space="preserve">).</w:t>
      </w:r>
    </w:p>
    <w:p>
      <w:pPr>
        <w:pStyle w:val="FirstParagraph"/>
      </w:pPr>
      <w:r>
        <w:rPr>
          <w:b/>
          <w:bCs/>
        </w:rPr>
        <w:t xml:space="preserve">How it loads.</w:t>
      </w:r>
      <w:r>
        <w:t xml:space="preserve"> </w:t>
      </w:r>
      <w:r>
        <w:t xml:space="preserve">The page downloads every file through jsDelivr’s mirror of that branch and checks each one against the manifest. It re-fetches any stale or failed copy from GitHub Pages itself. So the public site shows exactly the committed results, and no metric or prediction file is changed for it.</w:t>
      </w:r>
    </w:p>
    <w:p>
      <w:pPr>
        <w:pStyle w:val="BodyText"/>
      </w:pPr>
      <w:r>
        <w:rPr>
          <w:b/>
          <w:bCs/>
        </w:rPr>
        <w:t xml:space="preserve">Checked on 24 October 2026 (measured).</w:t>
      </w:r>
    </w:p>
    <w:p>
      <w:pPr>
        <w:pStyle w:val="Compact"/>
        <w:numPr>
          <w:ilvl w:val="0"/>
          <w:numId w:val="1016"/>
        </w:numPr>
      </w:pPr>
      <w:r>
        <w:t xml:space="preserve">The published files are byte-identical to</w:t>
      </w:r>
      <w:r>
        <w:t xml:space="preserve"> </w:t>
      </w:r>
      <w:r>
        <w:rPr>
          <w:rStyle w:val="VerbatimChar"/>
        </w:rPr>
        <w:t xml:space="preserve">main</w:t>
      </w:r>
      <w:r>
        <w:t xml:space="preserve"> </w:t>
      </w:r>
      <w:r>
        <w:t xml:space="preserve">(11 app and data files).</w:t>
      </w:r>
    </w:p>
    <w:p>
      <w:pPr>
        <w:pStyle w:val="Compact"/>
        <w:numPr>
          <w:ilvl w:val="0"/>
          <w:numId w:val="1016"/>
        </w:numPr>
      </w:pPr>
      <w:r>
        <w:t xml:space="preserve">In a real browser on an Indian home connection, all five pages worked and showed the same values as the local app:</w:t>
      </w:r>
    </w:p>
    <w:p>
      <w:pPr>
        <w:pStyle w:val="Compact"/>
        <w:numPr>
          <w:ilvl w:val="1"/>
          <w:numId w:val="1017"/>
        </w:numPr>
      </w:pPr>
      <w:r>
        <w:t xml:space="preserve">route 137 I on 17 April: day WAPE 15.3% against 7.7%;</w:t>
      </w:r>
    </w:p>
    <w:p>
      <w:pPr>
        <w:pStyle w:val="Compact"/>
        <w:numPr>
          <w:ilvl w:val="1"/>
          <w:numId w:val="1017"/>
        </w:numPr>
      </w:pPr>
      <w:r>
        <w:t xml:space="preserve">next day: 9,566 route-hours, 481 of them high crowding;</w:t>
      </w:r>
    </w:p>
    <w:p>
      <w:pPr>
        <w:pStyle w:val="Compact"/>
        <w:numPr>
          <w:ilvl w:val="1"/>
          <w:numId w:val="1017"/>
        </w:numPr>
      </w:pPr>
      <w:r>
        <w:t xml:space="preserve">the in-browser recomputation matched all ten reported test WAPEs;</w:t>
      </w:r>
    </w:p>
    <w:p>
      <w:pPr>
        <w:pStyle w:val="Compact"/>
        <w:numPr>
          <w:ilvl w:val="1"/>
          <w:numId w:val="1017"/>
        </w:numPr>
      </w:pPr>
      <w:r>
        <w:t xml:space="preserve">no Python errors.</w:t>
      </w:r>
    </w:p>
    <w:p>
      <w:pPr>
        <w:pStyle w:val="FirstParagraph"/>
      </w:pPr>
      <w:r>
        <w:rPr>
          <w:b/>
          <w:bCs/>
        </w:rPr>
        <w:t xml:space="preserve">Load time (measured).</w:t>
      </w:r>
      <w:r>
        <w:t xml:space="preserve"> </w:t>
      </w:r>
      <w:r>
        <w:t xml:space="preserve">A first visit downloads about 85 MB: 27 MB of results and about 55 MB of Python runtime and packages.</w:t>
      </w:r>
    </w:p>
    <w:p>
      <w:pPr>
        <w:pStyle w:val="Compact"/>
        <w:numPr>
          <w:ilvl w:val="0"/>
          <w:numId w:val="1018"/>
        </w:numPr>
      </w:pPr>
      <w:r>
        <w:t xml:space="preserve">A cold load took 83 s on a connection throttled to 10 Mbit/s, and 340 s (about 5 minutes 40 seconds) at 2 Mbit/s, the speed measured on the home network above.</w:t>
      </w:r>
    </w:p>
    <w:p>
      <w:pPr>
        <w:pStyle w:val="Compact"/>
        <w:numPr>
          <w:ilvl w:val="0"/>
          <w:numId w:val="1018"/>
        </w:numPr>
      </w:pPr>
      <w:r>
        <w:t xml:space="preserve">Repeat visits use the browser cache and were ready in about 40 s.</w:t>
      </w:r>
    </w:p>
    <w:p>
      <w:pPr>
        <w:pStyle w:val="Compact"/>
        <w:numPr>
          <w:ilvl w:val="0"/>
          <w:numId w:val="1018"/>
        </w:numPr>
      </w:pPr>
      <w:r>
        <w:t xml:space="preserve">On the tested home network,</w:t>
      </w:r>
      <w:r>
        <w:t xml:space="preserve"> </w:t>
      </w:r>
      <w:r>
        <w:rPr>
          <w:rStyle w:val="VerbatimChar"/>
        </w:rPr>
        <w:t xml:space="preserve">raw.githubusercontent.com</w:t>
      </w:r>
      <w:r>
        <w:t xml:space="preserve"> </w:t>
      </w:r>
      <w:r>
        <w:t xml:space="preserve">and</w:t>
      </w:r>
      <w:r>
        <w:t xml:space="preserve"> </w:t>
      </w:r>
      <w:r>
        <w:rPr>
          <w:rStyle w:val="VerbatimChar"/>
        </w:rPr>
        <w:t xml:space="preserve">files.pythonhosted.org</w:t>
      </w:r>
      <w:r>
        <w:t xml:space="preserve"> </w:t>
      </w:r>
      <w:r>
        <w:t xml:space="preserve">were throttled to almost nothing, and</w:t>
      </w:r>
      <w:r>
        <w:t xml:space="preserve"> </w:t>
      </w:r>
      <w:r>
        <w:rPr>
          <w:rStyle w:val="VerbatimChar"/>
        </w:rPr>
        <w:t xml:space="preserve">github.io</w:t>
      </w:r>
      <w:r>
        <w:t xml:space="preserve"> </w:t>
      </w:r>
      <w:r>
        <w:t xml:space="preserve">was slow for large files. That is why the page downloads through jsDelivr and serves the three wheels itself.</w:t>
      </w:r>
    </w:p>
    <w:p>
      <w:pPr>
        <w:pStyle w:val="Compact"/>
        <w:numPr>
          <w:ilvl w:val="0"/>
          <w:numId w:val="1018"/>
        </w:numPr>
      </w:pPr>
      <w:r>
        <w:t xml:space="preserve">Once, a runtime download stalled inside Pyodide’s loader; the page now suggests a reload after two minutes without progress.</w:t>
      </w:r>
    </w:p>
    <w:p>
      <w:pPr>
        <w:pStyle w:val="FirstParagraph"/>
      </w:pPr>
      <w:r>
        <w:t xml:space="preserve">For the evaluation the local app remains the primary demo: it starts instantly and needs no internet.</w:t>
      </w:r>
    </w:p>
    <w:bookmarkEnd w:id="88"/>
    <w:bookmarkEnd w:id="89"/>
    <w:bookmarkStart w:id="90" w:name="limitations"/>
    <w:p>
      <w:pPr>
        <w:pStyle w:val="Heading1"/>
      </w:pPr>
      <w:r>
        <w:t xml:space="preserve">10. Limitations</w:t>
      </w:r>
    </w:p>
    <w:p>
      <w:pPr>
        <w:pStyle w:val="Compact"/>
        <w:numPr>
          <w:ilvl w:val="0"/>
          <w:numId w:val="1019"/>
        </w:numPr>
      </w:pPr>
      <w:r>
        <w:rPr>
          <w:b/>
          <w:bCs/>
        </w:rPr>
        <w:t xml:space="preserve">Estimated, not measured, occupancy.</w:t>
      </w:r>
      <w:r>
        <w:t xml:space="preserve"> </w:t>
      </w:r>
      <w:r>
        <w:t xml:space="preserve">Alightings are inferred by trip chaining; the load target is an estimate (section 2.2).</w:t>
      </w:r>
    </w:p>
    <w:p>
      <w:pPr>
        <w:pStyle w:val="Compact"/>
        <w:numPr>
          <w:ilvl w:val="0"/>
          <w:numId w:val="1019"/>
        </w:numPr>
      </w:pPr>
      <w:r>
        <w:rPr>
          <w:b/>
          <w:bCs/>
        </w:rPr>
        <w:t xml:space="preserve">Under-counting.</w:t>
      </w:r>
      <w:r>
        <w:t xml:space="preserve"> </w:t>
      </w:r>
      <w:r>
        <w:t xml:space="preserve">Riders aged 65 and over are not recorded; recorded weekday boardings are about 85% of the city’s published figure.</w:t>
      </w:r>
    </w:p>
    <w:p>
      <w:pPr>
        <w:pStyle w:val="Compact"/>
        <w:numPr>
          <w:ilvl w:val="0"/>
          <w:numId w:val="1019"/>
        </w:numPr>
      </w:pPr>
      <w:r>
        <w:rPr>
          <w:b/>
          <w:bCs/>
        </w:rPr>
        <w:t xml:space="preserve">Assumed capacity.</w:t>
      </w:r>
      <w:r>
        <w:t xml:space="preserve"> </w:t>
      </w:r>
      <w:r>
        <w:t xml:space="preserve">Crowding levels depend on an assumed vehicle capacity; results change markedly between scenarios (Table 8).</w:t>
      </w:r>
    </w:p>
    <w:p>
      <w:pPr>
        <w:pStyle w:val="Compact"/>
        <w:numPr>
          <w:ilvl w:val="0"/>
          <w:numId w:val="1019"/>
        </w:numPr>
      </w:pPr>
      <w:r>
        <w:rPr>
          <w:b/>
          <w:bCs/>
        </w:rPr>
        <w:t xml:space="preserve">One city and 59 days.</w:t>
      </w:r>
      <w:r>
        <w:t xml:space="preserve"> </w:t>
      </w:r>
      <w:r>
        <w:t xml:space="preserve">All data is from Salvador, Brazil, March–April 2024. Nothing here is validated for Indian or tier-2 cities, or for other seasons.</w:t>
      </w:r>
    </w:p>
    <w:p>
      <w:pPr>
        <w:pStyle w:val="Compact"/>
        <w:numPr>
          <w:ilvl w:val="0"/>
          <w:numId w:val="1019"/>
        </w:numPr>
      </w:pPr>
      <w:r>
        <w:rPr>
          <w:b/>
          <w:bCs/>
        </w:rPr>
        <w:t xml:space="preserve">No holiday in the test weeks.</w:t>
      </w:r>
      <w:r>
        <w:t xml:space="preserve"> </w:t>
      </w:r>
      <w:r>
        <w:t xml:space="preserve">Holiday behaviour is not tested.</w:t>
      </w:r>
    </w:p>
    <w:p>
      <w:pPr>
        <w:pStyle w:val="Compact"/>
        <w:numPr>
          <w:ilvl w:val="0"/>
          <w:numId w:val="1019"/>
        </w:numPr>
      </w:pPr>
      <w:r>
        <w:rPr>
          <w:b/>
          <w:bCs/>
        </w:rPr>
        <w:t xml:space="preserve">Conditional forecast.</w:t>
      </w:r>
      <w:r>
        <w:t xml:space="preserve"> </w:t>
      </w:r>
      <w:r>
        <w:t xml:space="preserve">Forecasts assume the route runs in that hour; missing records are not scored, and cancellations are not predicted.</w:t>
      </w:r>
    </w:p>
    <w:p>
      <w:pPr>
        <w:pStyle w:val="Compact"/>
        <w:numPr>
          <w:ilvl w:val="0"/>
          <w:numId w:val="1019"/>
        </w:numPr>
      </w:pPr>
      <w:r>
        <w:rPr>
          <w:b/>
          <w:bCs/>
        </w:rPr>
        <w:t xml:space="preserve">Small gain over a strong baseline.</w:t>
      </w:r>
      <w:r>
        <w:t xml:space="preserve"> </w:t>
      </w:r>
      <w:r>
        <w:t xml:space="preserve">The model’s advantage over the historical average is 0.20 WAPE points for demand, in absolute error only (on RMSE the historical average is slightly better for demand). The bootstrap interval covers variation across routes within the 14 test days, not across weeks or seasons.</w:t>
      </w:r>
    </w:p>
    <w:p>
      <w:pPr>
        <w:pStyle w:val="Compact"/>
        <w:numPr>
          <w:ilvl w:val="0"/>
          <w:numId w:val="1019"/>
        </w:numPr>
      </w:pPr>
      <w:r>
        <w:rPr>
          <w:b/>
          <w:bCs/>
        </w:rPr>
        <w:t xml:space="preserve">Test weeks scored twice.</w:t>
      </w:r>
      <w:r>
        <w:t xml:space="preserve"> </w:t>
      </w:r>
      <w:r>
        <w:t xml:space="preserve">Disclosed in section 5.4.</w:t>
      </w:r>
    </w:p>
    <w:p>
      <w:pPr>
        <w:pStyle w:val="Compact"/>
        <w:numPr>
          <w:ilvl w:val="0"/>
          <w:numId w:val="1019"/>
        </w:numPr>
      </w:pPr>
      <w:r>
        <w:rPr>
          <w:b/>
          <w:bCs/>
        </w:rPr>
        <w:t xml:space="preserve">Night-time load intervals.</w:t>
      </w:r>
      <w:r>
        <w:t xml:space="preserve"> </w:t>
      </w:r>
      <w:r>
        <w:t xml:space="preserve">About 52% coverage instead of 80% (section 8.2).</w:t>
      </w:r>
    </w:p>
    <w:p>
      <w:pPr>
        <w:pStyle w:val="Compact"/>
        <w:numPr>
          <w:ilvl w:val="0"/>
          <w:numId w:val="1019"/>
        </w:numPr>
      </w:pPr>
      <w:r>
        <w:rPr>
          <w:b/>
          <w:bCs/>
        </w:rPr>
        <w:t xml:space="preserve">Validation optimism.</w:t>
      </w:r>
      <w:r>
        <w:t xml:space="preserve"> </w:t>
      </w:r>
      <w:r>
        <w:t xml:space="preserve">Validation figures were used for selection and are optimistic; the test figures are the honest estimate.</w:t>
      </w:r>
    </w:p>
    <w:p>
      <w:pPr>
        <w:pStyle w:val="Compact"/>
        <w:numPr>
          <w:ilvl w:val="0"/>
          <w:numId w:val="1019"/>
        </w:numPr>
      </w:pPr>
      <w:r>
        <w:rPr>
          <w:b/>
          <w:bCs/>
        </w:rPr>
        <w:t xml:space="preserve">Heavy public dashboard; limited cross-platform reruns.</w:t>
      </w:r>
      <w:r>
        <w:t xml:space="preserve"> </w:t>
      </w:r>
      <w:r>
        <w:t xml:space="preserve">The public dashboard downloads about 85 MB on a first visit and needs a recent browser. It runs Streamlit 1.65 on Pyodide rather than the local Streamlit 1.66, so small visual differences are possible. The full pipeline has been rerun on Linux but not yet on Windows or Colab.</w:t>
      </w:r>
    </w:p>
    <w:bookmarkEnd w:id="90"/>
    <w:bookmarkStart w:id="91" w:name="ethical-considerations"/>
    <w:p>
      <w:pPr>
        <w:pStyle w:val="Heading1"/>
      </w:pPr>
      <w:r>
        <w:t xml:space="preserve">11. Ethical considerations</w:t>
      </w:r>
    </w:p>
    <w:p>
      <w:pPr>
        <w:pStyle w:val="Compact"/>
        <w:numPr>
          <w:ilvl w:val="0"/>
          <w:numId w:val="1020"/>
        </w:numPr>
      </w:pPr>
      <w:r>
        <w:rPr>
          <w:b/>
          <w:bCs/>
        </w:rPr>
        <w:t xml:space="preserve">Privacy.</w:t>
      </w:r>
      <w:r>
        <w:t xml:space="preserve"> </w:t>
      </w:r>
      <w:r>
        <w:t xml:space="preserve">SUNT is built from fare-card and vehicle-location records. We use only the published OD tables, aggregate them to route-hours, and drop stop, vehicle and register identifiers from our outputs. Nothing in this project attempts to identify or track individual travellers.</w:t>
      </w:r>
    </w:p>
    <w:p>
      <w:pPr>
        <w:pStyle w:val="Compact"/>
        <w:numPr>
          <w:ilvl w:val="0"/>
          <w:numId w:val="1020"/>
        </w:numPr>
      </w:pPr>
      <w:r>
        <w:rPr>
          <w:b/>
          <w:bCs/>
        </w:rPr>
        <w:t xml:space="preserve">Fairness and representation.</w:t>
      </w:r>
      <w:r>
        <w:t xml:space="preserve"> </w:t>
      </w:r>
      <w:r>
        <w:t xml:space="preserve">Riders aged 65 and over, who travel free without a card, are invisible in the data. Planning purely from these forecasts could under-provide service on routes and at times used mainly by older passengers. Any operational use should correct for known gaps with other counts.</w:t>
      </w:r>
    </w:p>
    <w:p>
      <w:pPr>
        <w:pStyle w:val="Compact"/>
        <w:numPr>
          <w:ilvl w:val="0"/>
          <w:numId w:val="1020"/>
        </w:numPr>
      </w:pPr>
      <w:r>
        <w:rPr>
          <w:b/>
          <w:bCs/>
        </w:rPr>
        <w:t xml:space="preserve">Honest labelling.</w:t>
      </w:r>
      <w:r>
        <w:t xml:space="preserve"> </w:t>
      </w:r>
      <w:r>
        <w:t xml:space="preserve">Calling an inferred quantity</w:t>
      </w:r>
      <w:r>
        <w:t xml:space="preserve"> </w:t>
      </w:r>
      <w:r>
        <w:t xml:space="preserve">“</w:t>
      </w:r>
      <w:r>
        <w:t xml:space="preserve">occupancy</w:t>
      </w:r>
      <w:r>
        <w:t xml:space="preserve">”</w:t>
      </w:r>
      <w:r>
        <w:t xml:space="preserve"> </w:t>
      </w:r>
      <w:r>
        <w:t xml:space="preserve">without qualification could mislead decision-makers. We use</w:t>
      </w:r>
      <w:r>
        <w:t xml:space="preserve"> </w:t>
      </w:r>
      <w:r>
        <w:t xml:space="preserve">“</w:t>
      </w:r>
      <w:r>
        <w:t xml:space="preserve">estimated on-board load</w:t>
      </w:r>
      <w:r>
        <w:t xml:space="preserve">”</w:t>
      </w:r>
      <w:r>
        <w:t xml:space="preserve"> </w:t>
      </w:r>
      <w:r>
        <w:t xml:space="preserve">throughout, in the code, the dashboard and this report.</w:t>
      </w:r>
    </w:p>
    <w:p>
      <w:pPr>
        <w:pStyle w:val="Compact"/>
        <w:numPr>
          <w:ilvl w:val="0"/>
          <w:numId w:val="1020"/>
        </w:numPr>
      </w:pPr>
      <w:r>
        <w:rPr>
          <w:b/>
          <w:bCs/>
        </w:rPr>
        <w:t xml:space="preserve">Automation bias.</w:t>
      </w:r>
      <w:r>
        <w:t xml:space="preserve"> </w:t>
      </w:r>
      <w:r>
        <w:t xml:space="preserve">The dashboard presents forecasts and crowding colours with an air of precision. Prediction intervals, the capacity selector and the caveats page are there so that users see uncertainty and assumptions, not just a single number. Night-time load ranges should not be trusted as 80% ranges.</w:t>
      </w:r>
    </w:p>
    <w:p>
      <w:pPr>
        <w:pStyle w:val="Compact"/>
        <w:numPr>
          <w:ilvl w:val="0"/>
          <w:numId w:val="1020"/>
        </w:numPr>
      </w:pPr>
      <w:r>
        <w:rPr>
          <w:b/>
          <w:bCs/>
        </w:rPr>
        <w:t xml:space="preserve">Transferability.</w:t>
      </w:r>
      <w:r>
        <w:t xml:space="preserve"> </w:t>
      </w:r>
      <w:r>
        <w:t xml:space="preserve">A model trained on Salvador should not be applied to other cities, including Indian cities, without retraining and validation on local data.</w:t>
      </w:r>
    </w:p>
    <w:p>
      <w:pPr>
        <w:pStyle w:val="Compact"/>
        <w:numPr>
          <w:ilvl w:val="0"/>
          <w:numId w:val="1020"/>
        </w:numPr>
      </w:pPr>
      <w:r>
        <w:rPr>
          <w:b/>
          <w:bCs/>
        </w:rPr>
        <w:t xml:space="preserve">Licensing and credit.</w:t>
      </w:r>
      <w:r>
        <w:t xml:space="preserve"> </w:t>
      </w:r>
      <w:r>
        <w:t xml:space="preserve">The data is used under CC BY 4.0 with attribution and a statement of changes. Repositories without a licence were read for ideas only and are cited, not copied.</w:t>
      </w:r>
    </w:p>
    <w:p>
      <w:pPr>
        <w:pStyle w:val="Compact"/>
        <w:numPr>
          <w:ilvl w:val="0"/>
          <w:numId w:val="1020"/>
        </w:numPr>
      </w:pPr>
      <w:r>
        <w:rPr>
          <w:b/>
          <w:bCs/>
        </w:rPr>
        <w:t xml:space="preserve">Use of AI assistance.</w:t>
      </w:r>
      <w:r>
        <w:t xml:space="preserve"> </w:t>
      </w:r>
      <w:r>
        <w:t xml:space="preserve">The code and documents in the repository, including this report, were written in AI-assisted sessions with Claude (Anthropic), directed and reviewed by the group lead. Every such commit carries a</w:t>
      </w:r>
      <w:r>
        <w:t xml:space="preserve"> </w:t>
      </w:r>
      <w:r>
        <w:rPr>
          <w:rStyle w:val="VerbatimChar"/>
        </w:rPr>
        <w:t xml:space="preserve">Co-Authored-By</w:t>
      </w:r>
      <w:r>
        <w:t xml:space="preserve"> </w:t>
      </w:r>
      <w:r>
        <w:t xml:space="preserve">line; as of 24 October 2026 that is every commit. The team remains responsible for the content and must be able to explain it.</w:t>
      </w:r>
    </w:p>
    <w:bookmarkEnd w:id="91"/>
    <w:bookmarkStart w:id="92" w:name="Xe3c24a0b61a45f5f1c7a8563dfd6b781e702cf6"/>
    <w:p>
      <w:pPr>
        <w:pStyle w:val="Heading1"/>
      </w:pPr>
      <w:r>
        <w:t xml:space="preserve">12. Future work (proposed; none of this has been done)</w:t>
      </w:r>
    </w:p>
    <w:p>
      <w:pPr>
        <w:pStyle w:val="Compact"/>
        <w:numPr>
          <w:ilvl w:val="0"/>
          <w:numId w:val="1021"/>
        </w:numPr>
      </w:pPr>
      <w:r>
        <w:rPr>
          <w:b/>
          <w:bCs/>
        </w:rPr>
        <w:t xml:space="preserve">Per-period interval calibration:</w:t>
      </w:r>
      <w:r>
        <w:t xml:space="preserve"> </w:t>
      </w:r>
      <w:r>
        <w:t xml:space="preserve">a separate conformal margin for each period of the day, set on validation, to address the night-time gap (D13). Any new evaluation should use new held-out weeks.</w:t>
      </w:r>
    </w:p>
    <w:p>
      <w:pPr>
        <w:pStyle w:val="Compact"/>
        <w:numPr>
          <w:ilvl w:val="0"/>
          <w:numId w:val="1021"/>
        </w:numPr>
      </w:pPr>
      <w:r>
        <w:rPr>
          <w:b/>
          <w:bCs/>
        </w:rPr>
        <w:t xml:space="preserve">Fresh held-out data:</w:t>
      </w:r>
      <w:r>
        <w:t xml:space="preserve"> </w:t>
      </w:r>
      <w:r>
        <w:t xml:space="preserve">re-evaluate on later SUNT weeks (for example May 2024, if available at the pinned source) so that the final method is tested on weeks never seen before.</w:t>
      </w:r>
    </w:p>
    <w:p>
      <w:pPr>
        <w:pStyle w:val="Compact"/>
        <w:numPr>
          <w:ilvl w:val="0"/>
          <w:numId w:val="1021"/>
        </w:numPr>
      </w:pPr>
      <w:r>
        <w:rPr>
          <w:b/>
          <w:bCs/>
        </w:rPr>
        <w:t xml:space="preserve">Better inputs:</w:t>
      </w:r>
      <w:r>
        <w:t xml:space="preserve"> </w:t>
      </w:r>
      <w:r>
        <w:t xml:space="preserve">weather, events and holidays; timetable data for the study period, which would separate</w:t>
      </w:r>
      <w:r>
        <w:t xml:space="preserve"> </w:t>
      </w:r>
      <w:r>
        <w:t xml:space="preserve">“</w:t>
      </w:r>
      <w:r>
        <w:t xml:space="preserve">no service</w:t>
      </w:r>
      <w:r>
        <w:t xml:space="preserve">”</w:t>
      </w:r>
      <w:r>
        <w:t xml:space="preserve"> </w:t>
      </w:r>
      <w:r>
        <w:t xml:space="preserve">from</w:t>
      </w:r>
      <w:r>
        <w:t xml:space="preserve"> </w:t>
      </w:r>
      <w:r>
        <w:t xml:space="preserve">“</w:t>
      </w:r>
      <w:r>
        <w:t xml:space="preserve">no record</w:t>
      </w:r>
      <w:r>
        <w:t xml:space="preserve">”</w:t>
      </w:r>
      <w:r>
        <w:t xml:space="preserve">.</w:t>
      </w:r>
    </w:p>
    <w:p>
      <w:pPr>
        <w:pStyle w:val="Compact"/>
        <w:numPr>
          <w:ilvl w:val="0"/>
          <w:numId w:val="1021"/>
        </w:numPr>
      </w:pPr>
      <w:r>
        <w:rPr>
          <w:b/>
          <w:bCs/>
        </w:rPr>
        <w:t xml:space="preserve">Real capacity and counts:</w:t>
      </w:r>
      <w:r>
        <w:t xml:space="preserve"> </w:t>
      </w:r>
      <w:r>
        <w:t xml:space="preserve">vehicle assignments per trip, or automatic passenger counters, to replace the assumed capacity and to validate the estimated load.</w:t>
      </w:r>
    </w:p>
    <w:p>
      <w:pPr>
        <w:pStyle w:val="Compact"/>
        <w:numPr>
          <w:ilvl w:val="0"/>
          <w:numId w:val="1021"/>
        </w:numPr>
      </w:pPr>
      <w:r>
        <w:rPr>
          <w:b/>
          <w:bCs/>
        </w:rPr>
        <w:t xml:space="preserve">Other cities:</w:t>
      </w:r>
      <w:r>
        <w:t xml:space="preserve"> </w:t>
      </w:r>
      <w:r>
        <w:t xml:space="preserve">test the pipeline on another open dataset with real counts, ideally from an Indian city, before making any claim beyond Salvador.</w:t>
      </w:r>
    </w:p>
    <w:p>
      <w:pPr>
        <w:pStyle w:val="Compact"/>
        <w:numPr>
          <w:ilvl w:val="0"/>
          <w:numId w:val="1021"/>
        </w:numPr>
      </w:pPr>
      <w:r>
        <w:rPr>
          <w:b/>
          <w:bCs/>
        </w:rPr>
        <w:t xml:space="preserve">Planning outputs:</w:t>
      </w:r>
      <w:r>
        <w:t xml:space="preserve"> </w:t>
      </w:r>
      <w:r>
        <w:t xml:space="preserve">an</w:t>
      </w:r>
      <w:r>
        <w:t xml:space="preserve"> </w:t>
      </w:r>
      <w:r>
        <w:t xml:space="preserve">“</w:t>
      </w:r>
      <w:r>
        <w:t xml:space="preserve">extra trips needed</w:t>
      </w:r>
      <w:r>
        <w:t xml:space="preserve">”</w:t>
      </w:r>
      <w:r>
        <w:t xml:space="preserve"> </w:t>
      </w:r>
      <w:r>
        <w:t xml:space="preserve">estimate under a stated capacity assumption (D5), shown as illustrative only.</w:t>
      </w:r>
    </w:p>
    <w:p>
      <w:pPr>
        <w:pStyle w:val="Compact"/>
        <w:numPr>
          <w:ilvl w:val="0"/>
          <w:numId w:val="1021"/>
        </w:numPr>
      </w:pPr>
      <w:r>
        <w:rPr>
          <w:b/>
          <w:bCs/>
        </w:rPr>
        <w:t xml:space="preserve">Lighter public hosting:</w:t>
      </w:r>
      <w:r>
        <w:t xml:space="preserve"> </w:t>
      </w:r>
      <w:r>
        <w:t xml:space="preserve">a server-side host (for example Streamlit Community Cloud, which needs its own account sign-in) would cut the first-visit download for viewers on slow networks.</w:t>
      </w:r>
    </w:p>
    <w:bookmarkEnd w:id="92"/>
    <w:bookmarkStart w:id="93" w:name="conclusion"/>
    <w:p>
      <w:pPr>
        <w:pStyle w:val="Heading1"/>
      </w:pPr>
      <w:r>
        <w:t xml:space="preserve">13. Conclusion</w:t>
      </w:r>
    </w:p>
    <w:p>
      <w:pPr>
        <w:pStyle w:val="FirstParagraph"/>
      </w:pPr>
      <w:r>
        <w:t xml:space="preserve">We built an end-to-end, reproducible system that forecasts day-ahead hourly boardings and estimated on-board load for every bus route-direction in Salvador, derives crowding levels under documented capacity assumptions, and presents the results in a dashboard that runs offline on a laptop and publicly in any recent browser. On two held-out weeks, the final forecast (an equal blend of LightGBM and a historical average) has a WAPE of 18.15% for demand and 19.20% for estimated load: about 23–24% better than the</w:t>
      </w:r>
      <w:r>
        <w:t xml:space="preserve"> </w:t>
      </w:r>
      <w:r>
        <w:t xml:space="preserve">“</w:t>
      </w:r>
      <w:r>
        <w:t xml:space="preserve">same hour last week</w:t>
      </w:r>
      <w:r>
        <w:t xml:space="preserve">”</w:t>
      </w:r>
      <w:r>
        <w:t xml:space="preserve"> </w:t>
      </w:r>
      <w:r>
        <w:t xml:space="preserve">rule, but only marginally better than a well-chosen historical average, and only in absolute error. Crowding levels for a standard bus reach a macro-F1 of 0.769, and a daily list of the 50 most crowded forecast hours is right 92.1% of the time.</w:t>
      </w:r>
    </w:p>
    <w:p>
      <w:pPr>
        <w:pStyle w:val="BodyText"/>
      </w:pPr>
      <w:r>
        <w:t xml:space="preserve">The most useful lesson is methodological. A strong, simple baseline captured almost all of the predictable structure, and only careful baselines, a validation-only selection protocol and a cluster bootstrap made that visible. We report the small gain, the second scoring of the test weeks, the dependence on an assumed capacity and the night-time interval gap as they are. Every number in this report can be traced to committed code, checked by automated tests and reproduced from a fresh clone.</w:t>
      </w:r>
    </w:p>
    <w:bookmarkEnd w:id="93"/>
    <w:bookmarkStart w:id="100" w:name="references"/>
    <w:p>
      <w:pPr>
        <w:pStyle w:val="Heading1"/>
        <w:pageBreakBefore/>
        <w:spacing w:before="0"/>
      </w:pPr>
      <w:r>
        <w:t xml:space="preserve">References</w:t>
      </w:r>
    </w:p>
    <w:p>
      <w:pPr>
        <w:pStyle w:val="Compact"/>
        <w:numPr>
          <w:ilvl w:val="0"/>
          <w:numId w:val="1022"/>
        </w:numPr>
      </w:pPr>
      <w:r>
        <w:t xml:space="preserve">Ferreira, M. V., Souza, M., Rios, T. N., Fernandes, I. F. C., Nery, J., Gama, J., Bifet, A. and Rios, R. A. (2025). Salvador Urban Network Transportation (SUNT): A Landmark Spatiotemporal Dataset for Public Transportation.</w:t>
      </w:r>
      <w:r>
        <w:t xml:space="preserve"> </w:t>
      </w:r>
      <w:r>
        <w:rPr>
          <w:i/>
          <w:iCs/>
        </w:rPr>
        <w:t xml:space="preserve">Scientific Data</w:t>
      </w:r>
      <w:r>
        <w:t xml:space="preserve">, 12, 1320.</w:t>
      </w:r>
      <w:r>
        <w:t xml:space="preserve"> </w:t>
      </w:r>
      <w:hyperlink r:id="rId94">
        <w:r>
          <w:rPr>
            <w:rStyle w:val="Hyperlink"/>
          </w:rPr>
          <w:t xml:space="preserve">https://doi.org/10.1038/s41597-025-05674-6</w:t>
        </w:r>
      </w:hyperlink>
    </w:p>
    <w:p>
      <w:pPr>
        <w:pStyle w:val="Compact"/>
        <w:numPr>
          <w:ilvl w:val="0"/>
          <w:numId w:val="1022"/>
        </w:numPr>
      </w:pPr>
      <w:r>
        <w:t xml:space="preserve">SUNT dataset, Mendeley Data, version 1.</w:t>
      </w:r>
      <w:r>
        <w:t xml:space="preserve"> </w:t>
      </w:r>
      <w:hyperlink r:id="rId95">
        <w:r>
          <w:rPr>
            <w:rStyle w:val="Hyperlink"/>
          </w:rPr>
          <w:t xml:space="preserve">https://doi.org/10.17632/85fdtx3kr5.1</w:t>
        </w:r>
      </w:hyperlink>
      <w:r>
        <w:t xml:space="preserve"> </w:t>
      </w:r>
      <w:r>
        <w:t xml:space="preserve">(CC BY 4.0).</w:t>
      </w:r>
    </w:p>
    <w:p>
      <w:pPr>
        <w:pStyle w:val="Compact"/>
        <w:numPr>
          <w:ilvl w:val="0"/>
          <w:numId w:val="1022"/>
        </w:numPr>
      </w:pPr>
      <w:r>
        <w:t xml:space="preserve">LabIA-UFBA. SUNT repository, commit</w:t>
      </w:r>
      <w:r>
        <w:t xml:space="preserve"> </w:t>
      </w:r>
      <w:r>
        <w:rPr>
          <w:rStyle w:val="VerbatimChar"/>
        </w:rPr>
        <w:t xml:space="preserve">f8d90fb38f3b1a6f74a18f0298d72fe0c6eaa54c</w:t>
      </w:r>
      <w:r>
        <w:t xml:space="preserve">.</w:t>
      </w:r>
      <w:r>
        <w:t xml:space="preserve"> </w:t>
      </w:r>
      <w:hyperlink r:id="rId96">
        <w:r>
          <w:rPr>
            <w:rStyle w:val="Hyperlink"/>
          </w:rPr>
          <w:t xml:space="preserve">https://github.com/LabIA-UFBA/SUNT</w:t>
        </w:r>
      </w:hyperlink>
    </w:p>
    <w:p>
      <w:pPr>
        <w:pStyle w:val="Compact"/>
        <w:numPr>
          <w:ilvl w:val="0"/>
          <w:numId w:val="1022"/>
        </w:numPr>
      </w:pPr>
      <w:r>
        <w:t xml:space="preserve">Associação Brasileira de Normas Técnicas (2009).</w:t>
      </w:r>
      <w:r>
        <w:t xml:space="preserve"> </w:t>
      </w:r>
      <w:r>
        <w:rPr>
          <w:i/>
          <w:iCs/>
        </w:rPr>
        <w:t xml:space="preserve">ABNT NBR 15570:2009, Transporte: especificações técnicas para fabricação de veículos de características urbanas para transporte coletivo de passageiros.</w:t>
      </w:r>
      <w:r>
        <w:t xml:space="preserve"> </w:t>
      </w:r>
      <w:r>
        <w:t xml:space="preserve">Rio de Janeiro: ABNT.</w:t>
      </w:r>
    </w:p>
    <w:p>
      <w:pPr>
        <w:pStyle w:val="Compact"/>
        <w:numPr>
          <w:ilvl w:val="0"/>
          <w:numId w:val="1022"/>
        </w:numPr>
      </w:pPr>
      <w:r>
        <w:t xml:space="preserve">Prefeitura de Salvador (2025).</w:t>
      </w:r>
      <w:r>
        <w:t xml:space="preserve"> </w:t>
      </w:r>
      <w:r>
        <w:rPr>
          <w:i/>
          <w:iCs/>
        </w:rPr>
        <w:t xml:space="preserve">PEPI: Plano de Envolvimento das Partes Interessadas.</w:t>
      </w:r>
      <w:r>
        <w:t xml:space="preserve"> </w:t>
      </w:r>
      <w:hyperlink r:id="rId97">
        <w:r>
          <w:rPr>
            <w:rStyle w:val="Hyperlink"/>
          </w:rPr>
          <w:t xml:space="preserve">https://mobilidade.salvador.ba.gov.br/wp-content/uploads/2025/10/PEPI-Plano-de-Envolvimento-das-Partes-Interessadas-Def_compressed.pdf</w:t>
        </w:r>
      </w:hyperlink>
    </w:p>
    <w:p>
      <w:pPr>
        <w:pStyle w:val="Compact"/>
        <w:numPr>
          <w:ilvl w:val="0"/>
          <w:numId w:val="1022"/>
        </w:numPr>
      </w:pPr>
      <w:r>
        <w:t xml:space="preserve">Ke, G., Meng, Q., Finley, T., Wang, T., Chen, W., Ma, W., Ye, Q. and Liu, T.-Y. (2017). LightGBM: A Highly Efficient Gradient Boosting Decision Tree.</w:t>
      </w:r>
      <w:r>
        <w:t xml:space="preserve"> </w:t>
      </w:r>
      <w:r>
        <w:rPr>
          <w:i/>
          <w:iCs/>
        </w:rPr>
        <w:t xml:space="preserve">Advances in Neural Information Processing Systems 30 (NeurIPS 2017)</w:t>
      </w:r>
      <w:r>
        <w:t xml:space="preserve">.</w:t>
      </w:r>
    </w:p>
    <w:p>
      <w:pPr>
        <w:pStyle w:val="Compact"/>
        <w:numPr>
          <w:ilvl w:val="0"/>
          <w:numId w:val="1022"/>
        </w:numPr>
      </w:pPr>
      <w:r>
        <w:t xml:space="preserve">Romano, Y., Patterson, E. and Candès, E. J. (2019). Conformalized Quantile Regression.</w:t>
      </w:r>
      <w:r>
        <w:t xml:space="preserve"> </w:t>
      </w:r>
      <w:r>
        <w:rPr>
          <w:i/>
          <w:iCs/>
        </w:rPr>
        <w:t xml:space="preserve">Advances in Neural Information Processing Systems 32 (NeurIPS 2019)</w:t>
      </w:r>
      <w:r>
        <w:t xml:space="preserve">. arXiv:1905.03222.</w:t>
      </w:r>
    </w:p>
    <w:p>
      <w:pPr>
        <w:pStyle w:val="Compact"/>
        <w:numPr>
          <w:ilvl w:val="0"/>
          <w:numId w:val="1022"/>
        </w:numPr>
      </w:pPr>
      <w:r>
        <w:t xml:space="preserve">Pedregosa, F. et al. (2011). Scikit-learn: Machine Learning in Python.</w:t>
      </w:r>
      <w:r>
        <w:t xml:space="preserve"> </w:t>
      </w:r>
      <w:r>
        <w:rPr>
          <w:i/>
          <w:iCs/>
        </w:rPr>
        <w:t xml:space="preserve">Journal of Machine Learning Research</w:t>
      </w:r>
      <w:r>
        <w:t xml:space="preserve">, 12, 2825–2830.</w:t>
      </w:r>
    </w:p>
    <w:p>
      <w:pPr>
        <w:pStyle w:val="Compact"/>
        <w:numPr>
          <w:ilvl w:val="0"/>
          <w:numId w:val="1022"/>
        </w:numPr>
      </w:pPr>
      <w:r>
        <w:t xml:space="preserve">Efron, B. and Tibshirani, R. J. (1993).</w:t>
      </w:r>
      <w:r>
        <w:t xml:space="preserve"> </w:t>
      </w:r>
      <w:r>
        <w:rPr>
          <w:i/>
          <w:iCs/>
        </w:rPr>
        <w:t xml:space="preserve">An Introduction to the Bootstrap.</w:t>
      </w:r>
      <w:r>
        <w:t xml:space="preserve"> </w:t>
      </w:r>
      <w:r>
        <w:t xml:space="preserve">New York: Chapman &amp; Hall.</w:t>
      </w:r>
    </w:p>
    <w:p>
      <w:pPr>
        <w:pStyle w:val="Compact"/>
        <w:numPr>
          <w:ilvl w:val="0"/>
          <w:numId w:val="1022"/>
        </w:numPr>
      </w:pPr>
      <w:r>
        <w:t xml:space="preserve">sunt_examples: forecasting examples for the SUNT dataset (GitHub repository</w:t>
      </w:r>
      <w:r>
        <w:t xml:space="preserve"> </w:t>
      </w:r>
      <w:r>
        <w:rPr>
          <w:rStyle w:val="VerbatimChar"/>
        </w:rPr>
        <w:t xml:space="preserve">ricardoarios/sunt_examples</w:t>
      </w:r>
      <w:r>
        <w:t xml:space="preserve">).</w:t>
      </w:r>
      <w:r>
        <w:t xml:space="preserve"> </w:t>
      </w:r>
      <w:hyperlink r:id="rId98">
        <w:r>
          <w:rPr>
            <w:rStyle w:val="Hyperlink"/>
          </w:rPr>
          <w:t xml:space="preserve">https://github.com/ricardoarios/sunt_examples</w:t>
        </w:r>
      </w:hyperlink>
      <w:r>
        <w:t xml:space="preserve"> </w:t>
      </w:r>
      <w:r>
        <w:t xml:space="preserve">(read for ideas; no code copied).</w:t>
      </w:r>
    </w:p>
    <w:p>
      <w:pPr>
        <w:pStyle w:val="Compact"/>
        <w:numPr>
          <w:ilvl w:val="0"/>
          <w:numId w:val="1022"/>
        </w:numPr>
      </w:pPr>
      <w:r>
        <w:t xml:space="preserve">Machine-Learning-Passenger-Forecasting (Aarhus University bachelor’s thesis code on bus passenger forecasting).</w:t>
      </w:r>
      <w:r>
        <w:t xml:space="preserve"> </w:t>
      </w:r>
      <w:hyperlink r:id="rId99">
        <w:r>
          <w:rPr>
            <w:rStyle w:val="Hyperlink"/>
          </w:rPr>
          <w:t xml:space="preserve">https://github.com/andr830g/Machine-Learning-Passenger-Forecasting</w:t>
        </w:r>
      </w:hyperlink>
      <w:r>
        <w:t xml:space="preserve"> </w:t>
      </w:r>
      <w:r>
        <w:t xml:space="preserve">(read for ideas; no code copied).</w:t>
      </w:r>
    </w:p>
    <w:bookmarkEnd w:id="100"/>
    <w:bookmarkStart w:id="101" w:name="appendix-a.-team-and-contributions"/>
    <w:p>
      <w:pPr>
        <w:pStyle w:val="Heading1"/>
        <w:pageBreakBefore/>
        <w:spacing w:before="0"/>
      </w:pPr>
      <w:r>
        <w:t xml:space="preserve">Appendix A. Team and contributions</w:t>
      </w:r>
    </w:p>
    <w:p>
      <w:pPr>
        <w:pStyle w:val="FirstParagraph"/>
      </w:pPr>
      <w:r>
        <w:t xml:space="preserve">The table on the title page is the provisional speaking split for the presentation and viva, as recorded in</w:t>
      </w:r>
      <w:r>
        <w:t xml:space="preserve"> </w:t>
      </w:r>
      <w:r>
        <w:rPr>
          <w:rStyle w:val="VerbatimChar"/>
        </w:rPr>
        <w:t xml:space="preserve">README.md</w:t>
      </w:r>
      <w:r>
        <w:t xml:space="preserve"> </w:t>
      </w:r>
      <w:r>
        <w:t xml:space="preserve">and</w:t>
      </w:r>
      <w:r>
        <w:t xml:space="preserve"> </w:t>
      </w:r>
      <w:r>
        <w:rPr>
          <w:rStyle w:val="VerbatimChar"/>
        </w:rPr>
        <w:t xml:space="preserve">docs/TEAM_PRESENTATION_GUIDE.md</w:t>
      </w:r>
      <w:r>
        <w:t xml:space="preserve">. It is not a record of who wrote which code.</w:t>
      </w:r>
    </w:p>
    <w:p>
      <w:pPr>
        <w:pStyle w:val="BodyText"/>
      </w:pPr>
      <w:r>
        <w:t xml:space="preserve">As recorded in the repository, the code and documents were written in AI-assisted sessions with Claude (Anthropic), directed and reviewed by the group lead, and every commit up to 24 October 2026 carries a</w:t>
      </w:r>
      <w:r>
        <w:t xml:space="preserve"> </w:t>
      </w:r>
      <w:r>
        <w:rPr>
          <w:rStyle w:val="VerbatimChar"/>
        </w:rPr>
        <w:t xml:space="preserve">Co-Authored-By</w:t>
      </w:r>
      <w:r>
        <w:t xml:space="preserve"> </w:t>
      </w:r>
      <w:r>
        <w:t xml:space="preserve">line. Teammates’ own reviews, runs and edits are to be committed from their own accounts, so that the Git history shows each contribution. This report does not claim individual contributions beyond what the repository records.</w:t>
      </w:r>
    </w:p>
    <w:bookmarkEnd w:id="101"/>
    <w:bookmarkStart w:id="102" w:name="appendix-b.-decision-log-index"/>
    <w:p>
      <w:pPr>
        <w:pStyle w:val="Heading1"/>
        <w:keepNext/>
      </w:pPr>
      <w:r>
        <w:t xml:space="preserve">Appendix B. Decision log index</w:t>
      </w:r>
    </w:p>
    <w:tbl>
      <w:tblPr>
        <w:tblStyle w:val="Table"/>
        <w:tblW w:type="dxa" w:w="9184"/>
        <w:jc w:val="center"/>
        <w:tblBorders>
          <w:top w:val="single" w:sz="8" w:color="8496B0"/>
          <w:left w:val="nil"/>
          <w:bottom w:val="single" w:sz="8" w:color="8496B0"/>
          <w:right w:val="nil"/>
          <w:insideH w:val="single" w:sz="4" w:color="8496B0"/>
          <w:insideV w:val="nil"/>
        </w:tblBorders>
        <w:tblLayout w:type="fixed"/>
        <w:tblCellMar>
          <w:top w:w="30" w:type="dxa"/>
          <w:left w:w="80" w:type="dxa"/>
          <w:bottom w:w="30" w:type="dxa"/>
          <w:right w:w="80" w:type="dxa"/>
        </w:tblCellMar>
        <w:tblLook w:firstRow="1" w:lastRow="0" w:firstColumn="0" w:lastColumn="0" w:noHBand="0" w:noVBand="0" w:val="0020"/>
      </w:tblPr>
      <w:tblGrid>
        <w:gridCol w:w="998"/>
        <w:gridCol w:w="8185"/>
      </w:tblGrid>
      <w:tr>
        <w:trPr>
          <w:tblHeader w:val="true"/>
          <w:cantSplit/>
          <w:tblHeader/>
        </w:trPr>
        <w:tc>
          <w:tcPr>
            <w:tcW w:type="dxa" w:w="998"/>
            <w:shd w:val="clear" w:color="auto" w:fill="DCE3F0"/>
          </w:tcPr>
          <w:p>
            <w:pPr>
              <w:pStyle w:val="Compact"/>
              <w:spacing w:after="0" w:before="0" w:line="240" w:lineRule="auto"/>
              <w:jc w:val="left"/>
            </w:pPr>
            <w:r>
              <w:rPr>
                <w:b/>
                <w:sz w:val="19"/>
              </w:rPr>
              <w:t xml:space="preserve">ID</w:t>
            </w:r>
          </w:p>
        </w:tc>
        <w:tc>
          <w:tcPr>
            <w:tcW w:type="dxa" w:w="8186"/>
            <w:shd w:val="clear" w:color="auto" w:fill="DCE3F0"/>
          </w:tcPr>
          <w:p>
            <w:pPr>
              <w:pStyle w:val="Compact"/>
              <w:spacing w:after="0" w:before="0" w:line="240" w:lineRule="auto"/>
              <w:jc w:val="left"/>
            </w:pPr>
            <w:r>
              <w:rPr>
                <w:b/>
                <w:sz w:val="19"/>
              </w:rPr>
              <w:t xml:space="preserve">Decision</w:t>
            </w:r>
          </w:p>
        </w:tc>
      </w:tr>
      <w:tr>
        <w:trPr>
          <w:cantSplit/>
        </w:trPr>
        <w:tc>
          <w:tcPr>
            <w:tcW w:type="dxa" w:w="998"/>
          </w:tcPr>
          <w:p>
            <w:pPr>
              <w:pStyle w:val="Compact"/>
              <w:spacing w:after="0" w:before="0" w:line="240" w:lineRule="auto"/>
              <w:jc w:val="left"/>
            </w:pPr>
            <w:r>
              <w:rPr>
                <w:sz w:val="19"/>
              </w:rPr>
              <w:t xml:space="preserve">D1</w:t>
            </w:r>
          </w:p>
        </w:tc>
        <w:tc>
          <w:tcPr>
            <w:tcW w:type="dxa" w:w="8186"/>
          </w:tcPr>
          <w:p>
            <w:pPr>
              <w:pStyle w:val="Compact"/>
              <w:spacing w:after="0" w:before="0" w:line="240" w:lineRule="auto"/>
              <w:jc w:val="left"/>
            </w:pPr>
            <w:r>
              <w:rPr>
                <w:sz w:val="19"/>
              </w:rPr>
              <w:t xml:space="preserve">SUNT OD tables, 1 March–28 April 2024, as the primary dataset</w:t>
            </w:r>
          </w:p>
        </w:tc>
      </w:tr>
      <w:tr>
        <w:trPr>
          <w:cantSplit/>
        </w:trPr>
        <w:tc>
          <w:tcPr>
            <w:tcW w:type="dxa" w:w="998"/>
          </w:tcPr>
          <w:p>
            <w:pPr>
              <w:pStyle w:val="Compact"/>
              <w:spacing w:after="0" w:before="0" w:line="240" w:lineRule="auto"/>
              <w:jc w:val="left"/>
            </w:pPr>
            <w:r>
              <w:rPr>
                <w:sz w:val="19"/>
              </w:rPr>
              <w:t xml:space="preserve">D2</w:t>
            </w:r>
          </w:p>
        </w:tc>
        <w:tc>
          <w:tcPr>
            <w:tcW w:type="dxa" w:w="8186"/>
          </w:tcPr>
          <w:p>
            <w:pPr>
              <w:pStyle w:val="Compact"/>
              <w:spacing w:after="0" w:before="0" w:line="240" w:lineRule="auto"/>
              <w:jc w:val="left"/>
            </w:pPr>
            <w:r>
              <w:rPr>
                <w:sz w:val="19"/>
              </w:rPr>
              <w:t xml:space="preserve">Registered title used exactly; occupancy called</w:t>
            </w:r>
            <w:r>
              <w:rPr>
                <w:sz w:val="19"/>
              </w:rPr>
              <w:t xml:space="preserve"> </w:t>
            </w:r>
            <w:r>
              <w:rPr>
                <w:sz w:val="19"/>
              </w:rPr>
              <w:t xml:space="preserve">“</w:t>
            </w:r>
            <w:r>
              <w:rPr>
                <w:sz w:val="19"/>
              </w:rPr>
              <w:t xml:space="preserve">estimated on-board load</w:t>
            </w:r>
            <w:r>
              <w:rPr>
                <w:sz w:val="19"/>
              </w:rPr>
              <w:t xml:space="preserve">”</w:t>
            </w:r>
          </w:p>
        </w:tc>
      </w:tr>
      <w:tr>
        <w:trPr>
          <w:cantSplit/>
        </w:trPr>
        <w:tc>
          <w:tcPr>
            <w:tcW w:type="dxa" w:w="998"/>
          </w:tcPr>
          <w:p>
            <w:pPr>
              <w:pStyle w:val="Compact"/>
              <w:spacing w:after="0" w:before="0" w:line="240" w:lineRule="auto"/>
              <w:jc w:val="left"/>
            </w:pPr>
            <w:r>
              <w:rPr>
                <w:sz w:val="19"/>
              </w:rPr>
              <w:t xml:space="preserve">D3</w:t>
            </w:r>
          </w:p>
        </w:tc>
        <w:tc>
          <w:tcPr>
            <w:tcW w:type="dxa" w:w="8186"/>
          </w:tcPr>
          <w:p>
            <w:pPr>
              <w:pStyle w:val="Compact"/>
              <w:spacing w:after="0" w:before="0" w:line="240" w:lineRule="auto"/>
              <w:jc w:val="left"/>
            </w:pPr>
            <w:r>
              <w:rPr>
                <w:sz w:val="19"/>
              </w:rPr>
              <w:t xml:space="preserve">Chronological split; holidays not tested</w:t>
            </w:r>
          </w:p>
        </w:tc>
      </w:tr>
      <w:tr>
        <w:trPr>
          <w:cantSplit/>
        </w:trPr>
        <w:tc>
          <w:tcPr>
            <w:tcW w:type="dxa" w:w="998"/>
          </w:tcPr>
          <w:p>
            <w:pPr>
              <w:pStyle w:val="Compact"/>
              <w:spacing w:after="0" w:before="0" w:line="240" w:lineRule="auto"/>
              <w:jc w:val="left"/>
            </w:pPr>
            <w:r>
              <w:rPr>
                <w:sz w:val="19"/>
              </w:rPr>
              <w:t xml:space="preserve">D4, D10</w:t>
            </w:r>
          </w:p>
        </w:tc>
        <w:tc>
          <w:tcPr>
            <w:tcW w:type="dxa" w:w="8186"/>
          </w:tcPr>
          <w:p>
            <w:pPr>
              <w:pStyle w:val="Compact"/>
              <w:spacing w:after="0" w:before="0" w:line="240" w:lineRule="auto"/>
              <w:jc w:val="left"/>
            </w:pPr>
            <w:r>
              <w:rPr>
                <w:sz w:val="19"/>
              </w:rPr>
              <w:t xml:space="preserve">Capacity assumption: ABNT NBR 15570 minimum capacities, four scenarios</w:t>
            </w:r>
          </w:p>
        </w:tc>
      </w:tr>
      <w:tr>
        <w:trPr>
          <w:cantSplit/>
        </w:trPr>
        <w:tc>
          <w:tcPr>
            <w:tcW w:type="dxa" w:w="998"/>
          </w:tcPr>
          <w:p>
            <w:pPr>
              <w:pStyle w:val="Compact"/>
              <w:spacing w:after="0" w:before="0" w:line="240" w:lineRule="auto"/>
              <w:jc w:val="left"/>
            </w:pPr>
            <w:r>
              <w:rPr>
                <w:sz w:val="19"/>
              </w:rPr>
              <w:t xml:space="preserve">D5</w:t>
            </w:r>
          </w:p>
        </w:tc>
        <w:tc>
          <w:tcPr>
            <w:tcW w:type="dxa" w:w="8186"/>
          </w:tcPr>
          <w:p>
            <w:pPr>
              <w:pStyle w:val="Compact"/>
              <w:spacing w:after="0" w:before="0" w:line="240" w:lineRule="auto"/>
              <w:jc w:val="left"/>
            </w:pPr>
            <w:r>
              <w:rPr>
                <w:sz w:val="19"/>
              </w:rPr>
              <w:t xml:space="preserve">“</w:t>
            </w:r>
            <w:r>
              <w:rPr>
                <w:sz w:val="19"/>
              </w:rPr>
              <w:t xml:space="preserve">Extra trips needed</w:t>
            </w:r>
            <w:r>
              <w:rPr>
                <w:sz w:val="19"/>
              </w:rPr>
              <w:t xml:space="preserve">”</w:t>
            </w:r>
            <w:r>
              <w:rPr>
                <w:sz w:val="19"/>
              </w:rPr>
              <w:t xml:space="preserve">: optional, not built</w:t>
            </w:r>
          </w:p>
        </w:tc>
      </w:tr>
      <w:tr>
        <w:trPr>
          <w:cantSplit/>
        </w:trPr>
        <w:tc>
          <w:tcPr>
            <w:tcW w:type="dxa" w:w="998"/>
          </w:tcPr>
          <w:p>
            <w:pPr>
              <w:pStyle w:val="Compact"/>
              <w:spacing w:after="0" w:before="0" w:line="240" w:lineRule="auto"/>
              <w:jc w:val="left"/>
            </w:pPr>
            <w:r>
              <w:rPr>
                <w:sz w:val="19"/>
              </w:rPr>
              <w:t xml:space="preserve">D6</w:t>
            </w:r>
          </w:p>
        </w:tc>
        <w:tc>
          <w:tcPr>
            <w:tcW w:type="dxa" w:w="8186"/>
          </w:tcPr>
          <w:p>
            <w:pPr>
              <w:pStyle w:val="Compact"/>
              <w:spacing w:after="0" w:before="0" w:line="240" w:lineRule="auto"/>
              <w:jc w:val="left"/>
            </w:pPr>
            <w:r>
              <w:rPr>
                <w:sz w:val="19"/>
              </w:rPr>
              <w:t xml:space="preserve">No code copied from unlicensed repositories</w:t>
            </w:r>
          </w:p>
        </w:tc>
      </w:tr>
      <w:tr>
        <w:trPr>
          <w:cantSplit/>
        </w:trPr>
        <w:tc>
          <w:tcPr>
            <w:tcW w:type="dxa" w:w="998"/>
          </w:tcPr>
          <w:p>
            <w:pPr>
              <w:pStyle w:val="Compact"/>
              <w:spacing w:after="0" w:before="0" w:line="240" w:lineRule="auto"/>
              <w:jc w:val="left"/>
            </w:pPr>
            <w:r>
              <w:rPr>
                <w:sz w:val="19"/>
              </w:rPr>
              <w:t xml:space="preserve">D7</w:t>
            </w:r>
          </w:p>
        </w:tc>
        <w:tc>
          <w:tcPr>
            <w:tcW w:type="dxa" w:w="8186"/>
          </w:tcPr>
          <w:p>
            <w:pPr>
              <w:pStyle w:val="Compact"/>
              <w:spacing w:after="0" w:before="0" w:line="240" w:lineRule="auto"/>
              <w:jc w:val="left"/>
            </w:pPr>
            <w:r>
              <w:rPr>
                <w:sz w:val="19"/>
              </w:rPr>
              <w:t xml:space="preserve">Route × direction × clock hour as the unit</w:t>
            </w:r>
          </w:p>
        </w:tc>
      </w:tr>
      <w:tr>
        <w:trPr>
          <w:cantSplit/>
        </w:trPr>
        <w:tc>
          <w:tcPr>
            <w:tcW w:type="dxa" w:w="998"/>
          </w:tcPr>
          <w:p>
            <w:pPr>
              <w:pStyle w:val="Compact"/>
              <w:spacing w:after="0" w:before="0" w:line="240" w:lineRule="auto"/>
              <w:jc w:val="left"/>
            </w:pPr>
            <w:r>
              <w:rPr>
                <w:sz w:val="19"/>
              </w:rPr>
              <w:t xml:space="preserve">D8</w:t>
            </w:r>
          </w:p>
        </w:tc>
        <w:tc>
          <w:tcPr>
            <w:tcW w:type="dxa" w:w="8186"/>
          </w:tcPr>
          <w:p>
            <w:pPr>
              <w:pStyle w:val="Compact"/>
              <w:spacing w:after="0" w:before="0" w:line="240" w:lineRule="auto"/>
              <w:jc w:val="left"/>
            </w:pPr>
            <w:r>
              <w:rPr>
                <w:sz w:val="19"/>
              </w:rPr>
              <w:t xml:space="preserve">Absent route-hours are missing, not zero</w:t>
            </w:r>
          </w:p>
        </w:tc>
      </w:tr>
      <w:tr>
        <w:trPr>
          <w:cantSplit/>
        </w:trPr>
        <w:tc>
          <w:tcPr>
            <w:tcW w:type="dxa" w:w="998"/>
          </w:tcPr>
          <w:p>
            <w:pPr>
              <w:pStyle w:val="Compact"/>
              <w:spacing w:after="0" w:before="0" w:line="240" w:lineRule="auto"/>
              <w:jc w:val="left"/>
            </w:pPr>
            <w:r>
              <w:rPr>
                <w:sz w:val="19"/>
              </w:rPr>
              <w:t xml:space="preserve">D9</w:t>
            </w:r>
          </w:p>
        </w:tc>
        <w:tc>
          <w:tcPr>
            <w:tcW w:type="dxa" w:w="8186"/>
          </w:tcPr>
          <w:p>
            <w:pPr>
              <w:pStyle w:val="Compact"/>
              <w:spacing w:after="0" w:before="0" w:line="240" w:lineRule="auto"/>
              <w:jc w:val="left"/>
            </w:pPr>
            <w:r>
              <w:rPr>
                <w:sz w:val="19"/>
              </w:rPr>
              <w:t xml:space="preserve">Malformed trips flagged; their loads unused</w:t>
            </w:r>
          </w:p>
        </w:tc>
      </w:tr>
      <w:tr>
        <w:trPr>
          <w:cantSplit/>
        </w:trPr>
        <w:tc>
          <w:tcPr>
            <w:tcW w:type="dxa" w:w="998"/>
          </w:tcPr>
          <w:p>
            <w:pPr>
              <w:pStyle w:val="Compact"/>
              <w:spacing w:after="0" w:before="0" w:line="240" w:lineRule="auto"/>
              <w:jc w:val="left"/>
            </w:pPr>
            <w:r>
              <w:rPr>
                <w:sz w:val="19"/>
              </w:rPr>
              <w:t xml:space="preserve">D11</w:t>
            </w:r>
          </w:p>
        </w:tc>
        <w:tc>
          <w:tcPr>
            <w:tcW w:type="dxa" w:w="8186"/>
          </w:tcPr>
          <w:p>
            <w:pPr>
              <w:pStyle w:val="Compact"/>
              <w:spacing w:after="0" w:before="0" w:line="240" w:lineRule="auto"/>
              <w:jc w:val="left"/>
            </w:pPr>
            <w:r>
              <w:rPr>
                <w:sz w:val="19"/>
              </w:rPr>
              <w:t xml:space="preserve">Burst validations kept and reported separately</w:t>
            </w:r>
          </w:p>
        </w:tc>
      </w:tr>
      <w:tr>
        <w:trPr>
          <w:cantSplit/>
        </w:trPr>
        <w:tc>
          <w:tcPr>
            <w:tcW w:type="dxa" w:w="998"/>
          </w:tcPr>
          <w:p>
            <w:pPr>
              <w:pStyle w:val="Compact"/>
              <w:spacing w:after="0" w:before="0" w:line="240" w:lineRule="auto"/>
              <w:jc w:val="left"/>
            </w:pPr>
            <w:r>
              <w:rPr>
                <w:sz w:val="19"/>
              </w:rPr>
              <w:t xml:space="preserve">D12</w:t>
            </w:r>
          </w:p>
        </w:tc>
        <w:tc>
          <w:tcPr>
            <w:tcW w:type="dxa" w:w="8186"/>
          </w:tcPr>
          <w:p>
            <w:pPr>
              <w:pStyle w:val="Compact"/>
              <w:spacing w:after="0" w:before="0" w:line="240" w:lineRule="auto"/>
              <w:jc w:val="left"/>
            </w:pPr>
            <w:r>
              <w:rPr>
                <w:sz w:val="19"/>
              </w:rPr>
              <w:t xml:space="preserve">Final forecast is a validation-chosen blend; test weeks scored twice</w:t>
            </w:r>
          </w:p>
        </w:tc>
      </w:tr>
      <w:tr>
        <w:trPr>
          <w:cantSplit/>
        </w:trPr>
        <w:tc>
          <w:tcPr>
            <w:tcW w:type="dxa" w:w="998"/>
          </w:tcPr>
          <w:p>
            <w:pPr>
              <w:pStyle w:val="Compact"/>
              <w:spacing w:after="0" w:before="0" w:line="240" w:lineRule="auto"/>
              <w:jc w:val="left"/>
            </w:pPr>
            <w:r>
              <w:rPr>
                <w:sz w:val="19"/>
              </w:rPr>
              <w:t xml:space="preserve">D13</w:t>
            </w:r>
          </w:p>
        </w:tc>
        <w:tc>
          <w:tcPr>
            <w:tcW w:type="dxa" w:w="8186"/>
          </w:tcPr>
          <w:p>
            <w:pPr>
              <w:pStyle w:val="Compact"/>
              <w:spacing w:after="0" w:before="0" w:line="240" w:lineRule="auto"/>
              <w:jc w:val="left"/>
            </w:pPr>
            <w:r>
              <w:rPr>
                <w:sz w:val="19"/>
              </w:rPr>
              <w:t xml:space="preserve">80% conformal prediction intervals; night-time load gap reported, not fixed</w:t>
            </w:r>
          </w:p>
        </w:tc>
      </w:tr>
    </w:tbl>
    <w:p>
      <w:pPr>
        <w:pStyle w:val="BodyText"/>
        <w:spacing w:before="160"/>
      </w:pPr>
      <w:r>
        <w:t xml:space="preserve">Full text:</w:t>
      </w:r>
      <w:r>
        <w:t xml:space="preserve"> </w:t>
      </w:r>
      <w:r>
        <w:rPr>
          <w:rStyle w:val="VerbatimChar"/>
        </w:rPr>
        <w:t xml:space="preserve">docs/DECISIONS.md</w:t>
      </w:r>
      <w:r>
        <w:t xml:space="preserve"> </w:t>
      </w:r>
      <w:r>
        <w:t xml:space="preserve">in the repository.</w:t>
      </w:r>
    </w:p>
    <w:bookmarkEnd w:id="102"/>
    <w:sectPr>
      <w:headerReference w:type="default" r:id="rId9"/>
      <w:footerReference w:type="default" r:id="rId10"/>
      <w:pgSz w:h="16838" w:w="11906"/>
      <w:pgMar w:top="1304" w:bottom="1304" w:left="1361" w:right="1361" w:header="709"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Page </w:t>
    </w:r>
    <w:r>
      <w:rPr>
        <w:sz w:val="18"/>
      </w:rPr>
      <w:fldChar w:fldCharType="begin"/>
    </w:r>
    <w:r>
      <w:rPr>
        <w:sz w:val="18"/>
      </w:rPr>
      <w:instrText xml:space="preserve">PAGE</w:instrText>
    </w:r>
    <w:r>
      <w:rPr>
        <w:sz w:val="18"/>
      </w:rPr>
      <w:fldChar w:fldCharType="separate"/>
    </w:r>
    <w:r>
      <w:rPr>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CS3011 Group 52 · AI Based Public Transport Demand and Occupancy Prediction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Calibri" w:cs="Calibri" w:eastAsia="Calibri" w:hAnsi="Calibri"/>
      <w:color w:val="000000"/>
      <w:sz w:val="22"/>
    </w:rPr>
  </w:style>
  <w:style w:styleId="BodyText" w:type="paragraph">
    <w:name w:val="Body Text"/>
    <w:basedOn w:val="Normal"/>
    <w:link w:val="BodyTextChar"/>
    <w:qFormat/>
    <w:pPr>
      <w:spacing w:after="120" w:before="0" w:line="276" w:lineRule="auto"/>
    </w:pPr>
    <w:rPr>
      <w:rFonts w:ascii="Calibri" w:cs="Calibri" w:eastAsia="Calibri" w:hAnsi="Calibri"/>
      <w:color w:val="000000"/>
      <w:sz w:val="22"/>
    </w:rPr>
  </w:style>
  <w:style w:customStyle="1" w:styleId="FirstParagraph" w:type="paragraph">
    <w:name w:val="First Paragraph"/>
    <w:basedOn w:val="BodyText"/>
    <w:next w:val="BodyText"/>
    <w:qFormat/>
    <w:pPr>
      <w:spacing w:after="120" w:before="0" w:line="276" w:lineRule="auto"/>
    </w:pPr>
    <w:rPr>
      <w:rFonts w:ascii="Calibri" w:cs="Calibri" w:eastAsia="Calibri" w:hAnsi="Calibri"/>
      <w:color w:val="000000"/>
      <w:sz w:val="22"/>
    </w:rPr>
  </w:style>
  <w:style w:customStyle="1" w:styleId="Compact" w:type="paragraph">
    <w:name w:val="Compact"/>
    <w:basedOn w:val="BodyText"/>
    <w:qFormat/>
    <w:pPr>
      <w:spacing w:after="40" w:before="0" w:line="276" w:lineRule="auto"/>
    </w:pPr>
    <w:rPr>
      <w:rFonts w:ascii="Calibri" w:cs="Calibri" w:eastAsia="Calibri" w:hAnsi="Calibri"/>
      <w:color w:val="000000"/>
      <w:sz w:val="21"/>
    </w:rPr>
  </w:style>
  <w:style w:styleId="Title" w:type="paragraph">
    <w:name w:val="Title"/>
    <w:basedOn w:val="Normal"/>
    <w:next w:val="BodyText"/>
    <w:qFormat/>
    <w:pPr>
      <w:keepNext/>
      <w:keepLines/>
      <w:spacing w:after="240" w:before="480"/>
      <w:jc w:val="center"/>
    </w:pPr>
    <w:rPr>
      <w:rFonts w:ascii="Cambria" w:cs="Cambria" w:eastAsia="Cambria" w:hAnsi="Cambria"/>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Cambria" w:cs="Cambria" w:eastAsia="Cambria" w:hAnsi="Cambria"/>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Cambria" w:cs="Cambria" w:eastAsia="Cambria" w:hAnsi="Cambria"/>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40" w:before="440"/>
      <w:outlineLvl w:val="0"/>
    </w:pPr>
    <w:rPr>
      <w:rFonts w:ascii="Cambria" w:cs="Cambria" w:eastAsia="Cambria" w:hAnsi="Cambria"/>
      <w:b/>
      <w:bCs/>
      <w:i w:val="0"/>
      <w:color w:val="1F3864"/>
      <w:sz w:val="34"/>
      <w:szCs w:val="32"/>
    </w:rPr>
  </w:style>
  <w:style w:styleId="Heading2" w:type="paragraph">
    <w:name w:val="Heading 2"/>
    <w:basedOn w:val="Normal"/>
    <w:next w:val="BodyText"/>
    <w:uiPriority w:val="9"/>
    <w:unhideWhenUsed/>
    <w:qFormat/>
    <w:pPr>
      <w:keepNext/>
      <w:keepLines/>
      <w:spacing w:after="120" w:before="280"/>
      <w:outlineLvl w:val="1"/>
    </w:pPr>
    <w:rPr>
      <w:rFonts w:ascii="Cambria" w:cs="Cambria" w:eastAsia="Cambria" w:hAnsi="Cambria"/>
      <w:b/>
      <w:bCs/>
      <w:i w:val="0"/>
      <w:color w:val="2E4A86"/>
      <w:sz w:val="26"/>
      <w:szCs w:val="28"/>
    </w:rPr>
  </w:style>
  <w:style w:styleId="Heading3" w:type="paragraph">
    <w:name w:val="Heading 3"/>
    <w:basedOn w:val="Normal"/>
    <w:next w:val="BodyText"/>
    <w:uiPriority w:val="9"/>
    <w:unhideWhenUsed/>
    <w:qFormat/>
    <w:pPr>
      <w:keepNext/>
      <w:keepLines/>
      <w:spacing w:after="80" w:before="200"/>
      <w:outlineLvl w:val="2"/>
    </w:pPr>
    <w:rPr>
      <w:rFonts w:ascii="Cambria" w:cs="Cambria" w:eastAsia="Cambria" w:hAnsi="Cambria"/>
      <w:b/>
      <w:bCs/>
      <w:i w:val="0"/>
      <w:color w:val="2E4A86"/>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pPr>
    <w:rPr>
      <w:rFonts w:ascii="Calibri" w:cs="Calibri" w:eastAsia="Calibri" w:hAnsi="Calibri"/>
      <w:i/>
      <w:color w:val="595959"/>
      <w:sz w:val="19"/>
    </w:rPr>
  </w:style>
  <w:style w:customStyle="1" w:styleId="TableCaption" w:type="paragraph">
    <w:name w:val="Table Caption"/>
    <w:basedOn w:val="Caption"/>
    <w:pPr>
      <w:keepNext/>
      <w:spacing w:after="240"/>
    </w:pPr>
    <w:rPr>
      <w:rFonts w:ascii="Calibri" w:cs="Calibri" w:eastAsia="Calibri" w:hAnsi="Calibri"/>
      <w:i/>
      <w:color w:val="595959"/>
      <w:sz w:val="19"/>
    </w:rPr>
  </w:style>
  <w:style w:customStyle="1" w:styleId="ImageCaption" w:type="paragraph">
    <w:name w:val="Image Caption"/>
    <w:basedOn w:val="Caption"/>
    <w:pPr>
      <w:spacing w:after="240"/>
    </w:pPr>
    <w:rPr>
      <w:rFonts w:ascii="Calibri" w:cs="Calibri" w:eastAsia="Calibri" w:hAnsi="Calibri"/>
      <w:i/>
      <w:color w:val="595959"/>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E4A86"/>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1" Type="http://schemas.openxmlformats.org/officeDocument/2006/relationships/image" Target="media/rId71.png"/><Relationship Id="rId62" Type="http://schemas.openxmlformats.org/officeDocument/2006/relationships/image" Target="media/rId62.png"/><Relationship Id="rId59" Type="http://schemas.openxmlformats.org/officeDocument/2006/relationships/image" Target="media/rId59.png"/><Relationship Id="rId65" Type="http://schemas.openxmlformats.org/officeDocument/2006/relationships/image" Target="media/rId65.png"/><Relationship Id="rId53" Type="http://schemas.openxmlformats.org/officeDocument/2006/relationships/image" Target="media/rId53.png"/><Relationship Id="rId33" Type="http://schemas.openxmlformats.org/officeDocument/2006/relationships/image" Target="media/rId33.png"/><Relationship Id="rId84" Type="http://schemas.openxmlformats.org/officeDocument/2006/relationships/image" Target="media/rId84.png"/><Relationship Id="rId94" Type="http://schemas.openxmlformats.org/officeDocument/2006/relationships/hyperlink" Target="https://doi.org/10.1038/s41597-025-05674-6" TargetMode="External"/><Relationship Id="rId95" Type="http://schemas.openxmlformats.org/officeDocument/2006/relationships/hyperlink" Target="https://doi.org/10.17632/85fdtx3kr5.1" TargetMode="External"/><Relationship Id="rId96" Type="http://schemas.openxmlformats.org/officeDocument/2006/relationships/hyperlink" Target="https://github.com/LabIA-UFBA/SUNT" TargetMode="External"/><Relationship Id="rId99" Type="http://schemas.openxmlformats.org/officeDocument/2006/relationships/hyperlink" Target="https://github.com/andr830g/Machine-Learning-Passenger-Forecasting" TargetMode="External"/><Relationship Id="rId98" Type="http://schemas.openxmlformats.org/officeDocument/2006/relationships/hyperlink" Target="https://github.com/ricardoarios/sunt_examples" TargetMode="External"/><Relationship Id="rId97" Type="http://schemas.openxmlformats.org/officeDocument/2006/relationships/hyperlink" Target="https://mobilidade.salvador.ba.gov.br/wp-content/uploads/2025/10/PEPI-Plano-de-Envolvimento-das-Partes-Interessadas-Def_compressed.pdf"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94" Type="http://schemas.openxmlformats.org/officeDocument/2006/relationships/hyperlink" Target="https://doi.org/10.1038/s41597-025-05674-6" TargetMode="External"/><Relationship Id="rId95" Type="http://schemas.openxmlformats.org/officeDocument/2006/relationships/hyperlink" Target="https://doi.org/10.17632/85fdtx3kr5.1" TargetMode="External"/><Relationship Id="rId96" Type="http://schemas.openxmlformats.org/officeDocument/2006/relationships/hyperlink" Target="https://github.com/LabIA-UFBA/SUNT" TargetMode="External"/><Relationship Id="rId99" Type="http://schemas.openxmlformats.org/officeDocument/2006/relationships/hyperlink" Target="https://github.com/andr830g/Machine-Learning-Passenger-Forecasting" TargetMode="External"/><Relationship Id="rId98" Type="http://schemas.openxmlformats.org/officeDocument/2006/relationships/hyperlink" Target="https://github.com/ricardoarios/sunt_examples" TargetMode="External"/><Relationship Id="rId97" Type="http://schemas.openxmlformats.org/officeDocument/2006/relationships/hyperlink" Target="https://mobilidade.salvador.ba.gov.br/wp-content/uploads/2025/10/PEPI-Plano-de-Envolvimento-das-Partes-Interessadas-Def_compress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Based Public Transport Demand and Occupancy Prediction</dc:title>
  <dc:creator>CS3011 Group 52</dc:creator>
  <cp:keywords/>
  <dcterms:created xsi:type="dcterms:W3CDTF">2026-10-27T18:43:41Z</dcterms:created>
  <dcterms:modified xsi:type="dcterms:W3CDTF">2026-10-27T18:43:41Z</dcterms:modified>
  <dc:subject>CS3011 Artificial Intelligence, Group 52, project report</dc:subject>
</cp:coreProperties>
</file>

<file path=docProps/custom.xml><?xml version="1.0" encoding="utf-8"?>
<Properties xmlns="http://schemas.openxmlformats.org/officeDocument/2006/custom-properties" xmlns:vt="http://schemas.openxmlformats.org/officeDocument/2006/docPropsVTypes"/>
</file>