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CollectIQ — Backend Project Specification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Purpose: Define the backend architecture and implementation using AWS Lambda behind Amazon API Gateway, provisioned via Terraform. This doc covers project setup, coding standards, auth, APIs, data model, real-time pricing ingestion, authenticity pipeline, multi-agent orchestration, testing, observability, and interfaces with DevOps.</w:t>
      </w:r>
    </w:p>
    <w:p w:rsidR="00000000" w:rsidDel="00000000" w:rsidP="00000000" w:rsidRDefault="00000000" w:rsidRPr="00000000" w14:paraId="00000003">
      <w:pPr>
        <w:pStyle w:val="Heading1"/>
        <w:rPr>
          <w:rFonts w:ascii="Cambria" w:cs="Cambria" w:eastAsia="Cambria" w:hAnsi="Cambria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1. Architecture Overview</w:t>
        <w:br w:type="textWrapping"/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• Entry: Amazon API Gateway (HTTP API) terminates requests and routes to Lambda functions.</w:t>
        <w:br w:type="textWrapping"/>
        <w:t xml:space="preserve">• Auth: API Gateway JWT Authorizer (Cognito User Pool) validates tokens before invoking Lambdas.</w:t>
        <w:br w:type="textWrapping"/>
        <w:t xml:space="preserve">• Compute: Node.js 20 Lambdas (TypeScript) for presign, cards CRUD, revalue (orchestration entry), pricing adapters, authenticity.</w:t>
        <w:br w:type="textWrapping"/>
        <w:t xml:space="preserve">• Orchestration: AWS Step Functions coordinates tasks; it invokes Amazon Rekognition first for CV/OCR feature extraction, then calls Amazon Bedrock (Supervisor/Sub‑agents) for reasoning. Events flow via EventBridge.</w:t>
        <w:br w:type="textWrapping"/>
        <w:t xml:space="preserve">• Storage: S3 (uploads, private), DynamoDB (single-table), Secrets in SSM/Secrets Manager.</w:t>
        <w:br w:type="textWrapping"/>
        <w:t xml:space="preserve">• AI: Rekognition runs BEFORE Bedrock to produce a FeatureEnvelope (OCR + visual signals). Bedrock consumes that envelope to generate authenticity scores and valuation reasoning.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2. Tech Stack &amp; Principles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Language/Runtime: TypeScript on Node.js 20 (ESM), not strict.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Build: esbuild; one handler per Lambda; optional shared layer for utils.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Validation: Zod at the edge with type inference inward.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Error Model: RFC 7807 (problem+json).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Security: Cognito JWT authorizer; least-privilege IAM; presigned S3; KMS at rest; HTTPS-only.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Performance: P95 &lt; 400ms hot paths; long tasks via Step Functions.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Reliability: idempotency keys on POST; retries/backoff; circuit breakers for sources.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3. Repository &amp; Code Layout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packages/backend/</w:t>
        <w:br w:type="textWrapping"/>
        <w:t xml:space="preserve">  src/</w:t>
        <w:br w:type="textWrapping"/>
        <w:t xml:space="preserve">    handlers/  (apiGateway proxy)</w:t>
        <w:br w:type="textWrapping"/>
        <w:t xml:space="preserve">      upload_presign.ts</w:t>
        <w:br w:type="textWrapping"/>
        <w:t xml:space="preserve">      cards_create.ts</w:t>
        <w:br w:type="textWrapping"/>
        <w:t xml:space="preserve">      cards_list.ts</w:t>
        <w:br w:type="textWrapping"/>
        <w:t xml:space="preserve">      cards_get.ts</w:t>
        <w:br w:type="textWrapping"/>
        <w:t xml:space="preserve">      cards_delete.ts</w:t>
        <w:br w:type="textWrapping"/>
        <w:t xml:space="preserve">      cards_revalue.ts</w:t>
        <w:br w:type="textWrapping"/>
        <w:t xml:space="preserve">    adapters/ (eBay, TCGPlayer, PriceCharting, Rekognition, Bedrock)</w:t>
        <w:br w:type="textWrapping"/>
        <w:t xml:space="preserve">    auth/</w:t>
        <w:br w:type="textWrapping"/>
        <w:t xml:space="preserve">    pricing/</w:t>
        <w:br w:type="textWrapping"/>
        <w:t xml:space="preserve">    authenticity/</w:t>
        <w:br w:type="textWrapping"/>
        <w:t xml:space="preserve">    store/</w:t>
        <w:br w:type="textWrapping"/>
        <w:t xml:space="preserve">    utils/</w:t>
        <w:br w:type="textWrapping"/>
        <w:t xml:space="preserve">  tests/</w:t>
        <w:br w:type="textWrapping"/>
        <w:t xml:space="preserve">infra/terraform/ owned by DevOps; Backend supplies IAM needs &amp; env var contracts.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4. Environment &amp; Configuration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5. Authentication &amp; Authorization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API Gateway JWT authorizer (Cognito) required for all routes except /healthz.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Handlers re-parse claims to extract sub/email; enforce ownership on every read/write.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401/403 return RFC 7807 with remediation text.</w:t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6. Data Model (DynamoDB Single-Table)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Table: {stage}-CollectIQ</w:t>
        <w:br w:type="textWrapping"/>
        <w:t xml:space="preserve">PK = USER#{sub}</w:t>
        <w:br w:type="textWrapping"/>
        <w:t xml:space="preserve">SK = CARD#{cardId} (card) or PRICE#{iso8601} (snapshot)</w:t>
        <w:br w:type="textWrapping"/>
        <w:t xml:space="preserve">Attrs: userId(sub), cardId, name, set, number, rarity, conditionEstimate, frontS3Key, backS3Key, idConfidence, authenticityScore, authenticitySignals{}, valueLow, valueMedian, valueHigh, compsCount, windowDays, sources[], createdAt, updatedAt</w:t>
        <w:br w:type="textWrapping"/>
        <w:t xml:space="preserve">GSIs: GSI1(userId#createdAt), GSI2(set#rarity).</w:t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7. APIs (Lambda + API Gateway)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POST /upload/presign → upload_presign.ts</w:t>
        <w:br w:type="textWrapping"/>
        <w:t xml:space="preserve">• POST /cards → cards_create.ts</w:t>
        <w:br w:type="textWrapping"/>
        <w:t xml:space="preserve">• GET /cards → cards_list.ts</w:t>
        <w:br w:type="textWrapping"/>
        <w:t xml:space="preserve">• GET /cards/{id} → cards_get.ts</w:t>
        <w:br w:type="textWrapping"/>
        <w:t xml:space="preserve">• DELETE /cards/{id} → cards_delete.ts</w:t>
        <w:br w:type="textWrapping"/>
        <w:t xml:space="preserve">• POST /cards/{id}/revalue → cards_revalue.ts (starts Step Functions; 202)</w:t>
        <w:br w:type="textWrapping"/>
        <w:t xml:space="preserve">• GET /healthz → public</w:t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8. Real-Time Pricing Ingestion &amp; Fusion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interface PriceSource { fetchComps(q: PriceQuery): Promise&lt;RawComp[]&gt; }</w:t>
        <w:br w:type="textWrapping"/>
        <w:t xml:space="preserve">Normalize (conditions, currency, IQR), Fuse (low/median/high, compsCount, volatility, confidence), Cache (in-memory + DDB snapshot), rate-limit/backoff, circuit breaker.</w:t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9. Authenticity Pipeline</w:t>
        <w:br w:type="textWrapping"/>
        <w:br w:type="textWrapping"/>
        <w:t xml:space="preserve">Rekognition is invoked first to extract visual/ocr features and produce a FeatureEnvelope used by Bedrock:</w:t>
        <w:br w:type="textWrapping"/>
        <w:t xml:space="preserve">FeatureEnvelope := { ocr: [...], borders: {ratios, symmetry}, holoVariance: number, fontMetrics: {kerning, alignment}, quality: {blur, glare}, imageMeta: {...} }</w:t>
        <w:br w:type="textWrapping"/>
        <w:br w:type="textWrapping"/>
        <w:t xml:space="preserve">Bedrock then combines these signals with card metadata to produce authenticityScore ∈ [0,1] with a short rationale. Scores &lt; 0.85 are flagged; component signals are persisted for transparency and future learning.</w:t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10. Orchestration (Multi-Agent)</w:t>
        <w:br w:type="textWrapping"/>
        <w:br w:type="textWrapping"/>
        <w:t xml:space="preserve">cards_revalue starts a Step Functions execution with input { userId, cardId, s3Keys{front,back?}, requestId }.</w:t>
        <w:br w:type="textWrapping"/>
        <w:t xml:space="preserve">Workflow:</w:t>
        <w:br w:type="textWrapping"/>
        <w:t xml:space="preserve">• Task 1 — RekognitionExtract: Lambda calls Rekognition and returns FeatureEnvelope.</w:t>
        <w:br w:type="textWrapping"/>
        <w:t xml:space="preserve">• Parallel — PricingAgent and AuthenticityAgent (Bedrock) run concurrently; AuthenticityAgent consumes the FeatureEnvelope.</w:t>
        <w:br w:type="textWrapping"/>
        <w:t xml:space="preserve">• Join — Aggregator merges results, persists to DynamoDB, emits EventBridge events.</w:t>
        <w:br w:type="textWrapping"/>
        <w:t xml:space="preserve">• Error handling — retries/backoff per task, DLQ for persistent failures, partial result persistence allowed.</w:t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11. Coding Standards &amp; Patterns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Thin handlers → domain → adapters; pure functions; ProblemDetails; idempotency via DDB tokens; structured JSON logs (no PII).</w:t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  <w:t xml:space="preserve">12. Observability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CloudWatch logs/metrics; X-Ray traces; dashboards per endpoint/agent; alarms via DevOps.</w:t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  <w:t xml:space="preserve">13. Testing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Unit, integration (S3/DDB/Step Functions with mocks), E2E API (auth→upload→identify→value→save), error/rate-limit scenarios.</w:t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14. Interfaces with DevOps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Provide handler names, IAM needs, env var names, memory/timeout hints, optional OpenAPI; consume Terraform outputs.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AWS_REGION=</w:t>
        <w:br w:type="textWrapping"/>
        <w:t xml:space="preserve">DDB_TABLE=</w:t>
        <w:br w:type="textWrapping"/>
        <w:t xml:space="preserve">BUCKET_UPLOADS=</w:t>
        <w:br w:type="textWrapping"/>
        <w:t xml:space="preserve">COGNITO_USER_POOL_ID=</w:t>
        <w:br w:type="textWrapping"/>
        <w:t xml:space="preserve">COGNITO_CLIENT_ID=</w:t>
        <w:br w:type="textWrapping"/>
        <w:t xml:space="preserve">JWKS_URL=</w:t>
        <w:br w:type="textWrapping"/>
        <w:t xml:space="preserve">ALLOWED_UPLOAD_MIME=image/jpeg,image/png,image/heic</w:t>
        <w:br w:type="textWrapping"/>
        <w:t xml:space="preserve">MAX_UPLOAD_MB=12</w:t>
        <w:br w:type="textWrapping"/>
        <w:t xml:space="preserve">EBAY_APP_ID= (SSM/Secrets)</w:t>
        <w:br w:type="textWrapping"/>
        <w:t xml:space="preserve">TCGPLAYER_PUBLIC_KEY= (SSM/Secrets)</w:t>
        <w:br w:type="textWrapping"/>
        <w:t xml:space="preserve">TCGPLAYER_PRIVATE_KEY= (SSM/Secrets)</w:t>
        <w:br w:type="textWrapping"/>
        <w:t xml:space="preserve">PRICECHARTING_KEY= (SSM/Secrets)</w:t>
        <w:br w:type="textWrapping"/>
        <w:t xml:space="preserve">CACHE_TTL_SECONDS=300</w:t>
        <w:br w:type="textWrapping"/>
        <w:t xml:space="preserve">IDEMPOTENCY_TTL_SECONDS=600</w:t>
        <w:br w:type="textWrapping"/>
        <w:t xml:space="preserve">STEP_FUNCTIONS_ARN=</w:t>
        <w:br w:type="textWrapping"/>
        <w:t xml:space="preserve">EVENT_BUS_NAME=</w:t>
        <w:br w:type="textWrapping"/>
        <w:t xml:space="preserve">BEDROCK_MODEL_ID=&lt;e.g., anthropic.claude-3-sonnet&gt;</w:t>
        <w:br w:type="textWrapping"/>
        <w:t xml:space="preserve">BEDROCK_MAX_TOKENS=2048</w:t>
        <w:br w:type="textWrapping"/>
        <w:t xml:space="preserve">BEDROCK_TEMPERATURE=0.2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Q7q3ndcstiasidM6kA1yhYXmLA==">CgMxLjA4AHIhMWF3ejlhZUUtVE94MW1FUWNiQmQ4QlZUVGdBSVJLTFRa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