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CollectIQ – Updated Brand &amp; Design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on October 11, 2025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Brand Essence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CollectIQ expresses clarity, intelligence, and precision — designed for collectors who value insight and control. The updated color palette removes all indigo and purple tones to emphasize clean blues, tech-inspired neutrals, and modern gradients.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Color Palette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refined palette conveys trust and modern intelligence without any indigo or purple hues.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a73e8"/>
          <w:rtl w:val="0"/>
        </w:rPr>
        <w:t xml:space="preserve">Primary – Vault Blue (#1A73E8) – Reliability and clarity; main action color for buttons and highlights.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0c6ff"/>
          <w:rtl w:val="0"/>
        </w:rPr>
        <w:t xml:space="preserve">Secondary – Holo Cyan (#00C6FF) – Vibrant energy and modernity; used for gradients and accents.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1e1e1e"/>
          <w:rtl w:val="0"/>
        </w:rPr>
        <w:t xml:space="preserve">Surface / Background – Carbon Gray (#1E1E1E) – Dark neutral foundation replacing indigo; clean and serious 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5f7fa"/>
          <w:rtl w:val="0"/>
        </w:rPr>
        <w:t xml:space="preserve">Neutral Light – Cloud Silver (#F5F7FA) – Used for card backgrounds and panels in light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e2e2e"/>
          <w:rtl w:val="0"/>
        </w:rPr>
        <w:t xml:space="preserve">Neutral Dark – Graphite Gray (#2E2E2E) – Used in dark mode or for card outlines.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00e676"/>
          <w:rtl w:val="0"/>
        </w:rPr>
        <w:t xml:space="preserve">Success – Emerald Glow (#00E676) – Positive signals: price increase, successful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ffc400"/>
          <w:rtl w:val="0"/>
        </w:rPr>
        <w:t xml:space="preserve">Warning – Amber Pulse (#FFC400) – Attention cues: price drops, pending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d32f2f"/>
          <w:rtl w:val="0"/>
        </w:rPr>
        <w:t xml:space="preserve">Error – Crimson Red (#D32F2F) – Failures or authenticity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Gradients should blend Vault Blue (#1A73E8) to Holo Cyan (#00C6FF) at 45°, used sparingly for primary CTAs or loading elements.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3. Typography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Typography conveys intelligence and precision while maintaining approachability.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Font: Inter – Used across UI for its legibility and balance.</w:t>
        <w:br w:type="textWrapping"/>
        <w:t xml:space="preserve">Weights: 400 (Regular), 500 (Medium), 700 (Bold).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 Font: Space Grotesk – Used for titles and key numbers. Slightly condensed to reflect a data-driven aesthetic.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Monospace Font: JetBrains Mono – For price data, identifiers, and code snippets.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4. UI Elements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elements follow a card-based modular grid with subtle gradients and minimal shadows. No purple hues are allowed.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Buttons: Primary buttons use Vault Blue with white text. Hover transitions to Holo Cyan. Shadows use transparency instead of color tints.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Cards: Surface color Cloud Silver in light mode and Graphite Gray in dark mode. Corners rounded at 12–16px; elevation via soft shadow blur (12px).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Inputs: Borders: 1px solid Graphite Gray. Focus glow: Holo Cyan ring (shadow blur 4px).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Alerts: Semantic colors only (Emerald Glow, Amber Pulse, Crimson Red). Include icons with 1.5px line weight.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Charts: Use neutral background with Vault Blue and Emerald Glow data lines. No purple highlights allowed.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5. Layout &amp; Spacing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CollectIQ uses an 8px grid system. Common paddings: 16px for components, 24px for sections, and 32px for container edges.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Content max width: 1200px. Maintain generous whitespace and 1.6 line-height for readability.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6. Motion &amp; Interaction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Motion follows the principle of 'calm intelligence' — quick yet smooth. Use 200–300ms ease-in-out transitions.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Examples:</w:t>
        <w:br w:type="textWrapping"/>
        <w:t xml:space="preserve">• Hover: slight 3D tilt (2–3°) and subtle gradient shift.</w:t>
        <w:br w:type="textWrapping"/>
        <w:t xml:space="preserve">• Modal open: scale from 95% to 100% with 150ms fade.</w:t>
        <w:br w:type="textWrapping"/>
        <w:t xml:space="preserve">• Loading: Holo Cyan shimmer pulse, replacing generic spinner.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7. Dark Mode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Background: Carbon Gray (#1E1E1E). Text: 90% white. Accents maintain full vibrancy.</w:t>
        <w:br w:type="textWrapping"/>
        <w:t xml:space="preserve">Cards and panels use Graphite Gray with Vault Blue outlines. Avoid purple glows entirely.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8. Accessibility &amp; Contrast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Ensure all text meets WCAG AA contrast. Vault Blue on white (8.6:1) and Holo Cyan on Carbon Gray (5.1:1) meet accessibility standards.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Maintain visible focus outlines (2px solid Holo Cyan). Test color contrast regularly under different brightness levels.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9. Brand Tone &amp; Emotion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CollectIQ is factual yet enthusiastic. It speaks to collectors who love data and nostalgia in equal measure. Tone keywords: intelligent, clear, modern, confident, inclusive.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Avoid exclamation-heavy or slang phrases. Instead of 'That’s awesome!', use 'Your vault just leveled up.'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10. Implementation Deliverables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Tailwind config with new color variables (no indigo, no purple).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Global theme tokens: color-vault-blue, color-holo-cyan, color-carbon-gray, color-graphite-gray, 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Light/Dark mode CSS variables with gradients.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shadcn/ui theme extension for consistent brand components.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Sample dashboard layout with responsive grid and holo gradient CTA button.</w:t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11. Summary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update removes all purple and indigo tones from the CollectIQ brand identity. The resulting aesthetic is clean, futuristic, and collector-focused. Vault Blue and Holo Cyan form the heart of the brand’s identity — evoking trust and discovery without overwhelming users.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L9sGVq8nVF44SfFOzhpyRqkxQ==">CgMxLjA4AHIhMThuYXAxcTgzZ3M2REt2d25GRl9HbGRhYlBRQjhkMVdN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