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CollectIQ — App Mockups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Last Updated: October 11,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Scope: Mobile-first UI for CollectIQ – The AI Vault for Trading Card Collectors. Includes both wireframe and high-fidelity design plans.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1. Branding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CollectIQ follows a minimal, modern, and data-driven aesthetic inspired by teal and warm neutrals.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• Primary Color: Teal (#00B3A4) — main accent for CTAs, highlights, and progress indicators.</w:t>
        <w:br w:type="textWrapping"/>
        <w:t xml:space="preserve">• Secondary Color: Warm Gray (#EAEAEA) — background and card surfaces.</w:t>
        <w:br w:type="textWrapping"/>
        <w:t xml:space="preserve">• Typography: Inter / SF Pro Rounded — geometric, legible, mobile-friendly.</w:t>
        <w:br w:type="textWrapping"/>
        <w:t xml:space="preserve">• Layout: Rounded corners (16px radius), subtle shadows, and neumorphic depth.</w:t>
        <w:br w:type="textWrapping"/>
        <w:t xml:space="preserve">• Overall Vibe: Calm, intelligent, and collector-friendly.</w:t>
        <w:br w:type="textWrapping"/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2. Design Overview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The CollectIQ mobile app enables collectors to identify, authenticate, and value Pokémon Trading Cards instantly using AI. </w:t>
        <w:br w:type="textWrapping"/>
        <w:t xml:space="preserve">The user journey emphasizes speed, clarity, and delight — with frictionless upload and instant feedback.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Each screen is optimized for mobile-first interaction, with clear thumb zones, intuitive tap targets, and a built-in camera capture feature for card scanning.</w:t>
        <w:br w:type="textWrapping"/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1. Landing Page / Hero Section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Wireframe Focus: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Centered logo, concise tagline, and two CTAs ('Upload a Card' and 'Take a Photo'). Simple vertical layout.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High-Fidelity Focus: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Gradient background with floating Pokémon-style cards. Neumorphic teal buttons and crisp typography.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2. Upload &amp; Scan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Wireframe Focus: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Top header, file upload area, and 'Use Camera' option. Progress indicator placeholder.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High-Fidelity Focus: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Teal progress ring, animated 'Scanning...' feedback, blurred background. Camera API integration for photo capture.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3. AI Analysis Result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Wireframe Focus: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Card image preview, numeric authenticity score, and valuation metrics stacked vertically.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High-Fidelity Focus: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Card reflection effect, authenticity gauge visualization, teal gradient bars for market value range.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4. Vault Dashboard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Wireframe Focus: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Simple grid layout for cards, banner showing total collection value, and filter tabs.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High-Fidelity Focus: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Teal-glow card hover, soft shadows, and portfolio chart visualization with animated counters.</w:t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5. Card Detail View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Wireframe Focus: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Large card image, authenticity history, and valuation timeline chart.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High-Fidelity Focus: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White card frame with teal highlights. Trend lines and stat chips showing changes over time.</w:t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6. Profile / Settings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Wireframe Focus: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Avatar at top, list of user settings (notifications, AI analysis toggle, sign-out).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High-Fidelity Focus: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Rounded list items, teal iconography, and subtle section dividers.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3. Special Mobile Capabilities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  <w:t xml:space="preserve">• Camera Integration: Users can capture card photos directly via the mobile camera API.</w:t>
        <w:br w:type="textWrapping"/>
        <w:t xml:space="preserve">• Offline Mode (Planned): Caches previously scanned cards for offline viewing.</w:t>
        <w:br w:type="textWrapping"/>
        <w:t xml:space="preserve">• Animations: Smooth transitions between screens; motion feedback on button taps.</w:t>
        <w:br w:type="textWrapping"/>
        <w:t xml:space="preserve">• Dark Mode (Future): Planned variant with teal on charcoal background.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wt0AEVrGj37AqeLfTcmwPGPatg==">CgMxLjA4AHIhMXNUbXhqVkN3ZkNUMDV2SHl6ODVBaG4xeHNxRkdDdGsx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