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8"/>
          <w:szCs w:val="28"/>
        </w:rPr>
      </w:pPr>
      <w:r w:rsidDel="00000000" w:rsidR="00000000" w:rsidRPr="00000000">
        <w:rPr>
          <w:sz w:val="28"/>
          <w:szCs w:val="28"/>
          <w:rtl w:val="0"/>
        </w:rPr>
        <w:t xml:space="preserve">Overview - Cease &amp; Desist is a formal request from customers to  stop all kinds of direct communication to them from the enterprise. The enterprise receives scanned PDF documents of customer requests. In current process, the human agents must then manually read the documents and figure out if that request is a “Cease” or “No Cease” request and then process it accordingly. The proposed solution automates this procedure.</w:t>
      </w:r>
    </w:p>
    <w:p w:rsidR="00000000" w:rsidDel="00000000" w:rsidP="00000000" w:rsidRDefault="00000000" w:rsidRPr="00000000" w14:paraId="00000002">
      <w:pPr>
        <w:ind w:left="720" w:firstLine="0"/>
        <w:rPr>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8"/>
          <w:szCs w:val="28"/>
        </w:rPr>
      </w:pPr>
      <w:r w:rsidDel="00000000" w:rsidR="00000000" w:rsidRPr="00000000">
        <w:rPr>
          <w:sz w:val="28"/>
          <w:szCs w:val="28"/>
          <w:rtl w:val="0"/>
        </w:rPr>
        <w:t xml:space="preserve">Solution - The solution shall classify incoming PDF documents in 3 categories - Requests for “Cease”, “Uncertain - Manual review required” and “Irrelevant”. If it’s a “Cease” request, call an agent / tool that would write details to a datastore (Such as date of document received, document name). If “irrelevant”, send to an archiving agent that writes to a flat file (Such as date of document received, document name). If uncertain, present it to a human agent. In all cases, log request (audit agent) with explanation for audit purposes. Optionally, the solution should support multiple languages.</w:t>
      </w:r>
    </w:p>
    <w:p w:rsidR="00000000" w:rsidDel="00000000" w:rsidP="00000000" w:rsidRDefault="00000000" w:rsidRPr="00000000" w14:paraId="00000004">
      <w:pPr>
        <w:ind w:left="720" w:firstLine="0"/>
        <w:rPr>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8"/>
          <w:szCs w:val="28"/>
        </w:rPr>
      </w:pPr>
      <w:r w:rsidDel="00000000" w:rsidR="00000000" w:rsidRPr="00000000">
        <w:rPr>
          <w:sz w:val="28"/>
          <w:szCs w:val="28"/>
          <w:rtl w:val="0"/>
        </w:rPr>
        <w:t xml:space="preserve">Expected coverage - Multiple agents, Human in the loop, database interaction by agents, auditing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