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A843" w:sz="6"/>
              <w:right w:val="none" w:color="FFFFFF" w:sz="0"/>
            </w:tcBorders>
            <w:tcMar>
              <w:top w:type="dxa" w:w="200"/>
              <w:left w:type="dxa" w:w="0"/>
              <w:bottom w:type="dxa" w:w="300"/>
              <w:right w:type="dxa" w:w="0"/>
            </w:tcMar>
          </w:tcPr>
          <w:p>
            <w:pPr>
              <w:spacing w:after="120"/>
              <w:jc w:val="center"/>
            </w:pPr>
            <w:r>
              <w:rPr>
                <w:rFonts w:ascii="Arial" w:cs="Arial" w:eastAsia="Arial" w:hAnsi="Arial"/>
                <w:b/>
                <w:bCs/>
                <w:color w:val="1B2A4A"/>
                <w:sz w:val="44"/>
                <w:szCs w:val="44"/>
              </w:rPr>
              <w:t xml:space="preserve">DETAILED DESIGN SPECIFICATION</w:t>
            </w:r>
          </w:p>
          <w:p>
            <w:pPr>
              <w:spacing w:before="100" w:after="0"/>
            </w:pPr>
          </w:p>
          <w:p>
            <w:pPr>
              <w:spacing w:after="120"/>
              <w:jc w:val="center"/>
            </w:pPr>
            <w:r>
              <w:rPr>
                <w:rFonts w:ascii="Arial" w:cs="Arial" w:eastAsia="Arial" w:hAnsi="Arial"/>
                <w:color w:val="2E86AB"/>
                <w:sz w:val="32"/>
                <w:szCs w:val="32"/>
              </w:rPr>
              <w:t xml:space="preserve">Autonomous Compliance Control Platform</w:t>
            </w:r>
          </w:p>
          <w:p>
            <w:pPr>
              <w:spacing w:before="80" w:after="0"/>
            </w:pPr>
          </w:p>
          <w:p>
            <w:pPr>
              <w:spacing w:after="120"/>
              <w:jc w:val="center"/>
            </w:pPr>
            <w:r>
              <w:rPr>
                <w:rFonts w:ascii="Arial" w:cs="Arial" w:eastAsia="Arial" w:hAnsi="Arial"/>
                <w:color w:val="555555"/>
                <w:sz w:val="24"/>
                <w:szCs w:val="24"/>
              </w:rPr>
              <w:t xml:space="preserve">Graph-Driven Agentic Architecture with MCP Server,
Google ADK, and Neo4J Knowledge Graph</w:t>
            </w:r>
          </w:p>
        </w:tc>
      </w:tr>
    </w:tbl>
    <w:p>
      <w:pPr>
        <w:spacing w:before="6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Document Type: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Technical Design Specification</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Classification:</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Internal — Executive Review</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Version:</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 — Draft for Brainstorming</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Date: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February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b/>
                <w:bCs/>
                <w:color w:val="1B2A4A"/>
                <w:sz w:val="20"/>
                <w:szCs w:val="20"/>
              </w:rPr>
              <w:t xml:space="preserve">Audience: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Executive Leadership / Architecture Review</w:t>
            </w:r>
          </w:p>
        </w:tc>
      </w:tr>
    </w:tbl>
    <w:p>
      <w:pPr>
        <w:spacing w:before="800" w:after="0"/>
      </w:pPr>
    </w:p>
    <w:p>
      <w:pPr>
        <w:spacing w:after="120"/>
        <w:jc w:val="center"/>
      </w:pPr>
      <w:r>
        <w:rPr>
          <w:rFonts w:ascii="Arial" w:cs="Arial" w:eastAsia="Arial" w:hAnsi="Arial"/>
          <w:b/>
          <w:bCs/>
          <w:color w:val="999999"/>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6"/>
          <w:szCs w:val="36"/>
        </w:rPr>
        <w:t xml:space="preserve">1. Executive Summary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3"/>
              <w:left w:val="single" w:color="2E86AB"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2E86AB"/>
                <w:sz w:val="22"/>
                <w:szCs w:val="22"/>
              </w:rPr>
              <w:t xml:space="preserve">THE NOVEL APPROACH</w:t>
            </w:r>
          </w:p>
          <w:p>
            <w:pPr>
              <w:spacing w:after="120"/>
              <w:jc w:val="left"/>
            </w:pPr>
            <w:r>
              <w:rPr>
                <w:rFonts w:ascii="Arial" w:cs="Arial" w:eastAsia="Arial" w:hAnsi="Arial"/>
                <w:color w:val="555555"/>
                <w:sz w:val="22"/>
                <w:szCs w:val="22"/>
              </w:rPr>
              <w:t xml:space="preserve">This design specification proposes a Graph-Driven Agentic Compliance Platform that fundamentally reimagines how 2,500+ QA controls are automated. Instead of building individual automation scripts, we construct a living knowledge graph of controls, SOPs, data lineage, and regulatory relationships — powered by autonomous AI agents orchestrated through Google ADK, connected to enterprise data via MCP Server protocol, and mapped in a Neo4J graph database that makes every relationship queryable, auditable, and intelligent.</w:t>
            </w:r>
          </w:p>
        </w:tc>
      </w:tr>
    </w:tbl>
    <w:p>
      <w:pPr>
        <w:spacing w:before="120" w:after="0"/>
      </w:pPr>
    </w:p>
    <w:p>
      <w:pPr>
        <w:spacing w:after="120"/>
        <w:jc w:val="left"/>
      </w:pPr>
      <w:r>
        <w:rPr>
          <w:rFonts w:ascii="Arial" w:cs="Arial" w:eastAsia="Arial" w:hAnsi="Arial"/>
          <w:color w:val="555555"/>
          <w:sz w:val="22"/>
          <w:szCs w:val="22"/>
        </w:rPr>
        <w:t xml:space="preserve">This architecture solves the three hardest problems in compliance automation simultaneously: the data heterogeneity problem (data arrives in every format imaginable), the determinism problem (regulators require reproducible outputs from probabilistic AI systems), and the scale problem (2,500+ controls cannot be automated one-by-one as custom projects).</w:t>
      </w:r>
    </w:p>
    <w:p>
      <w:pPr>
        <w:spacing w:before="80" w:after="0"/>
      </w:pPr>
    </w:p>
    <w:p>
      <w:pPr>
        <w:pStyle w:val="Heading3"/>
        <w:spacing w:before="200" w:after="120"/>
      </w:pPr>
      <w:r>
        <w:rPr>
          <w:rFonts w:ascii="Arial" w:cs="Arial" w:eastAsia="Arial" w:hAnsi="Arial"/>
          <w:b/>
          <w:bCs/>
          <w:color w:val="2E86AB"/>
          <w:sz w:val="24"/>
          <w:szCs w:val="24"/>
        </w:rPr>
        <w:t xml:space="preserve">Key Design Principles</w:t>
      </w:r>
    </w:p>
    <w:p>
      <w:pPr>
        <w:pStyle w:val="ListParagraph"/>
        <w:numPr>
          <w:ilvl w:val="0"/>
          <w:numId w:val="2"/>
        </w:numPr>
        <w:spacing w:after="60"/>
      </w:pPr>
      <w:r>
        <w:rPr>
          <w:rFonts w:ascii="Arial" w:cs="Arial" w:eastAsia="Arial" w:hAnsi="Arial"/>
          <w:b/>
          <w:bCs/>
          <w:color w:val="000000"/>
          <w:sz w:val="22"/>
          <w:szCs w:val="22"/>
        </w:rPr>
        <w:t xml:space="preserve">Graph-First Thinking: </w:t>
      </w:r>
      <w:r>
        <w:rPr>
          <w:rFonts w:ascii="Arial" w:cs="Arial" w:eastAsia="Arial" w:hAnsi="Arial"/>
          <w:color w:val="555555"/>
          <w:sz w:val="22"/>
          <w:szCs w:val="22"/>
        </w:rPr>
        <w:t xml:space="preserve">Every control, SOP, data source, agent, and audit event is a node in a Neo4J knowledge graph. Relationships are first-class citizens — not afterthoughts stored in relational join tables.</w:t>
      </w:r>
    </w:p>
    <w:p>
      <w:pPr>
        <w:pStyle w:val="ListParagraph"/>
        <w:numPr>
          <w:ilvl w:val="0"/>
          <w:numId w:val="2"/>
        </w:numPr>
        <w:spacing w:after="60"/>
      </w:pPr>
      <w:r>
        <w:rPr>
          <w:rFonts w:ascii="Arial" w:cs="Arial" w:eastAsia="Arial" w:hAnsi="Arial"/>
          <w:b/>
          <w:bCs/>
          <w:color w:val="000000"/>
          <w:sz w:val="22"/>
          <w:szCs w:val="22"/>
        </w:rPr>
        <w:t xml:space="preserve">MCP as Universal Data Fabric: </w:t>
      </w:r>
      <w:r>
        <w:rPr>
          <w:rFonts w:ascii="Arial" w:cs="Arial" w:eastAsia="Arial" w:hAnsi="Arial"/>
          <w:color w:val="555555"/>
          <w:sz w:val="22"/>
          <w:szCs w:val="22"/>
        </w:rPr>
        <w:t xml:space="preserve">The Model Context Protocol (MCP) Server provides a single, standardized interface for AI agents to access data regardless of source — ERP, mainframe, document repository, API, or database.</w:t>
      </w:r>
    </w:p>
    <w:p>
      <w:pPr>
        <w:pStyle w:val="ListParagraph"/>
        <w:numPr>
          <w:ilvl w:val="0"/>
          <w:numId w:val="2"/>
        </w:numPr>
        <w:spacing w:after="60"/>
      </w:pPr>
      <w:r>
        <w:rPr>
          <w:rFonts w:ascii="Arial" w:cs="Arial" w:eastAsia="Arial" w:hAnsi="Arial"/>
          <w:b/>
          <w:bCs/>
          <w:color w:val="000000"/>
          <w:sz w:val="22"/>
          <w:szCs w:val="22"/>
        </w:rPr>
        <w:t xml:space="preserve">Google ADK Agent Orchestration: </w:t>
      </w:r>
      <w:r>
        <w:rPr>
          <w:rFonts w:ascii="Arial" w:cs="Arial" w:eastAsia="Arial" w:hAnsi="Arial"/>
          <w:color w:val="555555"/>
          <w:sz w:val="22"/>
          <w:szCs w:val="22"/>
        </w:rPr>
        <w:t xml:space="preserve">Google’s Agent Development Kit provides the framework for building, deploying, and governing autonomous agents with built-in tool use, memory, and multi-agent coordination.</w:t>
      </w:r>
    </w:p>
    <w:p>
      <w:pPr>
        <w:pStyle w:val="ListParagraph"/>
        <w:numPr>
          <w:ilvl w:val="0"/>
          <w:numId w:val="2"/>
        </w:numPr>
        <w:spacing w:after="60"/>
      </w:pPr>
      <w:r>
        <w:rPr>
          <w:rFonts w:ascii="Arial" w:cs="Arial" w:eastAsia="Arial" w:hAnsi="Arial"/>
          <w:b/>
          <w:bCs/>
          <w:color w:val="000000"/>
          <w:sz w:val="22"/>
          <w:szCs w:val="22"/>
        </w:rPr>
        <w:t xml:space="preserve">Deterministic Execution with AI Augmentation: </w:t>
      </w:r>
      <w:r>
        <w:rPr>
          <w:rFonts w:ascii="Arial" w:cs="Arial" w:eastAsia="Arial" w:hAnsi="Arial"/>
          <w:color w:val="555555"/>
          <w:sz w:val="22"/>
          <w:szCs w:val="22"/>
        </w:rPr>
        <w:t xml:space="preserve">AI assists in understanding and configuring controls; deterministic engines execute them. The separation is architecturally enforced, not just procedural.</w:t>
      </w:r>
    </w:p>
    <w:p>
      <w:pPr>
        <w:pStyle w:val="ListParagraph"/>
        <w:numPr>
          <w:ilvl w:val="0"/>
          <w:numId w:val="2"/>
        </w:numPr>
        <w:spacing w:after="60"/>
      </w:pPr>
      <w:r>
        <w:rPr>
          <w:rFonts w:ascii="Arial" w:cs="Arial" w:eastAsia="Arial" w:hAnsi="Arial"/>
          <w:b/>
          <w:bCs/>
          <w:color w:val="000000"/>
          <w:sz w:val="22"/>
          <w:szCs w:val="22"/>
        </w:rPr>
        <w:t xml:space="preserve">Web-Native SOP Access: </w:t>
      </w:r>
      <w:r>
        <w:rPr>
          <w:rFonts w:ascii="Arial" w:cs="Arial" w:eastAsia="Arial" w:hAnsi="Arial"/>
          <w:color w:val="555555"/>
          <w:sz w:val="22"/>
          <w:szCs w:val="22"/>
        </w:rPr>
        <w:t xml:space="preserve">All Standard Operating Procedures and policy documents are served via a web interface, enabling real-time agent retrieval, version control, and semantic search across the entire policy corpus.</w:t>
      </w:r>
    </w:p>
    <w:p>
      <w:r>
        <w:br w:type="page"/>
      </w:r>
    </w:p>
    <w:p>
      <w:pPr>
        <w:pStyle w:val="Heading1"/>
        <w:spacing w:before="360" w:after="200"/>
      </w:pPr>
      <w:r>
        <w:rPr>
          <w:rFonts w:ascii="Arial" w:cs="Arial" w:eastAsia="Arial" w:hAnsi="Arial"/>
          <w:b/>
          <w:bCs/>
          <w:color w:val="1B2A4A"/>
          <w:sz w:val="36"/>
          <w:szCs w:val="36"/>
        </w:rPr>
        <w:t xml:space="preserve">2. Problem Statement and Design Context</w:t>
      </w:r>
    </w:p>
    <w:p>
      <w:pPr>
        <w:pStyle w:val="Heading2"/>
        <w:spacing w:before="280" w:after="160"/>
      </w:pPr>
      <w:r>
        <w:rPr>
          <w:rFonts w:ascii="Arial" w:cs="Arial" w:eastAsia="Arial" w:hAnsi="Arial"/>
          <w:b/>
          <w:bCs/>
          <w:color w:val="2C3E6B"/>
          <w:sz w:val="28"/>
          <w:szCs w:val="28"/>
        </w:rPr>
        <w:t xml:space="preserve">2.1 The Scale Challenge</w:t>
      </w:r>
    </w:p>
    <w:p>
      <w:pPr>
        <w:spacing w:after="120"/>
        <w:jc w:val="left"/>
      </w:pPr>
      <w:r>
        <w:rPr>
          <w:rFonts w:ascii="Arial" w:cs="Arial" w:eastAsia="Arial" w:hAnsi="Arial"/>
          <w:color w:val="555555"/>
          <w:sz w:val="22"/>
          <w:szCs w:val="22"/>
        </w:rPr>
        <w:t xml:space="preserve">The organization operates 2,500+ quality assurance controls across multiple business lines. The current state presents critical challenges that this design addresses: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Challenge</w:t>
            </w:r>
          </w:p>
        </w:tc>
        <w:tc>
          <w:tcPr>
            <w:tcW w:type="dxa" w:w="6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Design Implication</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Heterogeneity</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Controls consume data from ERP systems, mainframe screens, PDFs, spreadsheets, APIs, emails, and SharePoint. A universal data access layer (MCP) is required.</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Complexity</w:t>
            </w:r>
          </w:p>
        </w:tc>
        <w:tc>
          <w:tcPr>
            <w:tcW w:type="dxa" w:w="6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SOPs range from 5-step linear procedures to 25+ step branching workflows. Graph-based modeling (Neo4J) captures this complexity natively.</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Determinism vs. Intelligence</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Regulators demand reproducible outputs, but real-world documents require AI interpretation. A three-layer validation architecture resolves this tension.</w:t>
            </w:r>
          </w:p>
        </w:tc>
      </w:tr>
      <w:tr>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Tribal Knowledge</w:t>
            </w:r>
          </w:p>
        </w:tc>
        <w:tc>
          <w:tcPr>
            <w:tcW w:type="dxa" w:w="6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Undocumented exceptions and edge cases live in operators’ heads. The knowledge graph captures and codifies this institutional memory.</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Automation Velocity</w:t>
            </w:r>
          </w:p>
        </w:tc>
        <w:tc>
          <w:tcPr>
            <w:tcW w:type="dxa" w:w="6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Building 120 bespoke automations per year is insufficient. A factory model with reusable agent patterns enables 15–20 controls/week at scale.</w:t>
            </w:r>
          </w:p>
        </w:tc>
      </w:tr>
    </w:tbl>
    <w:p>
      <w:pPr>
        <w:spacing w:before="120" w:after="0"/>
      </w:pPr>
    </w:p>
    <w:p>
      <w:pPr>
        <w:pStyle w:val="Heading2"/>
        <w:spacing w:before="280" w:after="160"/>
      </w:pPr>
      <w:r>
        <w:rPr>
          <w:rFonts w:ascii="Arial" w:cs="Arial" w:eastAsia="Arial" w:hAnsi="Arial"/>
          <w:b/>
          <w:bCs/>
          <w:color w:val="2C3E6B"/>
          <w:sz w:val="28"/>
          <w:szCs w:val="28"/>
        </w:rPr>
        <w:t xml:space="preserve">2.2 Why Existing Approaches Fall Short</w:t>
      </w:r>
    </w:p>
    <w:p>
      <w:pPr>
        <w:spacing w:after="120"/>
        <w:jc w:val="left"/>
      </w:pPr>
      <w:r>
        <w:rPr>
          <w:rFonts w:ascii="Arial" w:cs="Arial" w:eastAsia="Arial" w:hAnsi="Arial"/>
          <w:color w:val="555555"/>
          <w:sz w:val="22"/>
          <w:szCs w:val="22"/>
        </w:rPr>
        <w:t xml:space="preserve">Traditional automation approaches — RPA scripts, custom Python jobs, rule engines in isolation — fail at this scale because they treat each control as a standalone project. They create maintenance nightmares (each script must be individually updated when SOPs change), cannot share learning across controls, and provide no organizational intelligence about the control ecosystem itself.</w:t>
      </w:r>
    </w:p>
    <w:p>
      <w:pPr>
        <w:spacing w:after="120"/>
        <w:jc w:val="left"/>
      </w:pPr>
      <w:r>
        <w:rPr>
          <w:rFonts w:ascii="Arial" w:cs="Arial" w:eastAsia="Arial" w:hAnsi="Arial"/>
          <w:color w:val="555555"/>
          <w:sz w:val="22"/>
          <w:szCs w:val="22"/>
        </w:rPr>
        <w:t xml:space="preserve">The approach described here inverts this model: build the platform and knowledge infrastructure first, then onboard controls as configuration rather than projects.</w:t>
      </w:r>
    </w:p>
    <w:p>
      <w:r>
        <w:br w:type="page"/>
      </w:r>
    </w:p>
    <w:p>
      <w:pPr>
        <w:pStyle w:val="Heading1"/>
        <w:spacing w:before="360" w:after="200"/>
      </w:pPr>
      <w:r>
        <w:rPr>
          <w:rFonts w:ascii="Arial" w:cs="Arial" w:eastAsia="Arial" w:hAnsi="Arial"/>
          <w:b/>
          <w:bCs/>
          <w:color w:val="1B2A4A"/>
          <w:sz w:val="36"/>
          <w:szCs w:val="36"/>
        </w:rPr>
        <w:t xml:space="preserve">3. High-Level Architecture</w:t>
      </w:r>
    </w:p>
    <w:p>
      <w:pPr>
        <w:pStyle w:val="Heading2"/>
        <w:spacing w:before="280" w:after="160"/>
      </w:pPr>
      <w:r>
        <w:rPr>
          <w:rFonts w:ascii="Arial" w:cs="Arial" w:eastAsia="Arial" w:hAnsi="Arial"/>
          <w:b/>
          <w:bCs/>
          <w:color w:val="2C3E6B"/>
          <w:sz w:val="28"/>
          <w:szCs w:val="28"/>
        </w:rPr>
        <w:t xml:space="preserve">3.1 Layered Architecture Overview</w:t>
      </w:r>
    </w:p>
    <w:p>
      <w:pPr>
        <w:spacing w:after="120"/>
        <w:jc w:val="left"/>
      </w:pPr>
      <w:r>
        <w:rPr>
          <w:rFonts w:ascii="Arial" w:cs="Arial" w:eastAsia="Arial" w:hAnsi="Arial"/>
          <w:color w:val="555555"/>
          <w:sz w:val="22"/>
          <w:szCs w:val="22"/>
        </w:rPr>
        <w:t xml:space="preserve">The platform follows a five-layer architecture where each layer has a distinct responsibility, clear interfaces, and explicit rules about where AI is and is not permitted to operate autonomously.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1B2A4A" w:val="clear"/>
            <w:tcMar>
              <w:top w:type="dxa" w:w="120"/>
              <w:left w:type="dxa" w:w="200"/>
              <w:bottom w:type="dxa" w:w="120"/>
              <w:right w:type="dxa" w:w="200"/>
            </w:tcMar>
          </w:tcPr>
          <w:p>
            <w:pPr>
              <w:spacing w:after="120"/>
              <w:jc w:val="center"/>
            </w:pPr>
            <w:r>
              <w:rPr>
                <w:rFonts w:ascii="Arial" w:cs="Arial" w:eastAsia="Arial" w:hAnsi="Arial"/>
                <w:b/>
                <w:bCs/>
                <w:color w:val="FFFFFF"/>
                <w:sz w:val="22"/>
                <w:szCs w:val="22"/>
              </w:rPr>
              <w:t xml:space="preserve">LAYER 5  |  PRESENTATION &amp; GOVERNANCE</w:t>
            </w:r>
          </w:p>
          <w:p>
            <w:pPr>
              <w:spacing w:after="120"/>
              <w:jc w:val="center"/>
            </w:pPr>
            <w:r>
              <w:rPr>
                <w:rFonts w:ascii="Arial" w:cs="Arial" w:eastAsia="Arial" w:hAnsi="Arial"/>
                <w:color w:val="B0BEC5"/>
                <w:sz w:val="18"/>
                <w:szCs w:val="18"/>
              </w:rPr>
              <w:t xml:space="preserve">Control Tower Dashboard  •  Audit Portal  •  Executive Analytics  •  SOP Web Portal</w:t>
            </w:r>
          </w:p>
        </w:tc>
      </w:tr>
      <w:tr>
        <w:tc>
          <w:tcPr>
            <w:tcW w:type="dxa" w:w="9360"/>
            <w:tcBorders>
              <w:top w:val="single" w:color="B0BEC5" w:sz="1"/>
              <w:left w:val="single" w:color="B0BEC5" w:sz="1"/>
              <w:bottom w:val="single" w:color="B0BEC5" w:sz="1"/>
              <w:right w:val="single" w:color="B0BEC5" w:sz="1"/>
            </w:tcBorders>
            <w:shd w:fill="2C3E6B" w:val="clear"/>
            <w:tcMar>
              <w:top w:type="dxa" w:w="120"/>
              <w:left w:type="dxa" w:w="200"/>
              <w:bottom w:type="dxa" w:w="120"/>
              <w:right w:type="dxa" w:w="200"/>
            </w:tcMar>
          </w:tcPr>
          <w:p>
            <w:pPr>
              <w:spacing w:after="120"/>
              <w:jc w:val="center"/>
            </w:pPr>
            <w:r>
              <w:rPr>
                <w:rFonts w:ascii="Arial" w:cs="Arial" w:eastAsia="Arial" w:hAnsi="Arial"/>
                <w:b/>
                <w:bCs/>
                <w:color w:val="FFFFFF"/>
                <w:sz w:val="22"/>
                <w:szCs w:val="22"/>
              </w:rPr>
              <w:t xml:space="preserve">LAYER 4  |  AGENTIC AI ORCHESTRATION (Google ADK)</w:t>
            </w:r>
          </w:p>
          <w:p>
            <w:pPr>
              <w:spacing w:after="120"/>
              <w:jc w:val="center"/>
            </w:pPr>
            <w:r>
              <w:rPr>
                <w:rFonts w:ascii="Arial" w:cs="Arial" w:eastAsia="Arial" w:hAnsi="Arial"/>
                <w:color w:val="B0BEC5"/>
                <w:sz w:val="18"/>
                <w:szCs w:val="18"/>
              </w:rPr>
              <w:t xml:space="preserve">SOP Agent  •  Rule Gen Agent  •  Exception Agent  •  Evidence Agent  •  Governance Agent</w:t>
            </w:r>
          </w:p>
        </w:tc>
      </w:tr>
      <w:tr>
        <w:tc>
          <w:tcPr>
            <w:tcW w:type="dxa" w:w="9360"/>
            <w:tcBorders>
              <w:top w:val="single" w:color="B0BEC5" w:sz="1"/>
              <w:left w:val="single" w:color="B0BEC5" w:sz="1"/>
              <w:bottom w:val="single" w:color="B0BEC5" w:sz="1"/>
              <w:right w:val="single" w:color="B0BEC5" w:sz="1"/>
            </w:tcBorders>
            <w:shd w:fill="2E86AB" w:val="clear"/>
            <w:tcMar>
              <w:top w:type="dxa" w:w="120"/>
              <w:left w:type="dxa" w:w="200"/>
              <w:bottom w:type="dxa" w:w="120"/>
              <w:right w:type="dxa" w:w="200"/>
            </w:tcMar>
          </w:tcPr>
          <w:p>
            <w:pPr>
              <w:spacing w:after="120"/>
              <w:jc w:val="center"/>
            </w:pPr>
            <w:r>
              <w:rPr>
                <w:rFonts w:ascii="Arial" w:cs="Arial" w:eastAsia="Arial" w:hAnsi="Arial"/>
                <w:b/>
                <w:bCs/>
                <w:color w:val="FFFFFF"/>
                <w:sz w:val="22"/>
                <w:szCs w:val="22"/>
              </w:rPr>
              <w:t xml:space="preserve">LAYER 3  |  KNOWLEDGE GRAPH (Neo4J)</w:t>
            </w:r>
          </w:p>
          <w:p>
            <w:pPr>
              <w:spacing w:after="120"/>
              <w:jc w:val="center"/>
            </w:pPr>
            <w:r>
              <w:rPr>
                <w:rFonts w:ascii="Arial" w:cs="Arial" w:eastAsia="Arial" w:hAnsi="Arial"/>
                <w:color w:val="FFFFFF"/>
                <w:sz w:val="18"/>
                <w:szCs w:val="18"/>
              </w:rPr>
              <w:t xml:space="preserve">Control Genome  •  SOP Relationships  •  Data Lineage  •  Execution History  •  Risk Scoring</w:t>
            </w:r>
          </w:p>
        </w:tc>
      </w:tr>
      <w:tr>
        <w:tc>
          <w:tcPr>
            <w:tcW w:type="dxa" w:w="9360"/>
            <w:tcBorders>
              <w:top w:val="single" w:color="B0BEC5" w:sz="1"/>
              <w:left w:val="single" w:color="B0BEC5" w:sz="1"/>
              <w:bottom w:val="single" w:color="B0BEC5" w:sz="1"/>
              <w:right w:val="single" w:color="B0BEC5" w:sz="1"/>
            </w:tcBorders>
            <w:shd w:fill="D4A843" w:val="clear"/>
            <w:tcMar>
              <w:top w:type="dxa" w:w="120"/>
              <w:left w:type="dxa" w:w="200"/>
              <w:bottom w:type="dxa" w:w="120"/>
              <w:right w:type="dxa" w:w="200"/>
            </w:tcMar>
          </w:tcPr>
          <w:p>
            <w:pPr>
              <w:spacing w:after="120"/>
              <w:jc w:val="center"/>
            </w:pPr>
            <w:r>
              <w:rPr>
                <w:rFonts w:ascii="Arial" w:cs="Arial" w:eastAsia="Arial" w:hAnsi="Arial"/>
                <w:b/>
                <w:bCs/>
                <w:color w:val="1B2A4A"/>
                <w:sz w:val="22"/>
                <w:szCs w:val="22"/>
              </w:rPr>
              <w:t xml:space="preserve">LAYER 2  |  DETERMINISTIC EXECUTION ENGINE</w:t>
            </w:r>
          </w:p>
          <w:p>
            <w:pPr>
              <w:spacing w:after="120"/>
              <w:jc w:val="center"/>
            </w:pPr>
            <w:r>
              <w:rPr>
                <w:rFonts w:ascii="Arial" w:cs="Arial" w:eastAsia="Arial" w:hAnsi="Arial"/>
                <w:color w:val="1B2A4A"/>
                <w:sz w:val="18"/>
                <w:szCs w:val="18"/>
              </w:rPr>
              <w:t xml:space="preserve">Rule Engine  •  SQL Validators  •  Schema Enforcers  •  Threshold Evaluators  •  Hash Verification</w:t>
            </w:r>
          </w:p>
        </w:tc>
      </w:tr>
      <w:tr>
        <w:tc>
          <w:tcPr>
            <w:tcW w:type="dxa" w:w="9360"/>
            <w:tcBorders>
              <w:top w:val="single" w:color="B0BEC5" w:sz="1"/>
              <w:left w:val="single" w:color="B0BEC5" w:sz="1"/>
              <w:bottom w:val="single" w:color="B0BEC5" w:sz="1"/>
              <w:right w:val="single" w:color="B0BEC5" w:sz="1"/>
            </w:tcBorders>
            <w:shd w:fill="F0F4F8" w:val="clear"/>
            <w:tcMar>
              <w:top w:type="dxa" w:w="120"/>
              <w:left w:type="dxa" w:w="200"/>
              <w:bottom w:type="dxa" w:w="120"/>
              <w:right w:type="dxa" w:w="200"/>
            </w:tcMar>
          </w:tcPr>
          <w:p>
            <w:pPr>
              <w:spacing w:after="120"/>
              <w:jc w:val="center"/>
            </w:pPr>
            <w:r>
              <w:rPr>
                <w:rFonts w:ascii="Arial" w:cs="Arial" w:eastAsia="Arial" w:hAnsi="Arial"/>
                <w:b/>
                <w:bCs/>
                <w:color w:val="1B2A4A"/>
                <w:sz w:val="22"/>
                <w:szCs w:val="22"/>
              </w:rPr>
              <w:t xml:space="preserve">LAYER 1  |  DATA FABRIC (MCP Server + MCP Datatool)</w:t>
            </w:r>
          </w:p>
          <w:p>
            <w:pPr>
              <w:spacing w:after="120"/>
              <w:jc w:val="center"/>
            </w:pPr>
            <w:r>
              <w:rPr>
                <w:rFonts w:ascii="Arial" w:cs="Arial" w:eastAsia="Arial" w:hAnsi="Arial"/>
                <w:color w:val="555555"/>
                <w:sz w:val="18"/>
                <w:szCs w:val="18"/>
              </w:rPr>
              <w:t xml:space="preserve">ERP Connector  •  Mainframe Bridge  •  Document Ingestion  •  API Gateway  •  Event Streams</w:t>
            </w:r>
          </w:p>
        </w:tc>
      </w:tr>
    </w:tbl>
    <w:p>
      <w:pPr>
        <w:spacing w:before="120" w:after="0"/>
      </w:pPr>
    </w:p>
    <w:p>
      <w:pPr>
        <w:pStyle w:val="Heading2"/>
        <w:spacing w:before="280" w:after="160"/>
      </w:pPr>
      <w:r>
        <w:rPr>
          <w:rFonts w:ascii="Arial" w:cs="Arial" w:eastAsia="Arial" w:hAnsi="Arial"/>
          <w:b/>
          <w:bCs/>
          <w:color w:val="2C3E6B"/>
          <w:sz w:val="28"/>
          <w:szCs w:val="28"/>
        </w:rPr>
        <w:t xml:space="preserve">3.2 Architecture Design Rationale</w:t>
      </w:r>
    </w:p>
    <w:p>
      <w:pPr>
        <w:spacing w:after="120"/>
        <w:jc w:val="left"/>
      </w:pPr>
      <w:r>
        <w:rPr>
          <w:rFonts w:ascii="Arial" w:cs="Arial" w:eastAsia="Arial" w:hAnsi="Arial"/>
          <w:color w:val="555555"/>
          <w:sz w:val="22"/>
          <w:szCs w:val="22"/>
        </w:rPr>
        <w:t xml:space="preserve">The layered separation enforces a critical regulatory principle: AI assists in understanding and configuring controls, but deterministic engines execute them. This is not merely a policy — it is architecturally enforced through the layer boundaries.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1560"/>
        <w:gridCol w:w="140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Layer</w:t>
            </w:r>
          </w:p>
        </w:tc>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AI Permitted?</w:t>
            </w:r>
          </w:p>
        </w:tc>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Deterministic?</w:t>
            </w:r>
          </w:p>
        </w:tc>
        <w:tc>
          <w:tcPr>
            <w:tcW w:type="dxa" w:w="1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Auditable?</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HITL?</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Fabric (MCP)</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Read-Only</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w:t>
            </w:r>
          </w:p>
        </w:tc>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Execution Engine</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 (100%)</w:t>
            </w:r>
          </w:p>
        </w:tc>
        <w:tc>
          <w:tcPr>
            <w:tcW w:type="dxa" w:w="1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Knowledge Graph</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Write (governed)</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Graph is immutable log</w:t>
            </w:r>
          </w:p>
        </w:tc>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 Orchestration</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Outputs validated</w:t>
            </w:r>
          </w:p>
        </w:tc>
        <w:tc>
          <w:tcPr>
            <w:tcW w:type="dxa" w:w="1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Tiered</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Presentation Layer</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Assisted</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Dashboards are live</w:t>
            </w:r>
          </w:p>
        </w:tc>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w:t>
            </w:r>
          </w:p>
        </w:tc>
      </w:tr>
    </w:tbl>
    <w:p>
      <w:r>
        <w:br w:type="page"/>
      </w:r>
    </w:p>
    <w:p>
      <w:pPr>
        <w:pStyle w:val="Heading1"/>
        <w:spacing w:before="360" w:after="200"/>
      </w:pPr>
      <w:r>
        <w:rPr>
          <w:rFonts w:ascii="Arial" w:cs="Arial" w:eastAsia="Arial" w:hAnsi="Arial"/>
          <w:b/>
          <w:bCs/>
          <w:color w:val="1B2A4A"/>
          <w:sz w:val="36"/>
          <w:szCs w:val="36"/>
        </w:rPr>
        <w:t xml:space="preserve">4. MCP Server and Google ADK MCP Datatool</w:t>
      </w:r>
    </w:p>
    <w:p>
      <w:pPr>
        <w:pStyle w:val="Heading2"/>
        <w:spacing w:before="280" w:after="160"/>
      </w:pPr>
      <w:r>
        <w:rPr>
          <w:rFonts w:ascii="Arial" w:cs="Arial" w:eastAsia="Arial" w:hAnsi="Arial"/>
          <w:b/>
          <w:bCs/>
          <w:color w:val="2C3E6B"/>
          <w:sz w:val="28"/>
          <w:szCs w:val="28"/>
        </w:rPr>
        <w:t xml:space="preserve">4.1 The Data Heterogeneity Solution</w:t>
      </w:r>
    </w:p>
    <w:p>
      <w:pPr>
        <w:spacing w:after="120"/>
        <w:jc w:val="left"/>
      </w:pPr>
      <w:r>
        <w:rPr>
          <w:rFonts w:ascii="Arial" w:cs="Arial" w:eastAsia="Arial" w:hAnsi="Arial"/>
          <w:color w:val="555555"/>
          <w:sz w:val="22"/>
          <w:szCs w:val="22"/>
        </w:rPr>
        <w:t xml:space="preserve">The single biggest engineering challenge in compliance automation is not building AI agents — it is getting clean, real-time access to data that arrives in every conceivable format. The Model Context Protocol (MCP) Server solves this by providing a universal, standardized interface between AI agents and data sources.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3"/>
              <w:left w:val="single" w:color="2E86AB"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2E86AB"/>
                <w:sz w:val="22"/>
                <w:szCs w:val="22"/>
              </w:rPr>
              <w:t xml:space="preserve">WHY MCP IS THE RIGHT CHOICE</w:t>
            </w:r>
          </w:p>
          <w:p>
            <w:pPr>
              <w:spacing w:after="120"/>
              <w:jc w:val="left"/>
            </w:pPr>
            <w:r>
              <w:rPr>
                <w:rFonts w:ascii="Arial" w:cs="Arial" w:eastAsia="Arial" w:hAnsi="Arial"/>
                <w:color w:val="555555"/>
                <w:sz w:val="22"/>
                <w:szCs w:val="22"/>
              </w:rPr>
              <w:t xml:space="preserve">MCP (Model Context Protocol) is an open standard that decouples AI agents from data sources. Instead of building custom connectors for each agent-data pair (which creates an N×M integration problem), MCP creates a single protocol layer. Any agent can access any data source through the same interface. This is the architectural equivalent of how SQL standardized database access — but for AI agents accessing heterogeneous enterprise data.</w:t>
            </w:r>
          </w:p>
        </w:tc>
      </w:tr>
    </w:tbl>
    <w:p>
      <w:pPr>
        <w:spacing w:before="120" w:after="0"/>
      </w:pPr>
    </w:p>
    <w:p>
      <w:pPr>
        <w:pStyle w:val="Heading2"/>
        <w:spacing w:before="280" w:after="160"/>
      </w:pPr>
      <w:r>
        <w:rPr>
          <w:rFonts w:ascii="Arial" w:cs="Arial" w:eastAsia="Arial" w:hAnsi="Arial"/>
          <w:b/>
          <w:bCs/>
          <w:color w:val="2C3E6B"/>
          <w:sz w:val="28"/>
          <w:szCs w:val="28"/>
        </w:rPr>
        <w:t xml:space="preserve">4.2 MCP Datatool Integration Architecture</w:t>
      </w:r>
    </w:p>
    <w:p>
      <w:pPr>
        <w:spacing w:after="120"/>
        <w:jc w:val="left"/>
      </w:pPr>
      <w:r>
        <w:rPr>
          <w:rFonts w:ascii="Arial" w:cs="Arial" w:eastAsia="Arial" w:hAnsi="Arial"/>
          <w:color w:val="555555"/>
          <w:sz w:val="22"/>
          <w:szCs w:val="22"/>
        </w:rPr>
        <w:t xml:space="preserve">Google ADK’s MCP Datatool extends the base MCP protocol with enterprise-grade capabilities specifically designed for data-intensive agent workflows:</w:t>
      </w:r>
    </w:p>
    <w:p>
      <w:pPr>
        <w:spacing w:before="40" w:after="0"/>
      </w:pPr>
    </w:p>
    <w:p>
      <w:pPr>
        <w:pStyle w:val="Heading3"/>
        <w:spacing w:before="200" w:after="120"/>
      </w:pPr>
      <w:r>
        <w:rPr>
          <w:rFonts w:ascii="Arial" w:cs="Arial" w:eastAsia="Arial" w:hAnsi="Arial"/>
          <w:b/>
          <w:bCs/>
          <w:color w:val="2E86AB"/>
          <w:sz w:val="24"/>
          <w:szCs w:val="24"/>
        </w:rPr>
        <w:t xml:space="preserve">Data Source Connectors via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Data Source</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MCP Connector Type</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Access Pattern</w:t>
            </w:r>
          </w:p>
        </w:tc>
        <w:tc>
          <w:tcPr>
            <w:tcW w:type="dxa" w:w="2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Format Handling</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ERP Systems (SAP, Oracle)</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JDBC/ODBC MCP Tool</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Real-time query</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Structured → JSON</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Mainframe (3270)</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RPA Bridge MCP Tool</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Screen scrape → parse</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Green screen → structured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Repos</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File System MCP Tool</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Batch + event-driven</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PDF/DOCX/XLSX → text</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SharePoint/Email</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Graph API MCP Tool</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Event subscription</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Unstructured → parsed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REST APIs</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HTTP MCP Tool</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On-demand</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JSON/XML → normalized</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Kafka/Event Streams</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Streaming MCP Tool</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Continuous</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Avro/JSON → validated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Legacy Databases</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Database MCP Tool</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Scheduled polling</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SQL result → JSON</w:t>
            </w:r>
          </w:p>
        </w:tc>
      </w:tr>
    </w:tbl>
    <w:p>
      <w:pPr>
        <w:spacing w:before="120" w:after="0"/>
      </w:pPr>
    </w:p>
    <w:p>
      <w:pPr>
        <w:pStyle w:val="Heading3"/>
        <w:spacing w:before="200" w:after="120"/>
      </w:pPr>
      <w:r>
        <w:rPr>
          <w:rFonts w:ascii="Arial" w:cs="Arial" w:eastAsia="Arial" w:hAnsi="Arial"/>
          <w:b/>
          <w:bCs/>
          <w:color w:val="2E86AB"/>
          <w:sz w:val="24"/>
          <w:szCs w:val="24"/>
        </w:rPr>
        <w:t xml:space="preserve">MCP Server Configuration Pattern</w:t>
      </w:r>
    </w:p>
    <w:p>
      <w:pPr>
        <w:spacing w:after="120"/>
        <w:jc w:val="left"/>
      </w:pPr>
      <w:r>
        <w:rPr>
          <w:rFonts w:ascii="Arial" w:cs="Arial" w:eastAsia="Arial" w:hAnsi="Arial"/>
          <w:color w:val="555555"/>
          <w:sz w:val="22"/>
          <w:szCs w:val="22"/>
        </w:rPr>
        <w:t xml:space="preserve">Each MCP Server instance is configured declaratively and registered in the Neo4J graph as a data source node. This means the knowledge graph knows exactly which data sources are available, what schemas they expose, and which controls depend on them.</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6B" w:sz="2"/>
              <w:left w:val="single" w:color="2C3E6B" w:sz="2"/>
              <w:bottom w:val="single" w:color="2C3E6B" w:sz="2"/>
              <w:right w:val="single" w:color="2C3E6B" w:sz="2"/>
            </w:tcBorders>
            <w:shd w:fill="F5F5F5" w:val="clear"/>
            <w:tcMar>
              <w:top w:type="dxa" w:w="120"/>
              <w:left w:type="dxa" w:w="200"/>
              <w:bottom w:type="dxa" w:w="120"/>
              <w:right w:type="dxa" w:w="200"/>
            </w:tcMar>
          </w:tcPr>
          <w:p>
            <w:pPr>
              <w:spacing w:after="120"/>
              <w:jc w:val="left"/>
            </w:pPr>
            <w:r>
              <w:rPr>
                <w:rFonts w:ascii="Courier New" w:cs="Courier New" w:eastAsia="Courier New" w:hAnsi="Courier New"/>
                <w:b/>
                <w:bCs/>
                <w:color w:val="2C3E6B"/>
                <w:sz w:val="18"/>
                <w:szCs w:val="18"/>
              </w:rPr>
              <w:t xml:space="preserve">MCP Server Declaration (Declarative YAML)</w:t>
            </w:r>
          </w:p>
          <w:p>
            <w:pPr>
              <w:spacing w:after="120"/>
              <w:jc w:val="left"/>
            </w:pPr>
            <w:r>
              <w:rPr>
                <w:rFonts w:ascii="Courier New" w:cs="Courier New" w:eastAsia="Courier New" w:hAnsi="Courier New"/>
                <w:color w:val="555555"/>
                <w:sz w:val="18"/>
                <w:szCs w:val="18"/>
              </w:rPr>
              <w:t xml:space="preserve">server: compliance-data-fabric</w:t>
            </w:r>
          </w:p>
          <w:p>
            <w:pPr>
              <w:spacing w:after="120"/>
              <w:jc w:val="left"/>
            </w:pPr>
            <w:r>
              <w:rPr>
                <w:rFonts w:ascii="Courier New" w:cs="Courier New" w:eastAsia="Courier New" w:hAnsi="Courier New"/>
                <w:color w:val="555555"/>
                <w:sz w:val="18"/>
                <w:szCs w:val="18"/>
              </w:rPr>
              <w:t xml:space="preserve">  tools:</w:t>
            </w:r>
          </w:p>
          <w:p>
            <w:pPr>
              <w:spacing w:after="120"/>
              <w:jc w:val="left"/>
            </w:pPr>
            <w:r>
              <w:rPr>
                <w:rFonts w:ascii="Courier New" w:cs="Courier New" w:eastAsia="Courier New" w:hAnsi="Courier New"/>
                <w:color w:val="555555"/>
                <w:sz w:val="18"/>
                <w:szCs w:val="18"/>
              </w:rPr>
              <w:t xml:space="preserve">    - name: erp_query_tool</w:t>
            </w:r>
          </w:p>
          <w:p>
            <w:pPr>
              <w:spacing w:after="120"/>
              <w:jc w:val="left"/>
            </w:pPr>
            <w:r>
              <w:rPr>
                <w:rFonts w:ascii="Courier New" w:cs="Courier New" w:eastAsia="Courier New" w:hAnsi="Courier New"/>
                <w:color w:val="555555"/>
                <w:sz w:val="18"/>
                <w:szCs w:val="18"/>
              </w:rPr>
              <w:t xml:space="preserve">      type: google_adk.mcp_datatool</w:t>
            </w:r>
          </w:p>
          <w:p>
            <w:pPr>
              <w:spacing w:after="120"/>
              <w:jc w:val="left"/>
            </w:pPr>
            <w:r>
              <w:rPr>
                <w:rFonts w:ascii="Courier New" w:cs="Courier New" w:eastAsia="Courier New" w:hAnsi="Courier New"/>
                <w:color w:val="555555"/>
                <w:sz w:val="18"/>
                <w:szCs w:val="18"/>
              </w:rPr>
              <w:t xml:space="preserve">      connection: jdbc:oracle:thin:@erp-prod:1521/ERPDB</w:t>
            </w:r>
          </w:p>
          <w:p>
            <w:pPr>
              <w:spacing w:after="120"/>
              <w:jc w:val="left"/>
            </w:pPr>
            <w:r>
              <w:rPr>
                <w:rFonts w:ascii="Courier New" w:cs="Courier New" w:eastAsia="Courier New" w:hAnsi="Courier New"/>
                <w:color w:val="555555"/>
                <w:sz w:val="18"/>
                <w:szCs w:val="18"/>
              </w:rPr>
              <w:t xml:space="preserve">      schema_registry: neo4j://graph:7687/schemas</w:t>
            </w:r>
          </w:p>
          <w:p>
            <w:pPr>
              <w:spacing w:after="120"/>
              <w:jc w:val="left"/>
            </w:pPr>
            <w:r>
              <w:rPr>
                <w:rFonts w:ascii="Courier New" w:cs="Courier New" w:eastAsia="Courier New" w:hAnsi="Courier New"/>
                <w:color w:val="555555"/>
                <w:sz w:val="18"/>
                <w:szCs w:val="18"/>
              </w:rPr>
              <w:t xml:space="preserve">      audit_log: enabled</w:t>
            </w:r>
          </w:p>
          <w:p>
            <w:pPr>
              <w:spacing w:after="120"/>
              <w:jc w:val="left"/>
            </w:pPr>
            <w:r>
              <w:rPr>
                <w:rFonts w:ascii="Courier New" w:cs="Courier New" w:eastAsia="Courier New" w:hAnsi="Courier New"/>
                <w:color w:val="555555"/>
                <w:sz w:val="18"/>
                <w:szCs w:val="18"/>
              </w:rPr>
              <w:t xml:space="preserve">      access: read_only</w:t>
            </w:r>
          </w:p>
        </w:tc>
      </w:tr>
    </w:tbl>
    <w:p>
      <w:pPr>
        <w:spacing w:before="120" w:after="0"/>
      </w:pPr>
    </w:p>
    <w:p>
      <w:pPr>
        <w:pStyle w:val="Heading2"/>
        <w:spacing w:before="280" w:after="160"/>
      </w:pPr>
      <w:r>
        <w:rPr>
          <w:rFonts w:ascii="Arial" w:cs="Arial" w:eastAsia="Arial" w:hAnsi="Arial"/>
          <w:b/>
          <w:bCs/>
          <w:color w:val="2C3E6B"/>
          <w:sz w:val="28"/>
          <w:szCs w:val="28"/>
        </w:rPr>
        <w:t xml:space="preserve">4.3 Google ADK Agent Framework</w:t>
      </w:r>
    </w:p>
    <w:p>
      <w:pPr>
        <w:spacing w:after="120"/>
        <w:jc w:val="left"/>
      </w:pPr>
      <w:r>
        <w:rPr>
          <w:rFonts w:ascii="Arial" w:cs="Arial" w:eastAsia="Arial" w:hAnsi="Arial"/>
          <w:color w:val="555555"/>
          <w:sz w:val="22"/>
          <w:szCs w:val="22"/>
        </w:rPr>
        <w:t xml:space="preserve">Google’s Agent Development Kit (ADK) provides the runtime environment for all compliance agents. The key advantages over alternatives like LangGraph or raw LangChain are:</w:t>
      </w:r>
    </w:p>
    <w:p>
      <w:pPr>
        <w:pStyle w:val="ListParagraph"/>
        <w:numPr>
          <w:ilvl w:val="0"/>
          <w:numId w:val="2"/>
        </w:numPr>
        <w:spacing w:after="60"/>
      </w:pPr>
      <w:r>
        <w:rPr>
          <w:rFonts w:ascii="Arial" w:cs="Arial" w:eastAsia="Arial" w:hAnsi="Arial"/>
          <w:b/>
          <w:bCs/>
          <w:color w:val="000000"/>
          <w:sz w:val="22"/>
          <w:szCs w:val="22"/>
        </w:rPr>
        <w:t xml:space="preserve">Native MCP Integration: </w:t>
      </w:r>
      <w:r>
        <w:rPr>
          <w:rFonts w:ascii="Arial" w:cs="Arial" w:eastAsia="Arial" w:hAnsi="Arial"/>
          <w:color w:val="555555"/>
          <w:sz w:val="22"/>
          <w:szCs w:val="22"/>
        </w:rPr>
        <w:t xml:space="preserve">ADK agents consume MCP tools as first-class capabilities. No adapter layer needed.</w:t>
      </w:r>
    </w:p>
    <w:p>
      <w:pPr>
        <w:pStyle w:val="ListParagraph"/>
        <w:numPr>
          <w:ilvl w:val="0"/>
          <w:numId w:val="2"/>
        </w:numPr>
        <w:spacing w:after="60"/>
      </w:pPr>
      <w:r>
        <w:rPr>
          <w:rFonts w:ascii="Arial" w:cs="Arial" w:eastAsia="Arial" w:hAnsi="Arial"/>
          <w:b/>
          <w:bCs/>
          <w:color w:val="000000"/>
          <w:sz w:val="22"/>
          <w:szCs w:val="22"/>
        </w:rPr>
        <w:t xml:space="preserve">Multi-Agent Coordination: </w:t>
      </w:r>
      <w:r>
        <w:rPr>
          <w:rFonts w:ascii="Arial" w:cs="Arial" w:eastAsia="Arial" w:hAnsi="Arial"/>
          <w:color w:val="555555"/>
          <w:sz w:val="22"/>
          <w:szCs w:val="22"/>
        </w:rPr>
        <w:t xml:space="preserve">ADK supports hierarchical agent topologies where a supervisor agent delegates to specialized sub-agents.</w:t>
      </w:r>
    </w:p>
    <w:p>
      <w:pPr>
        <w:pStyle w:val="ListParagraph"/>
        <w:numPr>
          <w:ilvl w:val="0"/>
          <w:numId w:val="2"/>
        </w:numPr>
        <w:spacing w:after="60"/>
      </w:pPr>
      <w:r>
        <w:rPr>
          <w:rFonts w:ascii="Arial" w:cs="Arial" w:eastAsia="Arial" w:hAnsi="Arial"/>
          <w:b/>
          <w:bCs/>
          <w:color w:val="000000"/>
          <w:sz w:val="22"/>
          <w:szCs w:val="22"/>
        </w:rPr>
        <w:t xml:space="preserve">Built-in Memory and State: </w:t>
      </w:r>
      <w:r>
        <w:rPr>
          <w:rFonts w:ascii="Arial" w:cs="Arial" w:eastAsia="Arial" w:hAnsi="Arial"/>
          <w:color w:val="555555"/>
          <w:sz w:val="22"/>
          <w:szCs w:val="22"/>
        </w:rPr>
        <w:t xml:space="preserve">Agents maintain session state, enabling multi-step control workflows that span hours or days.</w:t>
      </w:r>
    </w:p>
    <w:p>
      <w:pPr>
        <w:pStyle w:val="ListParagraph"/>
        <w:numPr>
          <w:ilvl w:val="0"/>
          <w:numId w:val="2"/>
        </w:numPr>
        <w:spacing w:after="60"/>
      </w:pPr>
      <w:r>
        <w:rPr>
          <w:rFonts w:ascii="Arial" w:cs="Arial" w:eastAsia="Arial" w:hAnsi="Arial"/>
          <w:b/>
          <w:bCs/>
          <w:color w:val="000000"/>
          <w:sz w:val="22"/>
          <w:szCs w:val="22"/>
        </w:rPr>
        <w:t xml:space="preserve">Tool Use with Guardrails: </w:t>
      </w:r>
      <w:r>
        <w:rPr>
          <w:rFonts w:ascii="Arial" w:cs="Arial" w:eastAsia="Arial" w:hAnsi="Arial"/>
          <w:color w:val="555555"/>
          <w:sz w:val="22"/>
          <w:szCs w:val="22"/>
        </w:rPr>
        <w:t xml:space="preserve">Every tool invocation is logged, rate-limited, and can be constrained by policy.</w:t>
      </w:r>
    </w:p>
    <w:p>
      <w:pPr>
        <w:pStyle w:val="ListParagraph"/>
        <w:numPr>
          <w:ilvl w:val="0"/>
          <w:numId w:val="2"/>
        </w:numPr>
        <w:spacing w:after="60"/>
      </w:pPr>
      <w:r>
        <w:rPr>
          <w:rFonts w:ascii="Arial" w:cs="Arial" w:eastAsia="Arial" w:hAnsi="Arial"/>
          <w:b/>
          <w:bCs/>
          <w:color w:val="000000"/>
          <w:sz w:val="22"/>
          <w:szCs w:val="22"/>
        </w:rPr>
        <w:t xml:space="preserve">Model Agnostic: </w:t>
      </w:r>
      <w:r>
        <w:rPr>
          <w:rFonts w:ascii="Arial" w:cs="Arial" w:eastAsia="Arial" w:hAnsi="Arial"/>
          <w:color w:val="555555"/>
          <w:sz w:val="22"/>
          <w:szCs w:val="22"/>
        </w:rPr>
        <w:t xml:space="preserve">ADK agents can use Gemini, Claude, or any LLM behind a consistent interface, enabling model switching without agent refactoring.</w:t>
      </w:r>
    </w:p>
    <w:p>
      <w:r>
        <w:br w:type="page"/>
      </w:r>
    </w:p>
    <w:p>
      <w:pPr>
        <w:pStyle w:val="Heading1"/>
        <w:spacing w:before="360" w:after="200"/>
      </w:pPr>
      <w:r>
        <w:rPr>
          <w:rFonts w:ascii="Arial" w:cs="Arial" w:eastAsia="Arial" w:hAnsi="Arial"/>
          <w:b/>
          <w:bCs/>
          <w:color w:val="1B2A4A"/>
          <w:sz w:val="36"/>
          <w:szCs w:val="36"/>
        </w:rPr>
        <w:t xml:space="preserve">5. Neo4J Knowledge Graph Architecture</w:t>
      </w:r>
    </w:p>
    <w:p>
      <w:pPr>
        <w:pStyle w:val="Heading2"/>
        <w:spacing w:before="280" w:after="160"/>
      </w:pPr>
      <w:r>
        <w:rPr>
          <w:rFonts w:ascii="Arial" w:cs="Arial" w:eastAsia="Arial" w:hAnsi="Arial"/>
          <w:b/>
          <w:bCs/>
          <w:color w:val="2C3E6B"/>
          <w:sz w:val="28"/>
          <w:szCs w:val="28"/>
        </w:rPr>
        <w:t xml:space="preserve">5.1 Why a Graph Database is Essential</w:t>
      </w:r>
    </w:p>
    <w:p>
      <w:pPr>
        <w:spacing w:after="120"/>
        <w:jc w:val="left"/>
      </w:pPr>
      <w:r>
        <w:rPr>
          <w:rFonts w:ascii="Arial" w:cs="Arial" w:eastAsia="Arial" w:hAnsi="Arial"/>
          <w:color w:val="555555"/>
          <w:sz w:val="22"/>
          <w:szCs w:val="22"/>
        </w:rPr>
        <w:t xml:space="preserve">Compliance controls do not exist in isolation. Every control has relationships: it depends on specific data sources, follows an SOP, is owned by a team, relates to regulatory requirements, shares patterns with other controls, and has an execution history. Relational databases model these relationships through foreign keys and join tables — which become unwieldy at scale and make traversal queries expensive.</w:t>
      </w:r>
    </w:p>
    <w:p>
      <w:pPr>
        <w:spacing w:after="120"/>
        <w:jc w:val="left"/>
      </w:pPr>
      <w:r>
        <w:rPr>
          <w:rFonts w:ascii="Arial" w:cs="Arial" w:eastAsia="Arial" w:hAnsi="Arial"/>
          <w:color w:val="555555"/>
          <w:sz w:val="22"/>
          <w:szCs w:val="22"/>
        </w:rPr>
        <w:t xml:space="preserve">Neo4J models these relationships natively. A query like “show me all controls that depend on the same data source as Control-1247 and failed in the last 30 days” is a simple graph traversal, not a complex multi-table join.</w:t>
      </w:r>
    </w:p>
    <w:p>
      <w:pPr>
        <w:spacing w:before="80" w:after="0"/>
      </w:pPr>
    </w:p>
    <w:p>
      <w:pPr>
        <w:pStyle w:val="Heading2"/>
        <w:spacing w:before="280" w:after="160"/>
      </w:pPr>
      <w:r>
        <w:rPr>
          <w:rFonts w:ascii="Arial" w:cs="Arial" w:eastAsia="Arial" w:hAnsi="Arial"/>
          <w:b/>
          <w:bCs/>
          <w:color w:val="2C3E6B"/>
          <w:sz w:val="28"/>
          <w:szCs w:val="28"/>
        </w:rPr>
        <w:t xml:space="preserve">5.2 Graph Data Model — The Control Genome</w:t>
      </w:r>
    </w:p>
    <w:p>
      <w:pPr>
        <w:pStyle w:val="Heading3"/>
        <w:spacing w:before="200" w:after="120"/>
      </w:pPr>
      <w:r>
        <w:rPr>
          <w:rFonts w:ascii="Arial" w:cs="Arial" w:eastAsia="Arial" w:hAnsi="Arial"/>
          <w:b/>
          <w:bCs/>
          <w:color w:val="2E86AB"/>
          <w:sz w:val="24"/>
          <w:szCs w:val="24"/>
        </w:rPr>
        <w:t xml:space="preserve">Core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Node Type</w:t>
            </w:r>
          </w:p>
        </w:tc>
        <w:tc>
          <w:tcPr>
            <w:tcW w:type="dxa" w:w="3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Description</w:t>
            </w:r>
          </w:p>
        </w:tc>
        <w:tc>
          <w:tcPr>
            <w:tcW w:type="dxa" w:w="3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Key Properties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single QA control instance</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ID, name, risk_tier, determinism_score, automation_status, family_id</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Standard Operating Procedure document</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ID, version, url, complexity_score, last_updated, hash</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DataSource</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Any system or repository providing data</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ID, type, mcp_tool_id, schema, refresh_rate</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An ADK agent instance</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ID, type, model_version, prompt_hash, confidence_threshold</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Execution</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single control execution event</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ID, timestamp, result, duration, evidence_hash, lineage_path</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ControlFamily</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Cluster of similar controls</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ID, pattern_template, member_count, avg_complexity</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Regulation</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Regulatory requirement or rule</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ID, source, effective_date, jurisdiction, text_hash</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Exception</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 flagged anomaly or failure</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ID, severity, root_cause, resolution, rca_agent_id</w:t>
            </w:r>
          </w:p>
        </w:tc>
      </w:tr>
    </w:tbl>
    <w:p>
      <w:pPr>
        <w:spacing w:before="120" w:after="0"/>
      </w:pPr>
    </w:p>
    <w:p>
      <w:pPr>
        <w:pStyle w:val="Heading3"/>
        <w:spacing w:before="200" w:after="120"/>
      </w:pPr>
      <w:r>
        <w:rPr>
          <w:rFonts w:ascii="Arial" w:cs="Arial" w:eastAsia="Arial" w:hAnsi="Arial"/>
          <w:b/>
          <w:bCs/>
          <w:color w:val="2E86AB"/>
          <w:sz w:val="24"/>
          <w:szCs w:val="24"/>
        </w:rPr>
        <w:t xml:space="preserve">Core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Relationship</w:t>
            </w:r>
          </w:p>
        </w:tc>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From → To</w:t>
            </w:r>
          </w:p>
        </w:tc>
        <w:tc>
          <w:tcPr>
            <w:tcW w:type="dxa" w:w="3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Purpose</w:t>
            </w:r>
          </w:p>
        </w:tc>
      </w:tr>
      <w:tr>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FOLLOWS_SOP</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SOP</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Links control to its procedure</w:t>
            </w:r>
          </w:p>
        </w:tc>
      </w:tr>
      <w:tr>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CONSUMES_DATA</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DataSource</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Maps data dependencies</w:t>
            </w:r>
          </w:p>
        </w:tc>
      </w:tr>
      <w:tr>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EXECUTED_BY</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Agent</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Which agent runs this control</w:t>
            </w:r>
          </w:p>
        </w:tc>
      </w:tr>
      <w:tr>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BELONGS_TO_FAMILY</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ControlFamily</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Classification cluster</w:t>
            </w:r>
          </w:p>
        </w:tc>
      </w:tr>
      <w:tr>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SATISFIES</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Regulation</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Regulatory traceability</w:t>
            </w:r>
          </w:p>
        </w:tc>
      </w:tr>
      <w:tr>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PRODUCED_BY</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Execution → Control</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Execution audit trail</w:t>
            </w:r>
          </w:p>
        </w:tc>
      </w:tr>
      <w:tr>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RAISED_EXCEPTION</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Execution → Exception</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Failure tracking</w:t>
            </w:r>
          </w:p>
        </w:tc>
      </w:tr>
      <w:tr>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DEPENDS_ON</w:t>
            </w:r>
          </w:p>
        </w:tc>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Control</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Inter-control dependencies</w:t>
            </w:r>
          </w:p>
        </w:tc>
      </w:tr>
      <w:tr>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SHARES_PATTERN</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 Control</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Reusable pattern links</w:t>
            </w:r>
          </w:p>
        </w:tc>
      </w:tr>
    </w:tbl>
    <w:p>
      <w:pPr>
        <w:spacing w:before="120" w:after="0"/>
      </w:pPr>
    </w:p>
    <w:p>
      <w:pPr>
        <w:pStyle w:val="Heading2"/>
        <w:spacing w:before="280" w:after="160"/>
      </w:pPr>
      <w:r>
        <w:rPr>
          <w:rFonts w:ascii="Arial" w:cs="Arial" w:eastAsia="Arial" w:hAnsi="Arial"/>
          <w:b/>
          <w:bCs/>
          <w:color w:val="2C3E6B"/>
          <w:sz w:val="28"/>
          <w:szCs w:val="28"/>
        </w:rPr>
        <w:t xml:space="preserve">5.3 Graph-Powered Intelligence Queries</w:t>
      </w:r>
    </w:p>
    <w:p>
      <w:pPr>
        <w:spacing w:after="120"/>
        <w:jc w:val="left"/>
      </w:pPr>
      <w:r>
        <w:rPr>
          <w:rFonts w:ascii="Arial" w:cs="Arial" w:eastAsia="Arial" w:hAnsi="Arial"/>
          <w:color w:val="555555"/>
          <w:sz w:val="22"/>
          <w:szCs w:val="22"/>
        </w:rPr>
        <w:t xml:space="preserve">The Neo4J graph enables queries that would be impractical in a relational model. These queries power both the Control Tower dashboard and the AI agents’ decision-making:</w:t>
      </w:r>
    </w:p>
    <w:p>
      <w:pPr>
        <w:spacing w:before="40" w:after="0"/>
      </w:pPr>
    </w:p>
    <w:p>
      <w:pPr>
        <w:pStyle w:val="ListParagraph"/>
        <w:numPr>
          <w:ilvl w:val="0"/>
          <w:numId w:val="3"/>
        </w:numPr>
        <w:spacing w:after="80"/>
      </w:pPr>
      <w:r>
        <w:rPr>
          <w:rFonts w:ascii="Arial" w:cs="Arial" w:eastAsia="Arial" w:hAnsi="Arial"/>
          <w:b/>
          <w:bCs/>
          <w:color w:val="000000"/>
          <w:sz w:val="22"/>
          <w:szCs w:val="22"/>
        </w:rPr>
        <w:t xml:space="preserve">Impact Analysis: </w:t>
      </w:r>
      <w:r>
        <w:rPr>
          <w:rFonts w:ascii="Arial" w:cs="Arial" w:eastAsia="Arial" w:hAnsi="Arial"/>
          <w:color w:val="555555"/>
          <w:sz w:val="22"/>
          <w:szCs w:val="22"/>
        </w:rPr>
        <w:t xml:space="preserve">“If this data source goes down, which controls are affected and what is their aggregate risk score?” — Single graph traversal from DataSource node through CONSUMES_DATA relationships.</w:t>
      </w:r>
    </w:p>
    <w:p>
      <w:pPr>
        <w:pStyle w:val="ListParagraph"/>
        <w:numPr>
          <w:ilvl w:val="0"/>
          <w:numId w:val="3"/>
        </w:numPr>
        <w:spacing w:after="80"/>
      </w:pPr>
      <w:r>
        <w:rPr>
          <w:rFonts w:ascii="Arial" w:cs="Arial" w:eastAsia="Arial" w:hAnsi="Arial"/>
          <w:b/>
          <w:bCs/>
          <w:color w:val="000000"/>
          <w:sz w:val="22"/>
          <w:szCs w:val="22"/>
        </w:rPr>
        <w:t xml:space="preserve">Pattern Discovery: </w:t>
      </w:r>
      <w:r>
        <w:rPr>
          <w:rFonts w:ascii="Arial" w:cs="Arial" w:eastAsia="Arial" w:hAnsi="Arial"/>
          <w:color w:val="555555"/>
          <w:sz w:val="22"/>
          <w:szCs w:val="22"/>
        </w:rPr>
        <w:t xml:space="preserve">“Find all controls that follow similar SOP structures but use different data sources” — Enables reusable agent pattern creation.</w:t>
      </w:r>
    </w:p>
    <w:p>
      <w:pPr>
        <w:pStyle w:val="ListParagraph"/>
        <w:numPr>
          <w:ilvl w:val="0"/>
          <w:numId w:val="3"/>
        </w:numPr>
        <w:spacing w:after="80"/>
      </w:pPr>
      <w:r>
        <w:rPr>
          <w:rFonts w:ascii="Arial" w:cs="Arial" w:eastAsia="Arial" w:hAnsi="Arial"/>
          <w:b/>
          <w:bCs/>
          <w:color w:val="000000"/>
          <w:sz w:val="22"/>
          <w:szCs w:val="22"/>
        </w:rPr>
        <w:t xml:space="preserve">Failure Propagation: </w:t>
      </w:r>
      <w:r>
        <w:rPr>
          <w:rFonts w:ascii="Arial" w:cs="Arial" w:eastAsia="Arial" w:hAnsi="Arial"/>
          <w:color w:val="555555"/>
          <w:sz w:val="22"/>
          <w:szCs w:val="22"/>
        </w:rPr>
        <w:t xml:space="preserve">“Control-1247 failed. What downstream controls are likely to also fail?” — Traverse DEPENDS_ON relationships.</w:t>
      </w:r>
    </w:p>
    <w:p>
      <w:pPr>
        <w:pStyle w:val="ListParagraph"/>
        <w:numPr>
          <w:ilvl w:val="0"/>
          <w:numId w:val="3"/>
        </w:numPr>
        <w:spacing w:after="80"/>
      </w:pPr>
      <w:r>
        <w:rPr>
          <w:rFonts w:ascii="Arial" w:cs="Arial" w:eastAsia="Arial" w:hAnsi="Arial"/>
          <w:b/>
          <w:bCs/>
          <w:color w:val="000000"/>
          <w:sz w:val="22"/>
          <w:szCs w:val="22"/>
        </w:rPr>
        <w:t xml:space="preserve">Regulatory Coverage: </w:t>
      </w:r>
      <w:r>
        <w:rPr>
          <w:rFonts w:ascii="Arial" w:cs="Arial" w:eastAsia="Arial" w:hAnsi="Arial"/>
          <w:color w:val="555555"/>
          <w:sz w:val="22"/>
          <w:szCs w:val="22"/>
        </w:rPr>
        <w:t xml:space="preserve">“Which regulations have no automated controls? Where are the gaps?” — Find Regulation nodes with no SATISFIES relationships.</w:t>
      </w:r>
    </w:p>
    <w:p>
      <w:pPr>
        <w:pStyle w:val="ListParagraph"/>
        <w:numPr>
          <w:ilvl w:val="0"/>
          <w:numId w:val="3"/>
        </w:numPr>
        <w:spacing w:after="80"/>
      </w:pPr>
      <w:r>
        <w:rPr>
          <w:rFonts w:ascii="Arial" w:cs="Arial" w:eastAsia="Arial" w:hAnsi="Arial"/>
          <w:b/>
          <w:bCs/>
          <w:color w:val="000000"/>
          <w:sz w:val="22"/>
          <w:szCs w:val="22"/>
        </w:rPr>
        <w:t xml:space="preserve">Drift Detection: </w:t>
      </w:r>
      <w:r>
        <w:rPr>
          <w:rFonts w:ascii="Arial" w:cs="Arial" w:eastAsia="Arial" w:hAnsi="Arial"/>
          <w:color w:val="555555"/>
          <w:sz w:val="22"/>
          <w:szCs w:val="22"/>
        </w:rPr>
        <w:t xml:space="preserve">“Which controls have execution results diverging from historical norms?” — Aggregate Execution nodes and detect statistical outliers.</w:t>
      </w:r>
    </w:p>
    <w:p>
      <w:r>
        <w:br w:type="page"/>
      </w:r>
    </w:p>
    <w:p>
      <w:pPr>
        <w:pStyle w:val="Heading1"/>
        <w:spacing w:before="360" w:after="200"/>
      </w:pPr>
      <w:r>
        <w:rPr>
          <w:rFonts w:ascii="Arial" w:cs="Arial" w:eastAsia="Arial" w:hAnsi="Arial"/>
          <w:b/>
          <w:bCs/>
          <w:color w:val="1B2A4A"/>
          <w:sz w:val="36"/>
          <w:szCs w:val="36"/>
        </w:rPr>
        <w:t xml:space="preserve">6. Web-Based SOP and Policy Access Layer</w:t>
      </w:r>
    </w:p>
    <w:p>
      <w:pPr>
        <w:pStyle w:val="Heading2"/>
        <w:spacing w:before="280" w:after="160"/>
      </w:pPr>
      <w:r>
        <w:rPr>
          <w:rFonts w:ascii="Arial" w:cs="Arial" w:eastAsia="Arial" w:hAnsi="Arial"/>
          <w:b/>
          <w:bCs/>
          <w:color w:val="2C3E6B"/>
          <w:sz w:val="28"/>
          <w:szCs w:val="28"/>
        </w:rPr>
        <w:t xml:space="preserve">6.1 Design Approach</w:t>
      </w:r>
    </w:p>
    <w:p>
      <w:pPr>
        <w:spacing w:after="120"/>
        <w:jc w:val="left"/>
      </w:pPr>
      <w:r>
        <w:rPr>
          <w:rFonts w:ascii="Arial" w:cs="Arial" w:eastAsia="Arial" w:hAnsi="Arial"/>
          <w:color w:val="555555"/>
          <w:sz w:val="22"/>
          <w:szCs w:val="22"/>
        </w:rPr>
        <w:t xml:space="preserve">Rather than having agents parse SOPs from file shares or email attachments, all Standard Operating Procedures and policy documents are served through a web-based document management layer. This provides a single source of truth with version control, enabling agents to always work with the latest approved version of any SOP.</w:t>
      </w:r>
    </w:p>
    <w:p>
      <w:pPr>
        <w:spacing w:before="80" w:after="0"/>
      </w:pPr>
    </w:p>
    <w:p>
      <w:pPr>
        <w:pStyle w:val="Heading3"/>
        <w:spacing w:before="200" w:after="120"/>
      </w:pPr>
      <w:r>
        <w:rPr>
          <w:rFonts w:ascii="Arial" w:cs="Arial" w:eastAsia="Arial" w:hAnsi="Arial"/>
          <w:b/>
          <w:bCs/>
          <w:color w:val="2E86AB"/>
          <w:sz w:val="24"/>
          <w:szCs w:val="24"/>
        </w:rPr>
        <w:t xml:space="preserve">SOP Web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Component</w:t>
            </w:r>
          </w:p>
        </w:tc>
        <w:tc>
          <w:tcPr>
            <w:tcW w:type="dxa" w:w="6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Specification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Portal</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Web application serving all SOPs with role-based access, full-text search, and version history. Each SOP has a stable URL that agents use for retrieval.</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Version Control</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Git-backed versioning for all SOPs. Every change is tracked with author, timestamp, and approval status. Agents always fetch the latest approved version.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Semantic Search API</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Vector-indexed search across the entire SOP corpus. Agents can query “find all SOPs related to KYC document verification” and get ranked results.</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Structured Extraction API</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REST endpoint that returns SOP content as structured JSON: steps, decision points, data sources, exception criteria, evidence requirements.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Change Notification</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Webhook-based notifications when SOPs are updated. Triggers re-evaluation of all controls that FOLLOWS_SOP the changed document.</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Tool Integration</w:t>
            </w:r>
          </w:p>
        </w:tc>
        <w:tc>
          <w:tcPr>
            <w:tcW w:type="dxa" w:w="6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An MCP Tool wraps the SOP API, making it accessible to any ADK agent. Agents call sop_retrieval_tool with a control ID and receive the full structured SOP.</w:t>
            </w:r>
          </w:p>
        </w:tc>
      </w:tr>
    </w:tbl>
    <w:p>
      <w:pPr>
        <w:spacing w:before="120" w:after="0"/>
      </w:pPr>
    </w:p>
    <w:p>
      <w:pPr>
        <w:pStyle w:val="Heading2"/>
        <w:spacing w:before="280" w:after="160"/>
      </w:pPr>
      <w:r>
        <w:rPr>
          <w:rFonts w:ascii="Arial" w:cs="Arial" w:eastAsia="Arial" w:hAnsi="Arial"/>
          <w:b/>
          <w:bCs/>
          <w:color w:val="2C3E6B"/>
          <w:sz w:val="28"/>
          <w:szCs w:val="28"/>
        </w:rPr>
        <w:t xml:space="preserve">6.2 Agent-SOP Interaction Flow</w:t>
      </w:r>
    </w:p>
    <w:p>
      <w:pPr>
        <w:spacing w:after="120"/>
        <w:jc w:val="left"/>
      </w:pPr>
      <w:r>
        <w:rPr>
          <w:rFonts w:ascii="Arial" w:cs="Arial" w:eastAsia="Arial" w:hAnsi="Arial"/>
          <w:color w:val="555555"/>
          <w:sz w:val="22"/>
          <w:szCs w:val="22"/>
        </w:rPr>
        <w:t xml:space="preserve">When an agent needs to understand a control’s procedure, the interaction follows this standardized flow:</w:t>
      </w:r>
    </w:p>
    <w:p>
      <w:pPr>
        <w:spacing w:before="40" w:after="0"/>
      </w:pPr>
    </w:p>
    <w:p>
      <w:pPr>
        <w:pStyle w:val="ListParagraph"/>
        <w:numPr>
          <w:ilvl w:val="0"/>
          <w:numId w:val="3"/>
        </w:numPr>
        <w:spacing w:after="80"/>
      </w:pPr>
      <w:r>
        <w:rPr>
          <w:rFonts w:ascii="Arial" w:cs="Arial" w:eastAsia="Arial" w:hAnsi="Arial"/>
          <w:b/>
          <w:bCs/>
          <w:color w:val="000000"/>
          <w:sz w:val="22"/>
          <w:szCs w:val="22"/>
        </w:rPr>
        <w:t xml:space="preserve">Agent receives control trigger </w:t>
      </w:r>
      <w:r>
        <w:rPr>
          <w:rFonts w:ascii="Arial" w:cs="Arial" w:eastAsia="Arial" w:hAnsi="Arial"/>
          <w:color w:val="555555"/>
          <w:sz w:val="22"/>
          <w:szCs w:val="22"/>
        </w:rPr>
        <w:t xml:space="preserve">→ queries Neo4J for control metadata including SOP reference URL</w:t>
      </w:r>
    </w:p>
    <w:p>
      <w:pPr>
        <w:pStyle w:val="ListParagraph"/>
        <w:numPr>
          <w:ilvl w:val="0"/>
          <w:numId w:val="3"/>
        </w:numPr>
        <w:spacing w:after="80"/>
      </w:pPr>
      <w:r>
        <w:rPr>
          <w:rFonts w:ascii="Arial" w:cs="Arial" w:eastAsia="Arial" w:hAnsi="Arial"/>
          <w:b/>
          <w:bCs/>
          <w:color w:val="000000"/>
          <w:sz w:val="22"/>
          <w:szCs w:val="22"/>
        </w:rPr>
        <w:t xml:space="preserve">Agent calls SOP MCP Tool </w:t>
      </w:r>
      <w:r>
        <w:rPr>
          <w:rFonts w:ascii="Arial" w:cs="Arial" w:eastAsia="Arial" w:hAnsi="Arial"/>
          <w:color w:val="555555"/>
          <w:sz w:val="22"/>
          <w:szCs w:val="22"/>
        </w:rPr>
        <w:t xml:space="preserve">→ retrieves structured SOP from web portal (cached, version-pinned)</w:t>
      </w:r>
    </w:p>
    <w:p>
      <w:pPr>
        <w:pStyle w:val="ListParagraph"/>
        <w:numPr>
          <w:ilvl w:val="0"/>
          <w:numId w:val="3"/>
        </w:numPr>
        <w:spacing w:after="80"/>
      </w:pPr>
      <w:r>
        <w:rPr>
          <w:rFonts w:ascii="Arial" w:cs="Arial" w:eastAsia="Arial" w:hAnsi="Arial"/>
          <w:b/>
          <w:bCs/>
          <w:color w:val="000000"/>
          <w:sz w:val="22"/>
          <w:szCs w:val="22"/>
        </w:rPr>
        <w:t xml:space="preserve">SOP Agent parses workflow </w:t>
      </w:r>
      <w:r>
        <w:rPr>
          <w:rFonts w:ascii="Arial" w:cs="Arial" w:eastAsia="Arial" w:hAnsi="Arial"/>
          <w:color w:val="555555"/>
          <w:sz w:val="22"/>
          <w:szCs w:val="22"/>
        </w:rPr>
        <w:t xml:space="preserve">→ extracts steps, decision points, data requirements, exception rules</w:t>
      </w:r>
    </w:p>
    <w:p>
      <w:pPr>
        <w:pStyle w:val="ListParagraph"/>
        <w:numPr>
          <w:ilvl w:val="0"/>
          <w:numId w:val="3"/>
        </w:numPr>
        <w:spacing w:after="80"/>
      </w:pPr>
      <w:r>
        <w:rPr>
          <w:rFonts w:ascii="Arial" w:cs="Arial" w:eastAsia="Arial" w:hAnsi="Arial"/>
          <w:b/>
          <w:bCs/>
          <w:color w:val="000000"/>
          <w:sz w:val="22"/>
          <w:szCs w:val="22"/>
        </w:rPr>
        <w:t xml:space="preserve">Rule Gen Agent converts to executable logic </w:t>
      </w:r>
      <w:r>
        <w:rPr>
          <w:rFonts w:ascii="Arial" w:cs="Arial" w:eastAsia="Arial" w:hAnsi="Arial"/>
          <w:color w:val="555555"/>
          <w:sz w:val="22"/>
          <w:szCs w:val="22"/>
        </w:rPr>
        <w:t xml:space="preserve">→ generates deterministic rules + LLM-assisted validation configs</w:t>
      </w:r>
    </w:p>
    <w:p>
      <w:pPr>
        <w:pStyle w:val="ListParagraph"/>
        <w:numPr>
          <w:ilvl w:val="0"/>
          <w:numId w:val="3"/>
        </w:numPr>
        <w:spacing w:after="80"/>
      </w:pPr>
      <w:r>
        <w:rPr>
          <w:rFonts w:ascii="Arial" w:cs="Arial" w:eastAsia="Arial" w:hAnsi="Arial"/>
          <w:b/>
          <w:bCs/>
          <w:color w:val="000000"/>
          <w:sz w:val="22"/>
          <w:szCs w:val="22"/>
        </w:rPr>
        <w:t xml:space="preserve">Human reviewer approves </w:t>
      </w:r>
      <w:r>
        <w:rPr>
          <w:rFonts w:ascii="Arial" w:cs="Arial" w:eastAsia="Arial" w:hAnsi="Arial"/>
          <w:color w:val="555555"/>
          <w:sz w:val="22"/>
          <w:szCs w:val="22"/>
        </w:rPr>
        <w:t xml:space="preserve">→ configuration deployed to execution engine</w:t>
      </w:r>
    </w:p>
    <w:p>
      <w:pPr>
        <w:pStyle w:val="ListParagraph"/>
        <w:numPr>
          <w:ilvl w:val="0"/>
          <w:numId w:val="3"/>
        </w:numPr>
        <w:spacing w:after="80"/>
      </w:pPr>
      <w:r>
        <w:rPr>
          <w:rFonts w:ascii="Arial" w:cs="Arial" w:eastAsia="Arial" w:hAnsi="Arial"/>
          <w:b/>
          <w:bCs/>
          <w:color w:val="000000"/>
          <w:sz w:val="22"/>
          <w:szCs w:val="22"/>
        </w:rPr>
        <w:t xml:space="preserve">Graph updated </w:t>
      </w:r>
      <w:r>
        <w:rPr>
          <w:rFonts w:ascii="Arial" w:cs="Arial" w:eastAsia="Arial" w:hAnsi="Arial"/>
          <w:color w:val="555555"/>
          <w:sz w:val="22"/>
          <w:szCs w:val="22"/>
        </w:rPr>
        <w:t xml:space="preserve">→ Neo4J records the SOP version, agent configuration, and approval metadata</w:t>
      </w:r>
    </w:p>
    <w:p>
      <w:r>
        <w:br w:type="page"/>
      </w:r>
    </w:p>
    <w:p>
      <w:pPr>
        <w:pStyle w:val="Heading1"/>
        <w:spacing w:before="360" w:after="200"/>
      </w:pPr>
      <w:r>
        <w:rPr>
          <w:rFonts w:ascii="Arial" w:cs="Arial" w:eastAsia="Arial" w:hAnsi="Arial"/>
          <w:b/>
          <w:bCs/>
          <w:color w:val="1B2A4A"/>
          <w:sz w:val="36"/>
          <w:szCs w:val="36"/>
        </w:rPr>
        <w:t xml:space="preserve">7. Multi-Format Data Ingestion Strategy</w:t>
      </w:r>
    </w:p>
    <w:p>
      <w:pPr>
        <w:pStyle w:val="Heading2"/>
        <w:spacing w:before="280" w:after="160"/>
      </w:pPr>
      <w:r>
        <w:rPr>
          <w:rFonts w:ascii="Arial" w:cs="Arial" w:eastAsia="Arial" w:hAnsi="Arial"/>
          <w:b/>
          <w:bCs/>
          <w:color w:val="2C3E6B"/>
          <w:sz w:val="28"/>
          <w:szCs w:val="28"/>
        </w:rPr>
        <w:t xml:space="preserve">7.1 The “All Flavours” Problem</w:t>
      </w:r>
    </w:p>
    <w:p>
      <w:pPr>
        <w:spacing w:after="120"/>
        <w:jc w:val="left"/>
      </w:pPr>
      <w:r>
        <w:rPr>
          <w:rFonts w:ascii="Arial" w:cs="Arial" w:eastAsia="Arial" w:hAnsi="Arial"/>
          <w:color w:val="555555"/>
          <w:sz w:val="22"/>
          <w:szCs w:val="22"/>
        </w:rPr>
        <w:t xml:space="preserve">Enterprise compliance data arrives in every conceivable format. The design must handle all of them through a unified pipeline while maintaining data lineage and quality guarantees.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Data Format</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Examples</w:t>
            </w:r>
          </w:p>
        </w:tc>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Ingestion Strategy</w:t>
            </w:r>
          </w:p>
        </w:tc>
        <w:tc>
          <w:tcPr>
            <w:tcW w:type="dxa" w:w="2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MCP Tool</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Structured</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SQL databases, ERP records, CSV/TSV</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Direct query via JDBC/ODBC connectors</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Database MCP Tool</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Semi-Structured</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JSON APIs, XML feeds, Excel with formulas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Schema inference + validation</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HTTP MCP Tool</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Unstructured Text</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PDFs, Word docs, emails, scanned images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OCR + LLM extraction + deterministic validation</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Document MCP Tool</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Mainframe Screens</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3270 terminal output, CICS transactions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RPA screen capture + field mapping</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RPA Bridge MCP Tool</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Event Streams</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Kafka topics, transaction logs, audit events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Real-time subscription + windowed processing</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Streaming MCP Tool</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External/Third-Party</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Vendor portals, regulatory feeds, market data</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Scheduled polling + change detection</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HTTP MCP Tool</w:t>
            </w:r>
          </w:p>
        </w:tc>
      </w:tr>
    </w:tbl>
    <w:p>
      <w:pPr>
        <w:spacing w:before="120" w:after="0"/>
      </w:pPr>
    </w:p>
    <w:p>
      <w:pPr>
        <w:pStyle w:val="Heading2"/>
        <w:spacing w:before="280" w:after="160"/>
      </w:pPr>
      <w:r>
        <w:rPr>
          <w:rFonts w:ascii="Arial" w:cs="Arial" w:eastAsia="Arial" w:hAnsi="Arial"/>
          <w:b/>
          <w:bCs/>
          <w:color w:val="2C3E6B"/>
          <w:sz w:val="28"/>
          <w:szCs w:val="28"/>
        </w:rPr>
        <w:t xml:space="preserve">7.2 Data Quality Assurance Pipeline</w:t>
      </w:r>
    </w:p>
    <w:p>
      <w:pPr>
        <w:spacing w:after="120"/>
        <w:jc w:val="left"/>
      </w:pPr>
      <w:r>
        <w:rPr>
          <w:rFonts w:ascii="Arial" w:cs="Arial" w:eastAsia="Arial" w:hAnsi="Arial"/>
          <w:color w:val="555555"/>
          <w:sz w:val="22"/>
          <w:szCs w:val="22"/>
        </w:rPr>
        <w:t xml:space="preserve">Every data item passing through MCP is subjected to a three-stage quality gate before it reaches any control execution:</w:t>
      </w:r>
    </w:p>
    <w:p>
      <w:pPr>
        <w:spacing w:before="40" w:after="0"/>
      </w:pPr>
    </w:p>
    <w:p>
      <w:pPr>
        <w:pStyle w:val="ListParagraph"/>
        <w:numPr>
          <w:ilvl w:val="0"/>
          <w:numId w:val="2"/>
        </w:numPr>
        <w:spacing w:after="60"/>
      </w:pPr>
      <w:r>
        <w:rPr>
          <w:rFonts w:ascii="Arial" w:cs="Arial" w:eastAsia="Arial" w:hAnsi="Arial"/>
          <w:b/>
          <w:bCs/>
          <w:color w:val="000000"/>
          <w:sz w:val="22"/>
          <w:szCs w:val="22"/>
        </w:rPr>
        <w:t xml:space="preserve">Stage 1 — Schema Validation: </w:t>
      </w:r>
      <w:r>
        <w:rPr>
          <w:rFonts w:ascii="Arial" w:cs="Arial" w:eastAsia="Arial" w:hAnsi="Arial"/>
          <w:color w:val="555555"/>
          <w:sz w:val="22"/>
          <w:szCs w:val="22"/>
        </w:rPr>
        <w:t xml:space="preserve">Does the data conform to the expected schema? Missing fields, type mismatches, and format violations are caught here. Deterministic, no AI needed.</w:t>
      </w:r>
    </w:p>
    <w:p>
      <w:pPr>
        <w:pStyle w:val="ListParagraph"/>
        <w:numPr>
          <w:ilvl w:val="0"/>
          <w:numId w:val="2"/>
        </w:numPr>
        <w:spacing w:after="60"/>
      </w:pPr>
      <w:r>
        <w:rPr>
          <w:rFonts w:ascii="Arial" w:cs="Arial" w:eastAsia="Arial" w:hAnsi="Arial"/>
          <w:b/>
          <w:bCs/>
          <w:color w:val="000000"/>
          <w:sz w:val="22"/>
          <w:szCs w:val="22"/>
        </w:rPr>
        <w:t xml:space="preserve">Stage 2 — Semantic Validation: </w:t>
      </w:r>
      <w:r>
        <w:rPr>
          <w:rFonts w:ascii="Arial" w:cs="Arial" w:eastAsia="Arial" w:hAnsi="Arial"/>
          <w:color w:val="555555"/>
          <w:sz w:val="22"/>
          <w:szCs w:val="22"/>
        </w:rPr>
        <w:t xml:space="preserve">Does the data make sense? An invoice date in the future, a negative account balance where none is expected, or a duplicate record ID are flagged. Rules-based with AI-assisted anomaly detection.</w:t>
      </w:r>
    </w:p>
    <w:p>
      <w:pPr>
        <w:pStyle w:val="ListParagraph"/>
        <w:numPr>
          <w:ilvl w:val="0"/>
          <w:numId w:val="2"/>
        </w:numPr>
        <w:spacing w:after="60"/>
      </w:pPr>
      <w:r>
        <w:rPr>
          <w:rFonts w:ascii="Arial" w:cs="Arial" w:eastAsia="Arial" w:hAnsi="Arial"/>
          <w:b/>
          <w:bCs/>
          <w:color w:val="000000"/>
          <w:sz w:val="22"/>
          <w:szCs w:val="22"/>
        </w:rPr>
        <w:t xml:space="preserve">Stage 3 — Lineage Tagging: </w:t>
      </w:r>
      <w:r>
        <w:rPr>
          <w:rFonts w:ascii="Arial" w:cs="Arial" w:eastAsia="Arial" w:hAnsi="Arial"/>
          <w:color w:val="555555"/>
          <w:sz w:val="22"/>
          <w:szCs w:val="22"/>
        </w:rPr>
        <w:t xml:space="preserve">Every data item receives a lineage tag recording: source system, extraction timestamp, MCP tool used, transformation applied, and hash of the raw input. This tag persists through the entire control execution and is stored in Neo4J.</w:t>
      </w:r>
    </w:p>
    <w:p>
      <w:r>
        <w:br w:type="page"/>
      </w:r>
    </w:p>
    <w:p>
      <w:pPr>
        <w:pStyle w:val="Heading1"/>
        <w:spacing w:before="360" w:after="200"/>
      </w:pPr>
      <w:r>
        <w:rPr>
          <w:rFonts w:ascii="Arial" w:cs="Arial" w:eastAsia="Arial" w:hAnsi="Arial"/>
          <w:b/>
          <w:bCs/>
          <w:color w:val="1B2A4A"/>
          <w:sz w:val="36"/>
          <w:szCs w:val="36"/>
        </w:rPr>
        <w:t xml:space="preserve">8. Agent Architecture and Design Patterns</w:t>
      </w:r>
    </w:p>
    <w:p>
      <w:pPr>
        <w:pStyle w:val="Heading2"/>
        <w:spacing w:before="280" w:after="160"/>
      </w:pPr>
      <w:r>
        <w:rPr>
          <w:rFonts w:ascii="Arial" w:cs="Arial" w:eastAsia="Arial" w:hAnsi="Arial"/>
          <w:b/>
          <w:bCs/>
          <w:color w:val="2C3E6B"/>
          <w:sz w:val="28"/>
          <w:szCs w:val="28"/>
        </w:rPr>
        <w:t xml:space="preserve">8.1 Agent Catalog</w:t>
      </w:r>
    </w:p>
    <w:p>
      <w:pPr>
        <w:spacing w:after="120"/>
        <w:jc w:val="left"/>
      </w:pPr>
      <w:r>
        <w:rPr>
          <w:rFonts w:ascii="Arial" w:cs="Arial" w:eastAsia="Arial" w:hAnsi="Arial"/>
          <w:color w:val="555555"/>
          <w:sz w:val="22"/>
          <w:szCs w:val="22"/>
        </w:rPr>
        <w:t xml:space="preserve">The platform deploys a catalog of specialized agents, each built on Google ADK and registered in the Neo4J graph. Agents are composable — complex controls chain multiple agents together through the orchestration layer.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Agent</w:t>
            </w:r>
          </w:p>
        </w:tc>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Responsibility</w:t>
            </w:r>
          </w:p>
        </w:tc>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AI Tier</w:t>
            </w:r>
          </w:p>
        </w:tc>
        <w:tc>
          <w:tcPr>
            <w:tcW w:type="dxa" w:w="1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HITL Required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Interpretation Agent</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Parses SOPs into structured control definitions (steps, data, rules, exceptions)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LLM-Assisted</w:t>
            </w:r>
          </w:p>
        </w:tc>
        <w:tc>
          <w:tcPr>
            <w:tcW w:type="dxa" w:w="1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 — Approval</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Rule Generation Agent</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Converts structured definitions to executable SQL, Python, or rule configs</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LLM-Assisted</w:t>
            </w:r>
          </w:p>
        </w:tc>
        <w:tc>
          <w:tcPr>
            <w:tcW w:type="dxa" w:w="1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Yes — Review</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Extraction Agent</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Retrieves and normalizes data via MCP tools from any source</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Deterministic</w:t>
            </w:r>
          </w:p>
        </w:tc>
        <w:tc>
          <w:tcPr>
            <w:tcW w:type="dxa" w:w="1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Validation Executor Agent</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Runs deterministic control checks against extracted data</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Deterministic</w:t>
            </w:r>
          </w:p>
        </w:tc>
        <w:tc>
          <w:tcPr>
            <w:tcW w:type="dxa" w:w="1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Exception Investigation Agent</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Performs root cause analysis on control failures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LLM-Reasoning</w:t>
            </w:r>
          </w:p>
        </w:tc>
        <w:tc>
          <w:tcPr>
            <w:tcW w:type="dxa" w:w="1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Tiered</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Evidence Packaging Agent</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Compiles audit-ready evidence packages with full lineage</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Deterministic + AI</w:t>
            </w:r>
          </w:p>
        </w:tc>
        <w:tc>
          <w:tcPr>
            <w:tcW w:type="dxa" w:w="1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Governance Agent</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Monitors hallucination risk, drift, policy violations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LLM-Monitoring</w:t>
            </w:r>
          </w:p>
        </w:tc>
        <w:tc>
          <w:tcPr>
            <w:tcW w:type="dxa" w:w="1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Alert-based</w:t>
            </w:r>
          </w:p>
        </w:tc>
      </w:tr>
    </w:tbl>
    <w:p>
      <w:pPr>
        <w:spacing w:before="120" w:after="0"/>
      </w:pPr>
    </w:p>
    <w:p>
      <w:pPr>
        <w:pStyle w:val="Heading2"/>
        <w:spacing w:before="280" w:after="160"/>
      </w:pPr>
      <w:r>
        <w:rPr>
          <w:rFonts w:ascii="Arial" w:cs="Arial" w:eastAsia="Arial" w:hAnsi="Arial"/>
          <w:b/>
          <w:bCs/>
          <w:color w:val="2C3E6B"/>
          <w:sz w:val="28"/>
          <w:szCs w:val="28"/>
        </w:rPr>
        <w:t xml:space="preserve">8.2 Multi-Agent Orchestration Pattern</w:t>
      </w:r>
    </w:p>
    <w:p>
      <w:pPr>
        <w:spacing w:after="120"/>
        <w:jc w:val="left"/>
      </w:pPr>
      <w:r>
        <w:rPr>
          <w:rFonts w:ascii="Arial" w:cs="Arial" w:eastAsia="Arial" w:hAnsi="Arial"/>
          <w:color w:val="555555"/>
          <w:sz w:val="22"/>
          <w:szCs w:val="22"/>
        </w:rPr>
        <w:t xml:space="preserve">For complex controls (D4–D5 on the determinism spectrum), multiple agents collaborate through a hierarchical coordination pattern powered by Google ADK’s multi-agent capabilities: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3"/>
              <w:left w:val="single" w:color="2E86AB"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2E86AB"/>
                <w:sz w:val="22"/>
                <w:szCs w:val="22"/>
              </w:rPr>
              <w:t xml:space="preserve">ORCHESTRATION FLOW FOR COMPLEX CONTROLS</w:t>
            </w:r>
          </w:p>
          <w:p>
            <w:pPr>
              <w:spacing w:after="120"/>
              <w:jc w:val="left"/>
            </w:pPr>
            <w:r>
              <w:rPr>
                <w:rFonts w:ascii="Arial" w:cs="Arial" w:eastAsia="Arial" w:hAnsi="Arial"/>
                <w:color w:val="555555"/>
                <w:sz w:val="22"/>
                <w:szCs w:val="22"/>
              </w:rPr>
              <w:t xml:space="preserve">Supervisor Agent (ADK Orchestrator) receives control trigger → Queries Neo4J for control genome metadata → Selects agent pattern based on Control Family classification → Delegates to Data Extraction Agent (via MCP tools) → Routes extracted data to Validation Executor Agent → If exceptions found, delegates to Exception Investigation Agent → Evidence Packaging Agent compiles audit trail → Results written to Neo4J execution history → Governance Agent validates the entire chain.</w:t>
            </w:r>
          </w:p>
        </w:tc>
      </w:tr>
    </w:tbl>
    <w:p>
      <w:pPr>
        <w:spacing w:before="120" w:after="0"/>
      </w:pPr>
    </w:p>
    <w:p>
      <w:pPr>
        <w:pStyle w:val="Heading2"/>
        <w:spacing w:before="280" w:after="160"/>
      </w:pPr>
      <w:r>
        <w:rPr>
          <w:rFonts w:ascii="Arial" w:cs="Arial" w:eastAsia="Arial" w:hAnsi="Arial"/>
          <w:b/>
          <w:bCs/>
          <w:color w:val="2C3E6B"/>
          <w:sz w:val="28"/>
          <w:szCs w:val="28"/>
        </w:rPr>
        <w:t xml:space="preserve">8.3 Determinism Guarantee Framework</w:t>
      </w:r>
    </w:p>
    <w:p>
      <w:pPr>
        <w:spacing w:after="120"/>
        <w:jc w:val="left"/>
      </w:pPr>
      <w:r>
        <w:rPr>
          <w:rFonts w:ascii="Arial" w:cs="Arial" w:eastAsia="Arial" w:hAnsi="Arial"/>
          <w:color w:val="555555"/>
          <w:sz w:val="22"/>
          <w:szCs w:val="22"/>
        </w:rPr>
        <w:t xml:space="preserve">The separation between AI-assisted configuration and deterministic execution is enforced at the architecture level. For every control execution, the following guarantees are maintained:</w:t>
      </w:r>
    </w:p>
    <w:p>
      <w:pPr>
        <w:spacing w:before="40" w:after="0"/>
      </w:pPr>
    </w:p>
    <w:p>
      <w:pPr>
        <w:pStyle w:val="ListParagraph"/>
        <w:numPr>
          <w:ilvl w:val="0"/>
          <w:numId w:val="3"/>
        </w:numPr>
        <w:spacing w:after="80"/>
      </w:pPr>
      <w:r>
        <w:rPr>
          <w:rFonts w:ascii="Arial" w:cs="Arial" w:eastAsia="Arial" w:hAnsi="Arial"/>
          <w:b/>
          <w:bCs/>
          <w:color w:val="000000"/>
          <w:sz w:val="22"/>
          <w:szCs w:val="22"/>
        </w:rPr>
        <w:t xml:space="preserve">Input Hashing: </w:t>
      </w:r>
      <w:r>
        <w:rPr>
          <w:rFonts w:ascii="Arial" w:cs="Arial" w:eastAsia="Arial" w:hAnsi="Arial"/>
          <w:color w:val="555555"/>
          <w:sz w:val="22"/>
          <w:szCs w:val="22"/>
        </w:rPr>
        <w:t xml:space="preserve">Every input document or record is hashed before processing. The hash is stored in Neo4J as part of the execution node.</w:t>
      </w:r>
    </w:p>
    <w:p>
      <w:pPr>
        <w:pStyle w:val="ListParagraph"/>
        <w:numPr>
          <w:ilvl w:val="0"/>
          <w:numId w:val="3"/>
        </w:numPr>
        <w:spacing w:after="80"/>
      </w:pPr>
      <w:r>
        <w:rPr>
          <w:rFonts w:ascii="Arial" w:cs="Arial" w:eastAsia="Arial" w:hAnsi="Arial"/>
          <w:b/>
          <w:bCs/>
          <w:color w:val="000000"/>
          <w:sz w:val="22"/>
          <w:szCs w:val="22"/>
        </w:rPr>
        <w:t xml:space="preserve">Deterministic-First Routing: </w:t>
      </w:r>
      <w:r>
        <w:rPr>
          <w:rFonts w:ascii="Arial" w:cs="Arial" w:eastAsia="Arial" w:hAnsi="Arial"/>
          <w:color w:val="555555"/>
          <w:sz w:val="22"/>
          <w:szCs w:val="22"/>
        </w:rPr>
        <w:t xml:space="preserve">All data passes through the rules engine before any LLM is invoked. An estimated 60–70% of validations complete without AI involvement.</w:t>
      </w:r>
    </w:p>
    <w:p>
      <w:pPr>
        <w:pStyle w:val="ListParagraph"/>
        <w:numPr>
          <w:ilvl w:val="0"/>
          <w:numId w:val="3"/>
        </w:numPr>
        <w:spacing w:after="80"/>
      </w:pPr>
      <w:r>
        <w:rPr>
          <w:rFonts w:ascii="Arial" w:cs="Arial" w:eastAsia="Arial" w:hAnsi="Arial"/>
          <w:b/>
          <w:bCs/>
          <w:color w:val="000000"/>
          <w:sz w:val="22"/>
          <w:szCs w:val="22"/>
        </w:rPr>
        <w:t xml:space="preserve">LLM Provenance Logging: </w:t>
      </w:r>
      <w:r>
        <w:rPr>
          <w:rFonts w:ascii="Arial" w:cs="Arial" w:eastAsia="Arial" w:hAnsi="Arial"/>
          <w:color w:val="555555"/>
          <w:sz w:val="22"/>
          <w:szCs w:val="22"/>
        </w:rPr>
        <w:t xml:space="preserve">If the LLM layer is invoked, the input hash, model version, prompt version, and temperature are recorded alongside the output.</w:t>
      </w:r>
    </w:p>
    <w:p>
      <w:pPr>
        <w:pStyle w:val="ListParagraph"/>
        <w:numPr>
          <w:ilvl w:val="0"/>
          <w:numId w:val="3"/>
        </w:numPr>
        <w:spacing w:after="80"/>
      </w:pPr>
      <w:r>
        <w:rPr>
          <w:rFonts w:ascii="Arial" w:cs="Arial" w:eastAsia="Arial" w:hAnsi="Arial"/>
          <w:b/>
          <w:bCs/>
          <w:color w:val="000000"/>
          <w:sz w:val="22"/>
          <w:szCs w:val="22"/>
        </w:rPr>
        <w:t xml:space="preserve">Output Schema Enforcement: </w:t>
      </w:r>
      <w:r>
        <w:rPr>
          <w:rFonts w:ascii="Arial" w:cs="Arial" w:eastAsia="Arial" w:hAnsi="Arial"/>
          <w:color w:val="555555"/>
          <w:sz w:val="22"/>
          <w:szCs w:val="22"/>
        </w:rPr>
        <w:t xml:space="preserve">LLM outputs pass through a Determinism Gateway that enforces JSON Schema / Pydantic validation before results are accepted.</w:t>
      </w:r>
    </w:p>
    <w:p>
      <w:pPr>
        <w:pStyle w:val="ListParagraph"/>
        <w:numPr>
          <w:ilvl w:val="0"/>
          <w:numId w:val="3"/>
        </w:numPr>
        <w:spacing w:after="80"/>
      </w:pPr>
      <w:r>
        <w:rPr>
          <w:rFonts w:ascii="Arial" w:cs="Arial" w:eastAsia="Arial" w:hAnsi="Arial"/>
          <w:b/>
          <w:bCs/>
          <w:color w:val="000000"/>
          <w:sz w:val="22"/>
          <w:szCs w:val="22"/>
        </w:rPr>
        <w:t xml:space="preserve">Consistency Verification: </w:t>
      </w:r>
      <w:r>
        <w:rPr>
          <w:rFonts w:ascii="Arial" w:cs="Arial" w:eastAsia="Arial" w:hAnsi="Arial"/>
          <w:color w:val="555555"/>
          <w:sz w:val="22"/>
          <w:szCs w:val="22"/>
        </w:rPr>
        <w:t xml:space="preserve">Same input is run 3 times. If outputs diverge, the result is flagged for human review rather than accepted.</w:t>
      </w:r>
    </w:p>
    <w:p>
      <w:pPr>
        <w:pStyle w:val="ListParagraph"/>
        <w:numPr>
          <w:ilvl w:val="0"/>
          <w:numId w:val="3"/>
        </w:numPr>
        <w:spacing w:after="80"/>
      </w:pPr>
      <w:r>
        <w:rPr>
          <w:rFonts w:ascii="Arial" w:cs="Arial" w:eastAsia="Arial" w:hAnsi="Arial"/>
          <w:b/>
          <w:bCs/>
          <w:color w:val="000000"/>
          <w:sz w:val="22"/>
          <w:szCs w:val="22"/>
        </w:rPr>
        <w:t xml:space="preserve">Full Lineage: </w:t>
      </w:r>
      <w:r>
        <w:rPr>
          <w:rFonts w:ascii="Arial" w:cs="Arial" w:eastAsia="Arial" w:hAnsi="Arial"/>
          <w:color w:val="555555"/>
          <w:sz w:val="22"/>
          <w:szCs w:val="22"/>
        </w:rPr>
        <w:t xml:space="preserve">Source page, field coordinates, extraction method, validation path, and final result are all recorded as a connected subgraph in Neo4J.</w:t>
      </w:r>
    </w:p>
    <w:p>
      <w:r>
        <w:br w:type="page"/>
      </w:r>
    </w:p>
    <w:p>
      <w:pPr>
        <w:pStyle w:val="Heading1"/>
        <w:spacing w:before="360" w:after="200"/>
      </w:pPr>
      <w:r>
        <w:rPr>
          <w:rFonts w:ascii="Arial" w:cs="Arial" w:eastAsia="Arial" w:hAnsi="Arial"/>
          <w:b/>
          <w:bCs/>
          <w:color w:val="1B2A4A"/>
          <w:sz w:val="36"/>
          <w:szCs w:val="36"/>
        </w:rPr>
        <w:t xml:space="preserve">9. Control Automation Factory Model</w:t>
      </w:r>
    </w:p>
    <w:p>
      <w:pPr>
        <w:pStyle w:val="Heading2"/>
        <w:spacing w:before="280" w:after="160"/>
      </w:pPr>
      <w:r>
        <w:rPr>
          <w:rFonts w:ascii="Arial" w:cs="Arial" w:eastAsia="Arial" w:hAnsi="Arial"/>
          <w:b/>
          <w:bCs/>
          <w:color w:val="2C3E6B"/>
          <w:sz w:val="28"/>
          <w:szCs w:val="28"/>
        </w:rPr>
        <w:t xml:space="preserve">9.1 The Assembly Line Approach</w:t>
      </w:r>
    </w:p>
    <w:p>
      <w:pPr>
        <w:spacing w:after="120"/>
        <w:jc w:val="left"/>
      </w:pPr>
      <w:r>
        <w:rPr>
          <w:rFonts w:ascii="Arial" w:cs="Arial" w:eastAsia="Arial" w:hAnsi="Arial"/>
          <w:color w:val="555555"/>
          <w:sz w:val="22"/>
          <w:szCs w:val="22"/>
        </w:rPr>
        <w:t xml:space="preserve">Building each control as a custom project yields approximately 120 automations per year — insufficient for 2,500+ controls. The factory model standardizes the control onboarding lifecycle so that controls are configured rather than coded.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Stage</w:t>
            </w:r>
          </w:p>
        </w:tc>
        <w:tc>
          <w:tcPr>
            <w:tcW w:type="dxa" w:w="1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Duration</w:t>
            </w:r>
          </w:p>
        </w:tc>
        <w:tc>
          <w:tcPr>
            <w:tcW w:type="dxa" w:w="5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Activities</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 Onboarding</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1–2 days</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ingested into web portal → SOP Agent extracts structured definition → Auto-classified into Control Family via Neo4J graph matching</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2. Assembly</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3–5 days</w:t>
            </w:r>
          </w:p>
        </w:tc>
        <w:tc>
          <w:tcPr>
            <w:tcW w:type="dxa" w:w="5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Pre-built agent components selected from registry → Deterministic rules configured from SOP decision tree → MCP data connectors wired up</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3. Shadow Mode</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1–2 weeks</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 runs in parallel with human process → Both execute, only human output is authoritative → Accuracy and false positive rates measured</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4. Graduated Deploy</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 week</w:t>
            </w:r>
          </w:p>
        </w:tc>
        <w:tc>
          <w:tcPr>
            <w:tcW w:type="dxa" w:w="5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Start at 10% traffic, ramp to 100% over days → Human-in-loop for all edge cases → Override rate monitored (pull back if &gt;5%)</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5. Monitoring</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Ongoing</w:t>
            </w:r>
          </w:p>
        </w:tc>
        <w:tc>
          <w:tcPr>
            <w:tcW w:type="dxa" w:w="5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Automated accuracy tracking against manual spot checks → Drift detection with auto-alerting → Quarterly SOP revalidation</w:t>
            </w:r>
          </w:p>
        </w:tc>
      </w:tr>
    </w:tbl>
    <w:p>
      <w:pPr>
        <w:spacing w:before="120" w:after="0"/>
      </w:pPr>
    </w:p>
    <w:p>
      <w:pPr>
        <w:pStyle w:val="Heading2"/>
        <w:spacing w:before="280" w:after="160"/>
      </w:pPr>
      <w:r>
        <w:rPr>
          <w:rFonts w:ascii="Arial" w:cs="Arial" w:eastAsia="Arial" w:hAnsi="Arial"/>
          <w:b/>
          <w:bCs/>
          <w:color w:val="2C3E6B"/>
          <w:sz w:val="28"/>
          <w:szCs w:val="28"/>
        </w:rPr>
        <w:t xml:space="preserve">9.2 Scaling Velocity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Phase</w:t>
            </w:r>
          </w:p>
        </w:tc>
        <w:tc>
          <w:tcPr>
            <w:tcW w:type="dxa" w:w="1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Timeline</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Controls</w:t>
            </w:r>
          </w:p>
        </w:tc>
        <w:tc>
          <w:tcPr>
            <w:tcW w:type="dxa" w:w="3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Key Milestone</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Foundation</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Months 1–3</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0 (infrastructure)</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Genome + Platform MVP + First 5 agent patterns</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Pilot</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Months 4–6</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10–15</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Shadow mode validation + MRM approval framework</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Accelerate</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Months 7–12</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120+</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Factory model operational + Control Tower live</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Scale</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Months 13–18</w:t>
            </w:r>
          </w:p>
        </w:tc>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400+</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Predictive intelligence + Self-service onboarding</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Transform</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Months 19–24</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800+</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Organizational intelligence + Self-healing controls</w:t>
            </w:r>
          </w:p>
        </w:tc>
      </w:tr>
    </w:tbl>
    <w:p>
      <w:r>
        <w:br w:type="page"/>
      </w:r>
    </w:p>
    <w:p>
      <w:pPr>
        <w:pStyle w:val="Heading1"/>
        <w:spacing w:before="360" w:after="200"/>
      </w:pPr>
      <w:r>
        <w:rPr>
          <w:rFonts w:ascii="Arial" w:cs="Arial" w:eastAsia="Arial" w:hAnsi="Arial"/>
          <w:b/>
          <w:bCs/>
          <w:color w:val="1B2A4A"/>
          <w:sz w:val="36"/>
          <w:szCs w:val="36"/>
        </w:rPr>
        <w:t xml:space="preserve">10. Technology Stack Specification</w:t>
      </w:r>
    </w:p>
    <w:p>
      <w:pPr>
        <w:pStyle w:val="Heading2"/>
        <w:spacing w:before="280" w:after="160"/>
      </w:pPr>
      <w:r>
        <w:rPr>
          <w:rFonts w:ascii="Arial" w:cs="Arial" w:eastAsia="Arial" w:hAnsi="Arial"/>
          <w:b/>
          <w:bCs/>
          <w:color w:val="2C3E6B"/>
          <w:sz w:val="28"/>
          <w:szCs w:val="28"/>
        </w:rPr>
        <w:t xml:space="preserve">10.1 Core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Component</w:t>
            </w:r>
          </w:p>
        </w:tc>
        <w:tc>
          <w:tcPr>
            <w:tcW w:type="dxa" w:w="3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Technology</w:t>
            </w:r>
          </w:p>
        </w:tc>
        <w:tc>
          <w:tcPr>
            <w:tcW w:type="dxa" w:w="3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Rationale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 Framework</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Google ADK (Agent Development Kit)</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Native MCP integration, multi-agent coordination, model-agnostic</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Agent Runtime</w:t>
            </w:r>
          </w:p>
        </w:tc>
        <w:tc>
          <w:tcPr>
            <w:tcW w:type="dxa" w:w="3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Google ADK + Cloud Run / GKE</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Scalable containerized agent deployment</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Access Layer</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Server + MCP Datatool</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Universal data fabric, standardized protocol</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Knowledge Graph</w:t>
            </w:r>
          </w:p>
        </w:tc>
        <w:tc>
          <w:tcPr>
            <w:tcW w:type="dxa" w:w="3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Enterprise (AuraDB or self-hosted)</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Native graph queries, ACID transactions, Cypher query language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 Backend</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Gemini Pro / Claude / Azure OpenAI</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Model-agnostic via ADK; select per agent based on task requirements</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Deterministic Engine</w:t>
            </w:r>
          </w:p>
        </w:tc>
        <w:tc>
          <w:tcPr>
            <w:tcW w:type="dxa" w:w="3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Python + SQL + custom rule engine</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Reproducible execution with full logging</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Web Portal</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React frontend + FastAPI backend</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Real-time SOP access, semantic search, version control</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Vector Store</w:t>
            </w:r>
          </w:p>
        </w:tc>
        <w:tc>
          <w:tcPr>
            <w:tcW w:type="dxa" w:w="3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Vector Index (or Vertex AI)</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Semantic search across SOPs and documents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Event Streaming</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Apache Kafka / Google Pub/Sub</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Real-time control triggers and data pipelines</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Monitoring</w:t>
            </w:r>
          </w:p>
        </w:tc>
        <w:tc>
          <w:tcPr>
            <w:tcW w:type="dxa" w:w="3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OpenTelemetry + Grafana + Control Tower</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 observability across all layers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Orchestration</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Google Cloud Workflows / Step Functions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Workflow orchestration for multi-stage controls</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Audit &amp; Logging</w:t>
            </w:r>
          </w:p>
        </w:tc>
        <w:tc>
          <w:tcPr>
            <w:tcW w:type="dxa" w:w="3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Immutable log store + Neo4J execution graph</w:t>
            </w:r>
          </w:p>
        </w:tc>
        <w:tc>
          <w:tcPr>
            <w:tcW w:type="dxa" w:w="3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Tamper-proof audit trail</w:t>
            </w:r>
          </w:p>
        </w:tc>
      </w:tr>
    </w:tbl>
    <w:p>
      <w:pPr>
        <w:spacing w:before="120" w:after="0"/>
      </w:pPr>
    </w:p>
    <w:p>
      <w:pPr>
        <w:pStyle w:val="Heading2"/>
        <w:spacing w:before="280" w:after="160"/>
      </w:pPr>
      <w:r>
        <w:rPr>
          <w:rFonts w:ascii="Arial" w:cs="Arial" w:eastAsia="Arial" w:hAnsi="Arial"/>
          <w:b/>
          <w:bCs/>
          <w:color w:val="2C3E6B"/>
          <w:sz w:val="28"/>
          <w:szCs w:val="28"/>
        </w:rPr>
        <w:t xml:space="preserve">10.2 Why This Stack Is Novel</w:t>
      </w:r>
    </w:p>
    <w:p>
      <w:pPr>
        <w:spacing w:after="120"/>
        <w:jc w:val="left"/>
      </w:pPr>
      <w:r>
        <w:rPr>
          <w:rFonts w:ascii="Arial" w:cs="Arial" w:eastAsia="Arial" w:hAnsi="Arial"/>
          <w:color w:val="555555"/>
          <w:sz w:val="22"/>
          <w:szCs w:val="22"/>
        </w:rPr>
        <w:t xml:space="preserve">Most compliance automation architectures use a traditional three-tier pattern: data layer, logic layer, presentation layer. This design introduces three innovations that differentiate it:</w:t>
      </w:r>
    </w:p>
    <w:p>
      <w:pPr>
        <w:spacing w:before="40" w:after="0"/>
      </w:pPr>
    </w:p>
    <w:p>
      <w:pPr>
        <w:pStyle w:val="ListParagraph"/>
        <w:numPr>
          <w:ilvl w:val="0"/>
          <w:numId w:val="3"/>
        </w:numPr>
        <w:spacing w:after="80"/>
      </w:pPr>
      <w:r>
        <w:rPr>
          <w:rFonts w:ascii="Arial" w:cs="Arial" w:eastAsia="Arial" w:hAnsi="Arial"/>
          <w:b/>
          <w:bCs/>
          <w:color w:val="000000"/>
          <w:sz w:val="22"/>
          <w:szCs w:val="22"/>
        </w:rPr>
        <w:t xml:space="preserve">Graph-First Architecture: </w:t>
      </w:r>
      <w:r>
        <w:rPr>
          <w:rFonts w:ascii="Arial" w:cs="Arial" w:eastAsia="Arial" w:hAnsi="Arial"/>
          <w:color w:val="555555"/>
          <w:sz w:val="22"/>
          <w:szCs w:val="22"/>
        </w:rPr>
        <w:t xml:space="preserve">Neo4J is not a bolt-on analytics layer — it is the central nervous system. Every control, execution, and relationship lives in the graph. This enables queries and intelligence that are simply impossible in relational architectures.</w:t>
      </w:r>
    </w:p>
    <w:p>
      <w:pPr>
        <w:pStyle w:val="ListParagraph"/>
        <w:numPr>
          <w:ilvl w:val="0"/>
          <w:numId w:val="3"/>
        </w:numPr>
        <w:spacing w:after="80"/>
      </w:pPr>
      <w:r>
        <w:rPr>
          <w:rFonts w:ascii="Arial" w:cs="Arial" w:eastAsia="Arial" w:hAnsi="Arial"/>
          <w:b/>
          <w:bCs/>
          <w:color w:val="000000"/>
          <w:sz w:val="22"/>
          <w:szCs w:val="22"/>
        </w:rPr>
        <w:t xml:space="preserve">MCP as Universal Data Abstraction: </w:t>
      </w:r>
      <w:r>
        <w:rPr>
          <w:rFonts w:ascii="Arial" w:cs="Arial" w:eastAsia="Arial" w:hAnsi="Arial"/>
          <w:color w:val="555555"/>
          <w:sz w:val="22"/>
          <w:szCs w:val="22"/>
        </w:rPr>
        <w:t xml:space="preserve">Instead of building N×M custom connectors (N agents × M data sources), MCP provides a single protocol. Adding a new data source means writing one MCP tool, not modifying every agent.</w:t>
      </w:r>
    </w:p>
    <w:p>
      <w:pPr>
        <w:pStyle w:val="ListParagraph"/>
        <w:numPr>
          <w:ilvl w:val="0"/>
          <w:numId w:val="3"/>
        </w:numPr>
        <w:spacing w:after="80"/>
      </w:pPr>
      <w:r>
        <w:rPr>
          <w:rFonts w:ascii="Arial" w:cs="Arial" w:eastAsia="Arial" w:hAnsi="Arial"/>
          <w:b/>
          <w:bCs/>
          <w:color w:val="000000"/>
          <w:sz w:val="22"/>
          <w:szCs w:val="22"/>
        </w:rPr>
        <w:t xml:space="preserve">ADK Agent Composition: </w:t>
      </w:r>
      <w:r>
        <w:rPr>
          <w:rFonts w:ascii="Arial" w:cs="Arial" w:eastAsia="Arial" w:hAnsi="Arial"/>
          <w:color w:val="555555"/>
          <w:sz w:val="22"/>
          <w:szCs w:val="22"/>
        </w:rPr>
        <w:t xml:space="preserve">Google ADK’s multi-agent pattern means complex controls are assembled from reusable agent components, not coded from scratch. The agent registry in Neo4J tracks which components work for which control families.</w:t>
      </w:r>
    </w:p>
    <w:p>
      <w:r>
        <w:br w:type="page"/>
      </w:r>
    </w:p>
    <w:p>
      <w:pPr>
        <w:pStyle w:val="Heading1"/>
        <w:spacing w:before="360" w:after="200"/>
      </w:pPr>
      <w:r>
        <w:rPr>
          <w:rFonts w:ascii="Arial" w:cs="Arial" w:eastAsia="Arial" w:hAnsi="Arial"/>
          <w:b/>
          <w:bCs/>
          <w:color w:val="1B2A4A"/>
          <w:sz w:val="36"/>
          <w:szCs w:val="36"/>
        </w:rPr>
        <w:t xml:space="preserve">11. Governance, Compliance, and Audit Framework</w:t>
      </w:r>
    </w:p>
    <w:p>
      <w:pPr>
        <w:pStyle w:val="Heading2"/>
        <w:spacing w:before="280" w:after="160"/>
      </w:pPr>
      <w:r>
        <w:rPr>
          <w:rFonts w:ascii="Arial" w:cs="Arial" w:eastAsia="Arial" w:hAnsi="Arial"/>
          <w:b/>
          <w:bCs/>
          <w:color w:val="2C3E6B"/>
          <w:sz w:val="28"/>
          <w:szCs w:val="28"/>
        </w:rPr>
        <w:t xml:space="preserve">11.1 Regulator-Safe AI Pattern</w:t>
      </w:r>
    </w:p>
    <w:p>
      <w:pPr>
        <w:spacing w:after="120"/>
        <w:jc w:val="left"/>
      </w:pPr>
      <w:r>
        <w:rPr>
          <w:rFonts w:ascii="Arial" w:cs="Arial" w:eastAsia="Arial" w:hAnsi="Arial"/>
          <w:color w:val="555555"/>
          <w:sz w:val="22"/>
          <w:szCs w:val="22"/>
        </w:rPr>
        <w:t xml:space="preserve">The architecture is designed to satisfy Model Risk Management (MRM) requirements from the outset. The key principle is that AI is an assistant, never the decision authority.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1560"/>
        <w:gridCol w:w="1400"/>
      </w:tblGrid>
      <w:tr>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Activity</w:t>
            </w:r>
          </w:p>
        </w:tc>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AI Role</w:t>
            </w:r>
          </w:p>
        </w:tc>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Human Role</w:t>
            </w:r>
          </w:p>
        </w:tc>
        <w:tc>
          <w:tcPr>
            <w:tcW w:type="dxa" w:w="1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Audit Trail</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Risk Tier</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Parsing</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Extracts structure</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Approves extraction</w:t>
            </w:r>
          </w:p>
        </w:tc>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Low</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Rule Generation</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Proposes rules</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Reviews &amp; approves</w:t>
            </w:r>
          </w:p>
        </w:tc>
        <w:tc>
          <w:tcPr>
            <w:tcW w:type="dxa" w:w="1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Medium</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Execution</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Not involved</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Spot-checks</w:t>
            </w:r>
          </w:p>
        </w:tc>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N/A</w:t>
            </w:r>
          </w:p>
        </w:tc>
      </w:tr>
      <w:tr>
        <w:tc>
          <w:tcPr>
            <w:tcW w:type="dxa" w:w="2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Exception Analysis</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Investigates &amp; drafts</w:t>
            </w:r>
          </w:p>
        </w:tc>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Validates conclusion</w:t>
            </w:r>
          </w:p>
        </w:tc>
        <w:tc>
          <w:tcPr>
            <w:tcW w:type="dxa" w:w="1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High</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Evidence Packaging</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Compiles package</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Signs off</w:t>
            </w:r>
          </w:p>
        </w:tc>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Full</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Medium</w:t>
            </w:r>
          </w:p>
        </w:tc>
      </w:tr>
    </w:tbl>
    <w:p>
      <w:pPr>
        <w:spacing w:before="120" w:after="0"/>
      </w:pPr>
    </w:p>
    <w:p>
      <w:pPr>
        <w:pStyle w:val="Heading2"/>
        <w:spacing w:before="280" w:after="160"/>
      </w:pPr>
      <w:r>
        <w:rPr>
          <w:rFonts w:ascii="Arial" w:cs="Arial" w:eastAsia="Arial" w:hAnsi="Arial"/>
          <w:b/>
          <w:bCs/>
          <w:color w:val="2C3E6B"/>
          <w:sz w:val="28"/>
          <w:szCs w:val="28"/>
        </w:rPr>
        <w:t xml:space="preserve">11.2 Immutable Audit Trail via Neo4J</w:t>
      </w:r>
    </w:p>
    <w:p>
      <w:pPr>
        <w:spacing w:after="120"/>
        <w:jc w:val="left"/>
      </w:pPr>
      <w:r>
        <w:rPr>
          <w:rFonts w:ascii="Arial" w:cs="Arial" w:eastAsia="Arial" w:hAnsi="Arial"/>
          <w:color w:val="555555"/>
          <w:sz w:val="22"/>
          <w:szCs w:val="22"/>
        </w:rPr>
        <w:t xml:space="preserve">Every action in the system creates nodes and relationships in the Neo4J execution graph. This provides an immutable, queryable audit trail that regulators can traverse:</w:t>
      </w:r>
    </w:p>
    <w:p>
      <w:pPr>
        <w:spacing w:before="40" w:after="0"/>
      </w:pPr>
    </w:p>
    <w:p>
      <w:pPr>
        <w:pStyle w:val="ListParagraph"/>
        <w:numPr>
          <w:ilvl w:val="0"/>
          <w:numId w:val="2"/>
        </w:numPr>
        <w:spacing w:after="60"/>
      </w:pPr>
      <w:r>
        <w:rPr>
          <w:rFonts w:ascii="Arial" w:cs="Arial" w:eastAsia="Arial" w:hAnsi="Arial"/>
          <w:b/>
          <w:bCs/>
          <w:color w:val="000000"/>
          <w:sz w:val="22"/>
          <w:szCs w:val="22"/>
        </w:rPr>
        <w:t xml:space="preserve">What: </w:t>
      </w:r>
      <w:r>
        <w:rPr>
          <w:rFonts w:ascii="Arial" w:cs="Arial" w:eastAsia="Arial" w:hAnsi="Arial"/>
          <w:color w:val="555555"/>
          <w:sz w:val="22"/>
          <w:szCs w:val="22"/>
        </w:rPr>
        <w:t xml:space="preserve">Execution result, pass/fail status, confidence score, evidence artifacts</w:t>
      </w:r>
    </w:p>
    <w:p>
      <w:pPr>
        <w:pStyle w:val="ListParagraph"/>
        <w:numPr>
          <w:ilvl w:val="0"/>
          <w:numId w:val="2"/>
        </w:numPr>
        <w:spacing w:after="60"/>
      </w:pPr>
      <w:r>
        <w:rPr>
          <w:rFonts w:ascii="Arial" w:cs="Arial" w:eastAsia="Arial" w:hAnsi="Arial"/>
          <w:b/>
          <w:bCs/>
          <w:color w:val="000000"/>
          <w:sz w:val="22"/>
          <w:szCs w:val="22"/>
        </w:rPr>
        <w:t xml:space="preserve">When: </w:t>
      </w:r>
      <w:r>
        <w:rPr>
          <w:rFonts w:ascii="Arial" w:cs="Arial" w:eastAsia="Arial" w:hAnsi="Arial"/>
          <w:color w:val="555555"/>
          <w:sz w:val="22"/>
          <w:szCs w:val="22"/>
        </w:rPr>
        <w:t xml:space="preserve">Timestamp of every step in the execution chain</w:t>
      </w:r>
    </w:p>
    <w:p>
      <w:pPr>
        <w:pStyle w:val="ListParagraph"/>
        <w:numPr>
          <w:ilvl w:val="0"/>
          <w:numId w:val="2"/>
        </w:numPr>
        <w:spacing w:after="60"/>
      </w:pPr>
      <w:r>
        <w:rPr>
          <w:rFonts w:ascii="Arial" w:cs="Arial" w:eastAsia="Arial" w:hAnsi="Arial"/>
          <w:b/>
          <w:bCs/>
          <w:color w:val="000000"/>
          <w:sz w:val="22"/>
          <w:szCs w:val="22"/>
        </w:rPr>
        <w:t xml:space="preserve">Who: </w:t>
      </w:r>
      <w:r>
        <w:rPr>
          <w:rFonts w:ascii="Arial" w:cs="Arial" w:eastAsia="Arial" w:hAnsi="Arial"/>
          <w:color w:val="555555"/>
          <w:sz w:val="22"/>
          <w:szCs w:val="22"/>
        </w:rPr>
        <w:t xml:space="preserve">Which agent executed, which human approved, which model version was used</w:t>
      </w:r>
    </w:p>
    <w:p>
      <w:pPr>
        <w:pStyle w:val="ListParagraph"/>
        <w:numPr>
          <w:ilvl w:val="0"/>
          <w:numId w:val="2"/>
        </w:numPr>
        <w:spacing w:after="60"/>
      </w:pPr>
      <w:r>
        <w:rPr>
          <w:rFonts w:ascii="Arial" w:cs="Arial" w:eastAsia="Arial" w:hAnsi="Arial"/>
          <w:b/>
          <w:bCs/>
          <w:color w:val="000000"/>
          <w:sz w:val="22"/>
          <w:szCs w:val="22"/>
        </w:rPr>
        <w:t xml:space="preserve">How: </w:t>
      </w:r>
      <w:r>
        <w:rPr>
          <w:rFonts w:ascii="Arial" w:cs="Arial" w:eastAsia="Arial" w:hAnsi="Arial"/>
          <w:color w:val="555555"/>
          <w:sz w:val="22"/>
          <w:szCs w:val="22"/>
        </w:rPr>
        <w:t xml:space="preserve">Full lineage from source data through MCP tool, through validation layers, to final result</w:t>
      </w:r>
    </w:p>
    <w:p>
      <w:pPr>
        <w:pStyle w:val="ListParagraph"/>
        <w:numPr>
          <w:ilvl w:val="0"/>
          <w:numId w:val="2"/>
        </w:numPr>
        <w:spacing w:after="60"/>
      </w:pPr>
      <w:r>
        <w:rPr>
          <w:rFonts w:ascii="Arial" w:cs="Arial" w:eastAsia="Arial" w:hAnsi="Arial"/>
          <w:b/>
          <w:bCs/>
          <w:color w:val="000000"/>
          <w:sz w:val="22"/>
          <w:szCs w:val="22"/>
        </w:rPr>
        <w:t xml:space="preserve">Why: </w:t>
      </w:r>
      <w:r>
        <w:rPr>
          <w:rFonts w:ascii="Arial" w:cs="Arial" w:eastAsia="Arial" w:hAnsi="Arial"/>
          <w:color w:val="555555"/>
          <w:sz w:val="22"/>
          <w:szCs w:val="22"/>
        </w:rPr>
        <w:t xml:space="preserve">SOP version referenced, rules applied, reasoning chain (if LLM was involved)</w:t>
      </w:r>
    </w:p>
    <w:p>
      <w:pPr>
        <w:spacing w:before="80" w:after="0"/>
      </w:pPr>
    </w:p>
    <w:p>
      <w:pPr>
        <w:pStyle w:val="Heading2"/>
        <w:spacing w:before="280" w:after="160"/>
      </w:pPr>
      <w:r>
        <w:rPr>
          <w:rFonts w:ascii="Arial" w:cs="Arial" w:eastAsia="Arial" w:hAnsi="Arial"/>
          <w:b/>
          <w:bCs/>
          <w:color w:val="2C3E6B"/>
          <w:sz w:val="28"/>
          <w:szCs w:val="28"/>
        </w:rPr>
        <w:t xml:space="preserve">11.3 Security and Access Controls</w:t>
      </w:r>
    </w:p>
    <w:p>
      <w:pPr>
        <w:pStyle w:val="ListParagraph"/>
        <w:numPr>
          <w:ilvl w:val="0"/>
          <w:numId w:val="2"/>
        </w:numPr>
        <w:spacing w:after="60"/>
      </w:pPr>
      <w:r>
        <w:rPr>
          <w:rFonts w:ascii="Arial" w:cs="Arial" w:eastAsia="Arial" w:hAnsi="Arial"/>
          <w:b/>
          <w:bCs/>
          <w:color w:val="000000"/>
          <w:sz w:val="22"/>
          <w:szCs w:val="22"/>
        </w:rPr>
        <w:t xml:space="preserve">Role-Based Access Control (RBAC): </w:t>
      </w:r>
      <w:r>
        <w:rPr>
          <w:rFonts w:ascii="Arial" w:cs="Arial" w:eastAsia="Arial" w:hAnsi="Arial"/>
          <w:color w:val="555555"/>
          <w:sz w:val="22"/>
          <w:szCs w:val="22"/>
        </w:rPr>
        <w:t xml:space="preserve">Control owners, auditors, agents, and administrators have distinct permission profiles</w:t>
      </w:r>
    </w:p>
    <w:p>
      <w:pPr>
        <w:pStyle w:val="ListParagraph"/>
        <w:numPr>
          <w:ilvl w:val="0"/>
          <w:numId w:val="2"/>
        </w:numPr>
        <w:spacing w:after="60"/>
      </w:pPr>
      <w:r>
        <w:rPr>
          <w:rFonts w:ascii="Arial" w:cs="Arial" w:eastAsia="Arial" w:hAnsi="Arial"/>
          <w:b/>
          <w:bCs/>
          <w:color w:val="000000"/>
          <w:sz w:val="22"/>
          <w:szCs w:val="22"/>
        </w:rPr>
        <w:t xml:space="preserve">Data Encryption: </w:t>
      </w:r>
      <w:r>
        <w:rPr>
          <w:rFonts w:ascii="Arial" w:cs="Arial" w:eastAsia="Arial" w:hAnsi="Arial"/>
          <w:color w:val="555555"/>
          <w:sz w:val="22"/>
          <w:szCs w:val="22"/>
        </w:rPr>
        <w:t xml:space="preserve">All data in transit (TLS 1.3) and at rest (AES-256)</w:t>
      </w:r>
    </w:p>
    <w:p>
      <w:pPr>
        <w:pStyle w:val="ListParagraph"/>
        <w:numPr>
          <w:ilvl w:val="0"/>
          <w:numId w:val="2"/>
        </w:numPr>
        <w:spacing w:after="60"/>
      </w:pPr>
      <w:r>
        <w:rPr>
          <w:rFonts w:ascii="Arial" w:cs="Arial" w:eastAsia="Arial" w:hAnsi="Arial"/>
          <w:b/>
          <w:bCs/>
          <w:color w:val="000000"/>
          <w:sz w:val="22"/>
          <w:szCs w:val="22"/>
        </w:rPr>
        <w:t xml:space="preserve">MCP Tool Governance: </w:t>
      </w:r>
      <w:r>
        <w:rPr>
          <w:rFonts w:ascii="Arial" w:cs="Arial" w:eastAsia="Arial" w:hAnsi="Arial"/>
          <w:color w:val="555555"/>
          <w:sz w:val="22"/>
          <w:szCs w:val="22"/>
        </w:rPr>
        <w:t xml:space="preserve">Every MCP tool call is logged with caller identity, data accessed, and response hash</w:t>
      </w:r>
    </w:p>
    <w:p>
      <w:pPr>
        <w:pStyle w:val="ListParagraph"/>
        <w:numPr>
          <w:ilvl w:val="0"/>
          <w:numId w:val="2"/>
        </w:numPr>
        <w:spacing w:after="60"/>
      </w:pPr>
      <w:r>
        <w:rPr>
          <w:rFonts w:ascii="Arial" w:cs="Arial" w:eastAsia="Arial" w:hAnsi="Arial"/>
          <w:b/>
          <w:bCs/>
          <w:color w:val="000000"/>
          <w:sz w:val="22"/>
          <w:szCs w:val="22"/>
        </w:rPr>
        <w:t xml:space="preserve">Agent Sandboxing: </w:t>
      </w:r>
      <w:r>
        <w:rPr>
          <w:rFonts w:ascii="Arial" w:cs="Arial" w:eastAsia="Arial" w:hAnsi="Arial"/>
          <w:color w:val="555555"/>
          <w:sz w:val="22"/>
          <w:szCs w:val="22"/>
        </w:rPr>
        <w:t xml:space="preserve">Agents operate in isolated containers with no direct database write access — all writes go through governed APIs</w:t>
      </w:r>
    </w:p>
    <w:p>
      <w:pPr>
        <w:pStyle w:val="ListParagraph"/>
        <w:numPr>
          <w:ilvl w:val="0"/>
          <w:numId w:val="2"/>
        </w:numPr>
        <w:spacing w:after="60"/>
      </w:pPr>
      <w:r>
        <w:rPr>
          <w:rFonts w:ascii="Arial" w:cs="Arial" w:eastAsia="Arial" w:hAnsi="Arial"/>
          <w:b/>
          <w:bCs/>
          <w:color w:val="000000"/>
          <w:sz w:val="22"/>
          <w:szCs w:val="22"/>
        </w:rPr>
        <w:t xml:space="preserve">SOC 2 Type II &amp; ISO 27001: </w:t>
      </w:r>
      <w:r>
        <w:rPr>
          <w:rFonts w:ascii="Arial" w:cs="Arial" w:eastAsia="Arial" w:hAnsi="Arial"/>
          <w:color w:val="555555"/>
          <w:sz w:val="22"/>
          <w:szCs w:val="22"/>
        </w:rPr>
        <w:t xml:space="preserve">Platform designed for compliance with enterprise security standards</w:t>
      </w:r>
    </w:p>
    <w:p>
      <w:r>
        <w:br w:type="page"/>
      </w:r>
    </w:p>
    <w:p>
      <w:pPr>
        <w:pStyle w:val="Heading1"/>
        <w:spacing w:before="360" w:after="200"/>
      </w:pPr>
      <w:r>
        <w:rPr>
          <w:rFonts w:ascii="Arial" w:cs="Arial" w:eastAsia="Arial" w:hAnsi="Arial"/>
          <w:b/>
          <w:bCs/>
          <w:color w:val="1B2A4A"/>
          <w:sz w:val="36"/>
          <w:szCs w:val="36"/>
        </w:rPr>
        <w:t xml:space="preserve">12. Intelligence Evolution Roadmap</w:t>
      </w:r>
    </w:p>
    <w:p>
      <w:pPr>
        <w:spacing w:after="120"/>
        <w:jc w:val="left"/>
      </w:pPr>
      <w:r>
        <w:rPr>
          <w:rFonts w:ascii="Arial" w:cs="Arial" w:eastAsia="Arial" w:hAnsi="Arial"/>
          <w:color w:val="555555"/>
          <w:sz w:val="22"/>
          <w:szCs w:val="22"/>
        </w:rPr>
        <w:t xml:space="preserve">The platform is designed to evolve through three levels of intelligence, each building on the data and patterns accumulated by the previous level: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Level</w:t>
            </w:r>
          </w:p>
        </w:tc>
        <w:tc>
          <w:tcPr>
            <w:tcW w:type="dxa" w:w="1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Timeline</w:t>
            </w:r>
          </w:p>
        </w:tc>
        <w:tc>
          <w:tcPr>
            <w:tcW w:type="dxa" w:w="6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Capabilities</w:t>
            </w:r>
          </w:p>
        </w:tc>
      </w:tr>
      <w:tr>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Descriptive</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Months 1–12</w:t>
            </w:r>
          </w:p>
        </w:tc>
        <w:tc>
          <w:tcPr>
            <w:tcW w:type="dxa" w:w="6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Real-time visibility into all control execution: pass/fail rates, processing times, exception patterns. Control health dashboards. Cross-control pattern detection.</w:t>
            </w:r>
          </w:p>
        </w:tc>
      </w:tr>
      <w:tr>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Predictive</w:t>
            </w:r>
          </w:p>
        </w:tc>
        <w:tc>
          <w:tcPr>
            <w:tcW w:type="dxa" w:w="1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Months 12–18</w:t>
            </w:r>
          </w:p>
        </w:tc>
        <w:tc>
          <w:tcPr>
            <w:tcW w:type="dxa" w:w="6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Predict control failures before they happen based on upstream data quality trends. Identify which manual controls are most error-prone. Risk-score incoming documents before execution.</w:t>
            </w:r>
          </w:p>
        </w:tc>
      </w:tr>
      <w:tr>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2E86AB"/>
                <w:sz w:val="20"/>
                <w:szCs w:val="20"/>
              </w:rPr>
              <w:t xml:space="preserve">Prescriptive</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Months 18–24</w:t>
            </w:r>
          </w:p>
        </w:tc>
        <w:tc>
          <w:tcPr>
            <w:tcW w:type="dxa" w:w="6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Auto-suggest new controls when regulatory changes are detected. Self-healing controls that auto-trigger retraining. Cross-domain intelligence where insights from one control domain inform others.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3"/>
              <w:left w:val="single" w:color="2E86AB" w:sz="3"/>
              <w:bottom w:val="single" w:color="B0BEC5" w:sz="1"/>
              <w:right w:val="single" w:color="B0BEC5" w:sz="1"/>
            </w:tcBorders>
            <w:shd w:fill="F0F4F8" w:val="clear"/>
            <w:tcMar>
              <w:top w:type="dxa" w:w="120"/>
              <w:left w:type="dxa" w:w="200"/>
              <w:bottom w:type="dxa" w:w="120"/>
              <w:right w:type="dxa" w:w="200"/>
            </w:tcMar>
          </w:tcPr>
          <w:p>
            <w:pPr>
              <w:spacing w:after="120"/>
              <w:jc w:val="left"/>
            </w:pPr>
            <w:r>
              <w:rPr>
                <w:rFonts w:ascii="Arial" w:cs="Arial" w:eastAsia="Arial" w:hAnsi="Arial"/>
                <w:b/>
                <w:bCs/>
                <w:color w:val="2E86AB"/>
                <w:sz w:val="22"/>
                <w:szCs w:val="22"/>
              </w:rPr>
              <w:t xml:space="preserve">THE ENDGAME VISION</w:t>
            </w:r>
          </w:p>
          <w:p>
            <w:pPr>
              <w:spacing w:after="120"/>
              <w:jc w:val="left"/>
            </w:pPr>
            <w:r>
              <w:rPr>
                <w:rFonts w:ascii="Arial" w:cs="Arial" w:eastAsia="Arial" w:hAnsi="Arial"/>
                <w:color w:val="555555"/>
                <w:sz w:val="22"/>
                <w:szCs w:val="22"/>
              </w:rPr>
              <w:t xml:space="preserve">This platform transforms the organization from “we check things” to “we know things.” The Neo4J knowledge graph accumulates institutional intelligence with every control execution. Over time, the graph becomes the single most comprehensive map of the organization’s compliance posture — queryable, auditable, and continuously learning.</w:t>
            </w:r>
          </w:p>
        </w:tc>
      </w:tr>
    </w:tbl>
    <w:p>
      <w:r>
        <w:br w:type="page"/>
      </w:r>
    </w:p>
    <w:p>
      <w:pPr>
        <w:pStyle w:val="Heading1"/>
        <w:spacing w:before="360" w:after="200"/>
      </w:pPr>
      <w:r>
        <w:rPr>
          <w:rFonts w:ascii="Arial" w:cs="Arial" w:eastAsia="Arial" w:hAnsi="Arial"/>
          <w:b/>
          <w:bCs/>
          <w:color w:val="1B2A4A"/>
          <w:sz w:val="36"/>
          <w:szCs w:val="36"/>
        </w:rPr>
        <w:t xml:space="preserve">13. 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Risk</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Severity</w:t>
            </w:r>
          </w:p>
        </w:tc>
        <w:tc>
          <w:tcPr>
            <w:tcW w:type="dxa" w:w="5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Mitigation Strategy</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LLM Hallucination in Control Logic</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HIGH</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Three-layer validation architecture ensures AI outputs pass through deterministic gateway. Consistency checks (3-run verification). Human approval for all LLM-generated rules.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Data Source Unavailability</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MEDIUM</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MCP connectors include retry logic, failover to cached data, and circuit breakers. Neo4J graph enables instant impact analysis of which controls are affected.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MRM Approval Delays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MEDIUM</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Shadow mode deployment requires no MRM approval (AI is not the authority). This builds empirical evidence that accelerates eventual production approval.</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Performance at Scale</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2E7D32"/>
                <w:sz w:val="20"/>
                <w:szCs w:val="20"/>
              </w:rPr>
              <w:t xml:space="preserve">LOW</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Neo4J Enterprise handles billions of nodes. Sharding strategy for execution history nodes. Hot/warm/cold tiering for historical data.</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Organizational Resistance</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b/>
                <w:bCs/>
                <w:color w:val="C62828"/>
                <w:sz w:val="20"/>
                <w:szCs w:val="20"/>
              </w:rPr>
              <w:t xml:space="preserve">HIGH</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Bottom-up approach engages control operators directly. Control Champions network. Quarterly Hackathons. Measure and celebrate every automation win.</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Quality Variance</w:t>
            </w:r>
          </w:p>
        </w:tc>
        <w:tc>
          <w:tcPr>
            <w:tcW w:type="dxa" w:w="1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b/>
                <w:bCs/>
                <w:color w:val="F57F17"/>
                <w:sz w:val="20"/>
                <w:szCs w:val="20"/>
              </w:rPr>
              <w:t xml:space="preserve">MEDIUM</w:t>
            </w:r>
          </w:p>
        </w:tc>
        <w:tc>
          <w:tcPr>
            <w:tcW w:type="dxa" w:w="5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SOP Agent scores document quality. Low-quality SOPs routed to human enrichment before automation. Graph tracks SOP quality over time.</w:t>
            </w:r>
          </w:p>
        </w:tc>
      </w:tr>
    </w:tbl>
    <w:p>
      <w:r>
        <w:br w:type="page"/>
      </w:r>
    </w:p>
    <w:p>
      <w:pPr>
        <w:pStyle w:val="Heading1"/>
        <w:spacing w:before="360" w:after="200"/>
      </w:pPr>
      <w:r>
        <w:rPr>
          <w:rFonts w:ascii="Arial" w:cs="Arial" w:eastAsia="Arial" w:hAnsi="Arial"/>
          <w:b/>
          <w:bCs/>
          <w:color w:val="1B2A4A"/>
          <w:sz w:val="36"/>
          <w:szCs w:val="36"/>
        </w:rPr>
        <w:t xml:space="preserve">14. Investment Summary and Expected Outcomes</w:t>
      </w:r>
    </w:p>
    <w:p>
      <w:pPr>
        <w:pStyle w:val="Heading2"/>
        <w:spacing w:before="280" w:after="160"/>
      </w:pPr>
      <w:r>
        <w:rPr>
          <w:rFonts w:ascii="Arial" w:cs="Arial" w:eastAsia="Arial" w:hAnsi="Arial"/>
          <w:b/>
          <w:bCs/>
          <w:color w:val="2C3E6B"/>
          <w:sz w:val="28"/>
          <w:szCs w:val="28"/>
        </w:rPr>
        <w:t xml:space="preserve">14.1 Critical Success Factors</w:t>
      </w:r>
    </w:p>
    <w:p>
      <w:pPr>
        <w:pStyle w:val="ListParagraph"/>
        <w:numPr>
          <w:ilvl w:val="0"/>
          <w:numId w:val="3"/>
        </w:numPr>
        <w:spacing w:after="80"/>
      </w:pPr>
      <w:r>
        <w:rPr>
          <w:rFonts w:ascii="Arial" w:cs="Arial" w:eastAsia="Arial" w:hAnsi="Arial"/>
          <w:b/>
          <w:bCs/>
          <w:color w:val="000000"/>
          <w:sz w:val="22"/>
          <w:szCs w:val="22"/>
        </w:rPr>
        <w:t xml:space="preserve">Start with shadow mode, not production: </w:t>
      </w:r>
      <w:r>
        <w:rPr>
          <w:rFonts w:ascii="Arial" w:cs="Arial" w:eastAsia="Arial" w:hAnsi="Arial"/>
          <w:color w:val="555555"/>
          <w:sz w:val="22"/>
          <w:szCs w:val="22"/>
        </w:rPr>
        <w:t xml:space="preserve">Run agents in parallel with humans for every control. This builds empirical evidence for MRM approval.</w:t>
      </w:r>
    </w:p>
    <w:p>
      <w:pPr>
        <w:pStyle w:val="ListParagraph"/>
        <w:numPr>
          <w:ilvl w:val="0"/>
          <w:numId w:val="3"/>
        </w:numPr>
        <w:spacing w:after="80"/>
      </w:pPr>
      <w:r>
        <w:rPr>
          <w:rFonts w:ascii="Arial" w:cs="Arial" w:eastAsia="Arial" w:hAnsi="Arial"/>
          <w:b/>
          <w:bCs/>
          <w:color w:val="000000"/>
          <w:sz w:val="22"/>
          <w:szCs w:val="22"/>
        </w:rPr>
        <w:t xml:space="preserve">Invest 60% in data plumbing, 40% in AI: </w:t>
      </w:r>
      <w:r>
        <w:rPr>
          <w:rFonts w:ascii="Arial" w:cs="Arial" w:eastAsia="Arial" w:hAnsi="Arial"/>
          <w:color w:val="555555"/>
          <w:sz w:val="22"/>
          <w:szCs w:val="22"/>
        </w:rPr>
        <w:t xml:space="preserve">The hardest part is getting clean, real-time data access via MCP connectors. The AI layer is the easier part.</w:t>
      </w:r>
    </w:p>
    <w:p>
      <w:pPr>
        <w:pStyle w:val="ListParagraph"/>
        <w:numPr>
          <w:ilvl w:val="0"/>
          <w:numId w:val="3"/>
        </w:numPr>
        <w:spacing w:after="80"/>
      </w:pPr>
      <w:r>
        <w:rPr>
          <w:rFonts w:ascii="Arial" w:cs="Arial" w:eastAsia="Arial" w:hAnsi="Arial"/>
          <w:b/>
          <w:bCs/>
          <w:color w:val="000000"/>
          <w:sz w:val="22"/>
          <w:szCs w:val="22"/>
        </w:rPr>
        <w:t xml:space="preserve">Build the platform first, then the controls: </w:t>
      </w:r>
      <w:r>
        <w:rPr>
          <w:rFonts w:ascii="Arial" w:cs="Arial" w:eastAsia="Arial" w:hAnsi="Arial"/>
          <w:color w:val="555555"/>
          <w:sz w:val="22"/>
          <w:szCs w:val="22"/>
        </w:rPr>
        <w:t xml:space="preserve">Spend months 1–3 building the Control Intelligence Platform. Every control automated after that gets faster.</w:t>
      </w:r>
    </w:p>
    <w:p>
      <w:pPr>
        <w:pStyle w:val="ListParagraph"/>
        <w:numPr>
          <w:ilvl w:val="0"/>
          <w:numId w:val="3"/>
        </w:numPr>
        <w:spacing w:after="80"/>
      </w:pPr>
      <w:r>
        <w:rPr>
          <w:rFonts w:ascii="Arial" w:cs="Arial" w:eastAsia="Arial" w:hAnsi="Arial"/>
          <w:b/>
          <w:bCs/>
          <w:color w:val="000000"/>
          <w:sz w:val="22"/>
          <w:szCs w:val="22"/>
        </w:rPr>
        <w:t xml:space="preserve">Governance is an accelerator, not a blocker: </w:t>
      </w:r>
      <w:r>
        <w:rPr>
          <w:rFonts w:ascii="Arial" w:cs="Arial" w:eastAsia="Arial" w:hAnsi="Arial"/>
          <w:color w:val="555555"/>
          <w:sz w:val="22"/>
          <w:szCs w:val="22"/>
        </w:rPr>
        <w:t xml:space="preserve">Banks with AI Control Towers and clear audit trails deploy faster because they pass MRM review more easily.</w:t>
      </w:r>
    </w:p>
    <w:p>
      <w:pPr>
        <w:pStyle w:val="ListParagraph"/>
        <w:numPr>
          <w:ilvl w:val="0"/>
          <w:numId w:val="3"/>
        </w:numPr>
        <w:spacing w:after="80"/>
      </w:pPr>
      <w:r>
        <w:rPr>
          <w:rFonts w:ascii="Arial" w:cs="Arial" w:eastAsia="Arial" w:hAnsi="Arial"/>
          <w:b/>
          <w:bCs/>
          <w:color w:val="000000"/>
          <w:sz w:val="22"/>
          <w:szCs w:val="22"/>
        </w:rPr>
        <w:t xml:space="preserve">Measure obsessively: </w:t>
      </w:r>
      <w:r>
        <w:rPr>
          <w:rFonts w:ascii="Arial" w:cs="Arial" w:eastAsia="Arial" w:hAnsi="Arial"/>
          <w:color w:val="555555"/>
          <w:sz w:val="22"/>
          <w:szCs w:val="22"/>
        </w:rPr>
        <w:t xml:space="preserve">Track accuracy per control, human override rate, processing time reduction, cost per control execution.</w:t>
      </w:r>
    </w:p>
    <w:p>
      <w:pPr>
        <w:spacing w:before="120" w:after="0"/>
      </w:pPr>
    </w:p>
    <w:p>
      <w:pPr>
        <w:pStyle w:val="Heading2"/>
        <w:spacing w:before="280" w:after="160"/>
      </w:pPr>
      <w:r>
        <w:rPr>
          <w:rFonts w:ascii="Arial" w:cs="Arial" w:eastAsia="Arial" w:hAnsi="Arial"/>
          <w:b/>
          <w:bCs/>
          <w:color w:val="2C3E6B"/>
          <w:sz w:val="28"/>
          <w:szCs w:val="28"/>
        </w:rPr>
        <w:t xml:space="preserve">14.2 Expected Outcomes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Metric</w:t>
            </w:r>
          </w:p>
        </w:tc>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Current State</w:t>
            </w:r>
          </w:p>
        </w:tc>
        <w:tc>
          <w:tcPr>
            <w:tcW w:type="dxa" w:w="2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120"/>
              <w:jc w:val="left"/>
            </w:pPr>
            <w:r>
              <w:rPr>
                <w:rFonts w:ascii="Arial" w:cs="Arial" w:eastAsia="Arial" w:hAnsi="Arial"/>
                <w:b/>
                <w:bCs/>
                <w:color w:val="FFFFFF"/>
                <w:sz w:val="20"/>
                <w:szCs w:val="20"/>
              </w:rPr>
              <w:t xml:space="preserve">Target State (24 mo.)</w:t>
            </w:r>
          </w:p>
        </w:tc>
      </w:tr>
      <w:tr>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Controls Automated</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~0 (manual)</w:t>
            </w:r>
          </w:p>
        </w:tc>
        <w:tc>
          <w:tcPr>
            <w:tcW w:type="dxa" w:w="2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800+</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Time per Control Execution</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Hours to days</w:t>
            </w:r>
          </w:p>
        </w:tc>
        <w:tc>
          <w:tcPr>
            <w:tcW w:type="dxa" w:w="2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Minutes to seconds</w:t>
            </w:r>
          </w:p>
        </w:tc>
      </w:tr>
      <w:tr>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Manual Processing Reduction</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Baseline</w:t>
            </w:r>
          </w:p>
        </w:tc>
        <w:tc>
          <w:tcPr>
            <w:tcW w:type="dxa" w:w="2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45–65% reduction</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Manual Interventions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100%</w:t>
            </w:r>
          </w:p>
        </w:tc>
        <w:tc>
          <w:tcPr>
            <w:tcW w:type="dxa" w:w="2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80% fewer interventions</w:t>
            </w:r>
          </w:p>
        </w:tc>
      </w:tr>
      <w:tr>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Audit Readiness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of preparation</w:t>
            </w:r>
          </w:p>
        </w:tc>
        <w:tc>
          <w:tcPr>
            <w:tcW w:type="dxa" w:w="2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Continuous, real-time</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Control Onboarding Time</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Weeks per control</w:t>
            </w:r>
          </w:p>
        </w:tc>
        <w:tc>
          <w:tcPr>
            <w:tcW w:type="dxa" w:w="2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1–2 weeks per control</w:t>
            </w:r>
          </w:p>
        </w:tc>
      </w:tr>
      <w:tr>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Exception Detection</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Reactive, after-the-fact</w:t>
            </w:r>
          </w:p>
        </w:tc>
        <w:tc>
          <w:tcPr>
            <w:tcW w:type="dxa" w:w="2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after="120"/>
              <w:jc w:val="left"/>
            </w:pPr>
            <w:r>
              <w:rPr>
                <w:rFonts w:ascii="Arial" w:cs="Arial" w:eastAsia="Arial" w:hAnsi="Arial"/>
                <w:color w:val="555555"/>
                <w:sz w:val="22"/>
                <w:szCs w:val="22"/>
              </w:rPr>
              <w:t xml:space="preserve">Predictive, before failure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none" w:color="FFFFFF" w:sz="0"/>
              <w:bottom w:val="single" w:color="1B2A4A" w:sz="4"/>
              <w:right w:val="none" w:color="FFFFFF" w:sz="0"/>
            </w:tcBorders>
            <w:tcMar>
              <w:top w:type="dxa" w:w="200"/>
              <w:left w:type="dxa" w:w="200"/>
              <w:bottom w:type="dxa" w:w="200"/>
              <w:right w:type="dxa" w:w="200"/>
            </w:tcMar>
          </w:tcPr>
          <w:p>
            <w:pPr>
              <w:spacing w:after="120"/>
              <w:jc w:val="center"/>
            </w:pPr>
            <w:r>
              <w:rPr>
                <w:rFonts w:ascii="Arial" w:cs="Arial" w:eastAsia="Arial" w:hAnsi="Arial"/>
                <w:i/>
                <w:iCs/>
                <w:color w:val="1B2A4A"/>
                <w:sz w:val="22"/>
                <w:szCs w:val="22"/>
              </w:rPr>
              <w:t xml:space="preserve">This design specification positions the organization to not just automate controls, but to build the infrastructure for organizational compliance intelligence — a compounding advantage that becomes more valuable with every control onboarded.</w:t>
            </w:r>
          </w:p>
        </w:tc>
      </w:tr>
    </w:tbl>
    <w:p>
      <w:pPr>
        <w:spacing w:before="200" w:after="0"/>
      </w:pPr>
    </w:p>
    <w:p>
      <w:pPr>
        <w:spacing w:after="120"/>
        <w:jc w:val="center"/>
      </w:pPr>
      <w:r>
        <w:rPr>
          <w:rFonts w:ascii="Arial" w:cs="Arial" w:eastAsia="Arial" w:hAnsi="Arial"/>
          <w:b/>
          <w:bCs/>
          <w:color w:val="999999"/>
          <w:sz w:val="18"/>
          <w:szCs w:val="18"/>
        </w:rPr>
        <w:t xml:space="preserve">END OF DOCUMENT</w:t>
      </w:r>
    </w:p>
    <w:p>
      <w:pPr>
        <w:spacing w:after="120"/>
        <w:jc w:val="center"/>
      </w:pPr>
      <w:r>
        <w:rPr>
          <w:rFonts w:ascii="Arial" w:cs="Arial" w:eastAsia="Arial" w:hAnsi="Arial"/>
          <w:color w:val="999999"/>
          <w:sz w:val="16"/>
          <w:szCs w:val="16"/>
        </w:rPr>
        <w:t xml:space="preserve">Version 1.0 — Draft for Executive Review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i/>
        <w:iCs/>
        <w:color w:val="999999"/>
        <w:sz w:val="16"/>
        <w:szCs w:val="16"/>
      </w:rPr>
      <w:t xml:space="preserve">Autonomous Compliance Control Platform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6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2026-02-15T17:24:24.911Z</dcterms:created>
  <dcterms:modified xsi:type="dcterms:W3CDTF">2026-02-15T17:24:24.920Z</dcterms:modified>
</cp:coreProperties>
</file>

<file path=docProps/custom.xml><?xml version="1.0" encoding="utf-8"?>
<Properties xmlns="http://schemas.openxmlformats.org/officeDocument/2006/custom-properties" xmlns:vt="http://schemas.openxmlformats.org/officeDocument/2006/docPropsVTypes"/>
</file>