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600"/>
              <w:left w:type="dxa" w:w="480"/>
              <w:bottom w:type="dxa" w:w="600"/>
              <w:right w:type="dxa" w:w="480"/>
            </w:tcMar>
          </w:tcPr>
          <w:p>
            <w:pPr>
              <w:jc w:val="left"/>
            </w:pPr>
            <w:r>
              <w:rPr>
                <w:rFonts w:ascii="Arial" w:cs="Arial" w:eastAsia="Arial" w:hAnsi="Arial"/>
                <w:b/>
                <w:bCs/>
                <w:color w:val="00B4D8"/>
                <w:sz w:val="20"/>
                <w:szCs w:val="20"/>
              </w:rPr>
              <w:t xml:space="preserve">SOLUTION DESIGN DOCUMENT</w:t>
            </w:r>
          </w:p>
          <w:p>
            <w:pPr>
              <w:spacing w:after="80" w:before="160"/>
              <w:jc w:val="left"/>
            </w:pPr>
            <w:r>
              <w:rPr>
                <w:rFonts w:ascii="Arial" w:cs="Arial" w:eastAsia="Arial" w:hAnsi="Arial"/>
                <w:b/>
                <w:bCs/>
                <w:color w:val="FFFFFF"/>
                <w:sz w:val="52"/>
                <w:szCs w:val="52"/>
              </w:rPr>
              <w:t xml:space="preserve">Observer-to-Agent (O2A) Platform</w:t>
            </w:r>
          </w:p>
          <w:p>
            <w:pPr>
              <w:jc w:val="left"/>
            </w:pPr>
            <w:r>
              <w:rPr>
                <w:rFonts w:ascii="Arial" w:cs="Arial" w:eastAsia="Arial" w:hAnsi="Arial"/>
                <w:color w:val="C8DAF5"/>
                <w:sz w:val="24"/>
                <w:szCs w:val="24"/>
              </w:rPr>
              <w:t xml:space="preserve">Data Gateway · Onboarding API · Data Dictionary Catalogue · Integration UI</w:t>
            </w:r>
          </w:p>
          <w:p>
            <w:pPr>
              <w:spacing w:after="120"/>
            </w:pPr>
            <w:r>
              <w:t xml:space="preserve"/>
            </w:r>
          </w:p>
          <w:p>
            <w:pPr>
              <w:jc w:val="left"/>
            </w:pPr>
            <w:r>
              <w:rPr>
                <w:rFonts w:ascii="Arial" w:cs="Arial" w:eastAsia="Arial" w:hAnsi="Arial"/>
                <w:b/>
                <w:bCs/>
                <w:color w:val="00B4D8"/>
                <w:sz w:val="18"/>
                <w:szCs w:val="18"/>
              </w:rPr>
              <w:t xml:space="preserve">VERSION 1.0   |   JUNE 2026   |   CLASSIFICATION: INTERNAL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DE5" w:sz="1"/>
              <w:left w:val="single" w:color="BBCDE5" w:sz="1"/>
              <w:bottom w:val="single" w:color="BBCDE5" w:sz="1"/>
              <w:right w:val="single" w:color="BBCDE5" w:sz="1"/>
            </w:tcBorders>
            <w:shd w:fill="C8DAF5" w:val="clear"/>
            <w:tcMar>
              <w:top w:type="dxa" w:w="70"/>
              <w:left w:type="dxa" w:w="120"/>
              <w:bottom w:type="dxa" w:w="70"/>
              <w:right w:type="dxa" w:w="120"/>
            </w:tcMar>
            <w:vAlign w:val="center"/>
          </w:tcPr>
          <w:p>
            <w:r>
              <w:rPr>
                <w:rFonts w:ascii="Arial" w:cs="Arial" w:eastAsia="Arial" w:hAnsi="Arial"/>
                <w:b/>
                <w:bCs/>
                <w:color w:val="000000"/>
                <w:sz w:val="19"/>
                <w:szCs w:val="19"/>
              </w:rPr>
              <w:t xml:space="preserve">Author</w:t>
            </w:r>
          </w:p>
        </w:tc>
        <w:tc>
          <w:tcPr>
            <w:tcW w:type="dxa" w:w="63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Solution Architect — O2A Platform Team</w:t>
            </w:r>
          </w:p>
        </w:tc>
      </w:tr>
      <w:tr>
        <w:tc>
          <w:tcPr>
            <w:tcW w:type="dxa" w:w="3000"/>
            <w:tcBorders>
              <w:top w:val="single" w:color="BBCDE5" w:sz="1"/>
              <w:left w:val="single" w:color="BBCDE5" w:sz="1"/>
              <w:bottom w:val="single" w:color="BBCDE5" w:sz="1"/>
              <w:right w:val="single" w:color="BBCDE5" w:sz="1"/>
            </w:tcBorders>
            <w:shd w:fill="C8DAF5" w:val="clear"/>
            <w:tcMar>
              <w:top w:type="dxa" w:w="70"/>
              <w:left w:type="dxa" w:w="120"/>
              <w:bottom w:type="dxa" w:w="70"/>
              <w:right w:type="dxa" w:w="120"/>
            </w:tcMar>
            <w:vAlign w:val="center"/>
          </w:tcPr>
          <w:p>
            <w:r>
              <w:rPr>
                <w:rFonts w:ascii="Arial" w:cs="Arial" w:eastAsia="Arial" w:hAnsi="Arial"/>
                <w:b/>
                <w:bCs/>
                <w:color w:val="000000"/>
                <w:sz w:val="19"/>
                <w:szCs w:val="19"/>
              </w:rPr>
              <w:t xml:space="preserve">Document Status</w:t>
            </w:r>
          </w:p>
        </w:tc>
        <w:tc>
          <w:tcPr>
            <w:tcW w:type="dxa" w:w="63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DRAFT — For Development Team Review</w:t>
            </w:r>
          </w:p>
        </w:tc>
      </w:tr>
      <w:tr>
        <w:tc>
          <w:tcPr>
            <w:tcW w:type="dxa" w:w="3000"/>
            <w:tcBorders>
              <w:top w:val="single" w:color="BBCDE5" w:sz="1"/>
              <w:left w:val="single" w:color="BBCDE5" w:sz="1"/>
              <w:bottom w:val="single" w:color="BBCDE5" w:sz="1"/>
              <w:right w:val="single" w:color="BBCDE5" w:sz="1"/>
            </w:tcBorders>
            <w:shd w:fill="C8DAF5" w:val="clear"/>
            <w:tcMar>
              <w:top w:type="dxa" w:w="70"/>
              <w:left w:type="dxa" w:w="120"/>
              <w:bottom w:type="dxa" w:w="70"/>
              <w:right w:type="dxa" w:w="120"/>
            </w:tcMar>
            <w:vAlign w:val="center"/>
          </w:tcPr>
          <w:p>
            <w:r>
              <w:rPr>
                <w:rFonts w:ascii="Arial" w:cs="Arial" w:eastAsia="Arial" w:hAnsi="Arial"/>
                <w:b/>
                <w:bCs/>
                <w:color w:val="000000"/>
                <w:sz w:val="19"/>
                <w:szCs w:val="19"/>
              </w:rPr>
              <w:t xml:space="preserve">Target Audience</w:t>
            </w:r>
          </w:p>
        </w:tc>
        <w:tc>
          <w:tcPr>
            <w:tcW w:type="dxa" w:w="63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Platform Engineering · API Development · Data Engineering · DevOps</w:t>
            </w:r>
          </w:p>
        </w:tc>
      </w:tr>
      <w:tr>
        <w:tc>
          <w:tcPr>
            <w:tcW w:type="dxa" w:w="3000"/>
            <w:tcBorders>
              <w:top w:val="single" w:color="BBCDE5" w:sz="1"/>
              <w:left w:val="single" w:color="BBCDE5" w:sz="1"/>
              <w:bottom w:val="single" w:color="BBCDE5" w:sz="1"/>
              <w:right w:val="single" w:color="BBCDE5" w:sz="1"/>
            </w:tcBorders>
            <w:shd w:fill="C8DAF5" w:val="clear"/>
            <w:tcMar>
              <w:top w:type="dxa" w:w="70"/>
              <w:left w:type="dxa" w:w="120"/>
              <w:bottom w:type="dxa" w:w="70"/>
              <w:right w:type="dxa" w:w="120"/>
            </w:tcMar>
            <w:vAlign w:val="center"/>
          </w:tcPr>
          <w:p>
            <w:r>
              <w:rPr>
                <w:rFonts w:ascii="Arial" w:cs="Arial" w:eastAsia="Arial" w:hAnsi="Arial"/>
                <w:b/>
                <w:bCs/>
                <w:color w:val="000000"/>
                <w:sz w:val="19"/>
                <w:szCs w:val="19"/>
              </w:rPr>
              <w:t xml:space="preserve">Platform Stack</w:t>
            </w:r>
          </w:p>
        </w:tc>
        <w:tc>
          <w:tcPr>
            <w:tcW w:type="dxa" w:w="63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APIGEE · MongoDB · HashiCorp Vault · Amazon Bedrock · Node.js / Python</w:t>
            </w:r>
          </w:p>
        </w:tc>
      </w:tr>
      <w:tr>
        <w:tc>
          <w:tcPr>
            <w:tcW w:type="dxa" w:w="3000"/>
            <w:tcBorders>
              <w:top w:val="single" w:color="BBCDE5" w:sz="1"/>
              <w:left w:val="single" w:color="BBCDE5" w:sz="1"/>
              <w:bottom w:val="single" w:color="BBCDE5" w:sz="1"/>
              <w:right w:val="single" w:color="BBCDE5" w:sz="1"/>
            </w:tcBorders>
            <w:shd w:fill="C8DAF5" w:val="clear"/>
            <w:tcMar>
              <w:top w:type="dxa" w:w="70"/>
              <w:left w:type="dxa" w:w="120"/>
              <w:bottom w:type="dxa" w:w="70"/>
              <w:right w:type="dxa" w:w="120"/>
            </w:tcMar>
            <w:vAlign w:val="center"/>
          </w:tcPr>
          <w:p>
            <w:r>
              <w:rPr>
                <w:rFonts w:ascii="Arial" w:cs="Arial" w:eastAsia="Arial" w:hAnsi="Arial"/>
                <w:b/>
                <w:bCs/>
                <w:color w:val="000000"/>
                <w:sz w:val="19"/>
                <w:szCs w:val="19"/>
              </w:rPr>
              <w:t xml:space="preserve">Architecture Pattern</w:t>
            </w:r>
          </w:p>
        </w:tc>
        <w:tc>
          <w:tcPr>
            <w:tcW w:type="dxa" w:w="63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Service Mesh · Event-Driven · AI-Native · Agent-Oriented</w:t>
            </w:r>
          </w:p>
        </w:tc>
      </w:tr>
      <w:tr>
        <w:tc>
          <w:tcPr>
            <w:tcW w:type="dxa" w:w="3000"/>
            <w:tcBorders>
              <w:top w:val="single" w:color="BBCDE5" w:sz="1"/>
              <w:left w:val="single" w:color="BBCDE5" w:sz="1"/>
              <w:bottom w:val="single" w:color="BBCDE5" w:sz="1"/>
              <w:right w:val="single" w:color="BBCDE5" w:sz="1"/>
            </w:tcBorders>
            <w:shd w:fill="C8DAF5" w:val="clear"/>
            <w:tcMar>
              <w:top w:type="dxa" w:w="70"/>
              <w:left w:type="dxa" w:w="120"/>
              <w:bottom w:type="dxa" w:w="70"/>
              <w:right w:type="dxa" w:w="120"/>
            </w:tcMar>
            <w:vAlign w:val="center"/>
          </w:tcPr>
          <w:p>
            <w:r>
              <w:rPr>
                <w:rFonts w:ascii="Arial" w:cs="Arial" w:eastAsia="Arial" w:hAnsi="Arial"/>
                <w:b/>
                <w:bCs/>
                <w:color w:val="000000"/>
                <w:sz w:val="19"/>
                <w:szCs w:val="19"/>
              </w:rPr>
              <w:t xml:space="preserve">Last Updated</w:t>
            </w:r>
          </w:p>
        </w:tc>
        <w:tc>
          <w:tcPr>
            <w:tcW w:type="dxa" w:w="63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June 25, 2026</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1.  EXECUTIVE SUMMARY</w:t>
            </w:r>
          </w:p>
        </w:tc>
      </w:tr>
    </w:tbl>
    <w:p>
      <w:pPr>
        <w:spacing w:after="120"/>
      </w:pPr>
      <w:r>
        <w:t xml:space="preserve"/>
      </w:r>
    </w:p>
    <w:p>
      <w:pPr>
        <w:spacing w:after="100"/>
      </w:pPr>
      <w:r>
        <w:rPr>
          <w:rFonts w:ascii="Arial" w:cs="Arial" w:eastAsia="Arial" w:hAnsi="Arial"/>
          <w:color w:val="111111"/>
          <w:sz w:val="20"/>
          <w:szCs w:val="20"/>
        </w:rPr>
        <w:t xml:space="preserve">The Observer-to-Agent (O2A) Platform is an AI-native integration layer that enables intelligent agents to discover, understand, and execute against enterprise data sources and APIs — without manual wiring. It eliminates the "last-mile" problem of agent deployment by providing a self-describing, self-connecting, and self-maintaining capability plane.</w:t>
      </w:r>
    </w:p>
    <w:p>
      <w:pPr>
        <w:spacing w:after="120"/>
      </w:pPr>
      <w:r>
        <w:t xml:space="preserve"/>
      </w:r>
    </w:p>
    <w:p>
      <w:pPr>
        <w:spacing w:after="100"/>
      </w:pPr>
      <w:r>
        <w:rPr>
          <w:rFonts w:ascii="Arial" w:cs="Arial" w:eastAsia="Arial" w:hAnsi="Arial"/>
          <w:color w:val="1B2A4A"/>
          <w:sz w:val="20"/>
          <w:szCs w:val="20"/>
        </w:rPr>
        <w:t xml:space="preserve">The platform consists of four integrated services: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18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63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0078D4"/>
                <w:sz w:val="19"/>
                <w:szCs w:val="19"/>
              </w:rPr>
              <w:t xml:space="preserve">1a</w:t>
            </w:r>
          </w:p>
        </w:tc>
        <w:tc>
          <w:tcPr>
            <w:tcW w:type="dxa" w:w="1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000000"/>
                <w:sz w:val="19"/>
                <w:szCs w:val="19"/>
              </w:rPr>
              <w:t xml:space="preserve">DataGateway</w:t>
            </w:r>
          </w:p>
        </w:tc>
        <w:tc>
          <w:tcPr>
            <w:tcW w:type="dxa" w:w="63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Unified proxy that connects agents to any database (Oracle, SQL Server, Teradata, PostgreSQL) and executes SQL queries with warm connection management via heartbeat polling.</w:t>
            </w:r>
          </w:p>
        </w:tc>
      </w:tr>
      <w:tr>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0078D4"/>
                <w:sz w:val="19"/>
                <w:szCs w:val="19"/>
              </w:rPr>
              <w:t xml:space="preserve">1b</w:t>
            </w:r>
          </w:p>
        </w:tc>
        <w:tc>
          <w:tcPr>
            <w:tcW w:type="dxa" w:w="1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000000"/>
                <w:sz w:val="19"/>
                <w:szCs w:val="19"/>
              </w:rPr>
              <w:t xml:space="preserve">Onboarding API</w:t>
            </w:r>
          </w:p>
        </w:tc>
        <w:tc>
          <w:tcPr>
            <w:tcW w:type="dxa" w:w="63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Self-service registration surface for databases (tools/SQL queries) and APIs (individual or collection, sync/async). Stores metadata in MongoDB; credentials in Vault.</w:t>
            </w:r>
          </w:p>
        </w:tc>
      </w:tr>
      <w:tr>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0078D4"/>
                <w:sz w:val="19"/>
                <w:szCs w:val="19"/>
              </w:rPr>
              <w:t xml:space="preserve">2</w:t>
            </w:r>
          </w:p>
        </w:tc>
        <w:tc>
          <w:tcPr>
            <w:tcW w:type="dxa" w:w="1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000000"/>
                <w:sz w:val="19"/>
                <w:szCs w:val="19"/>
              </w:rPr>
              <w:t xml:space="preserve">Data Dictionary Catalogue (DDC)</w:t>
            </w:r>
          </w:p>
        </w:tc>
        <w:tc>
          <w:tcPr>
            <w:tcW w:type="dxa" w:w="63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LLM-powered enrichment service that samples 20 rows from each onboarded table, generates semantic field descriptions, and exposes structured discovery endpoints for agents.</w:t>
            </w:r>
          </w:p>
        </w:tc>
      </w:tr>
      <w:tr>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0078D4"/>
                <w:sz w:val="19"/>
                <w:szCs w:val="19"/>
              </w:rPr>
              <w:t xml:space="preserve">3</w:t>
            </w:r>
          </w:p>
        </w:tc>
        <w:tc>
          <w:tcPr>
            <w:tcW w:type="dxa" w:w="1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000000"/>
                <w:sz w:val="19"/>
                <w:szCs w:val="19"/>
              </w:rPr>
              <w:t xml:space="preserve">Data Integration UI</w:t>
            </w:r>
          </w:p>
        </w:tc>
        <w:tc>
          <w:tcPr>
            <w:tcW w:type="dxa" w:w="63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Operator portal displaying the Tool Registry (all onboarded sources) and the DDC metadata — backed entirely by Services 1b and 2.</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2.  ARCHITECTURE OVERVIEW</w:t>
            </w:r>
          </w:p>
        </w:tc>
      </w:tr>
    </w:tbl>
    <w:p>
      <w:pPr>
        <w:spacing w:after="120"/>
      </w:pPr>
      <w:r>
        <w:t xml:space="preserve"/>
      </w:r>
    </w:p>
    <w:p>
      <w:pPr>
        <w:pStyle w:val="Heading2"/>
        <w:spacing w:after="140" w:before="280"/>
      </w:pPr>
      <w:r>
        <w:rPr>
          <w:rFonts w:ascii="Arial" w:cs="Arial" w:eastAsia="Arial" w:hAnsi="Arial"/>
          <w:b/>
          <w:bCs/>
          <w:color w:val="2E5FA3"/>
          <w:sz w:val="28"/>
          <w:szCs w:val="28"/>
        </w:rPr>
        <w:t xml:space="preserve">2.1  High-Level Architecture</w:t>
      </w:r>
    </w:p>
    <w:p>
      <w:pPr>
        <w:spacing w:after="100"/>
      </w:pPr>
      <w:r>
        <w:rPr>
          <w:rFonts w:ascii="Arial" w:cs="Arial" w:eastAsia="Arial" w:hAnsi="Arial"/>
          <w:color w:val="111111"/>
          <w:sz w:val="20"/>
          <w:szCs w:val="20"/>
        </w:rPr>
        <w:t xml:space="preserve">All external traffic enters through APIGEE Gateway, which handles authentication (OAuth2/JWT), rate limiting, observability, and routing to downstream microservices. Each service is independently deployable and communicates over internal mTLS.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E5" w:sz="1"/>
              <w:left w:val="single" w:color="BBCDE5" w:sz="1"/>
              <w:bottom w:val="single" w:color="BBCDE5" w:sz="1"/>
              <w:right w:val="single" w:color="BBCDE5" w:sz="1"/>
            </w:tcBorders>
            <w:shd w:fill="1E1E2E" w:val="clear"/>
            <w:tcMar>
              <w:top w:type="dxa" w:w="200"/>
              <w:left w:type="dxa" w:w="300"/>
              <w:bottom w:type="dxa" w:w="200"/>
              <w:right w:type="dxa" w:w="300"/>
            </w:tcMar>
          </w:tcPr>
          <w:p>
            <w:pPr>
              <w:spacing w:after="0"/>
            </w:pPr>
            <w:r>
              <w:rPr>
                <w:rFonts w:ascii="Courier New" w:cs="Courier New" w:eastAsia="Courier New" w:hAnsi="Courier New"/>
                <w:color w:val="A8D8EA"/>
                <w:sz w:val="16"/>
                <w:szCs w:val="16"/>
              </w:rPr>
              <w:t xml:space="preserve">  ┌──────────────────────────────────────────────────────────────────┐</w:t>
            </w:r>
          </w:p>
          <w:p>
            <w:pPr>
              <w:spacing w:after="0"/>
            </w:pPr>
            <w:r>
              <w:rPr>
                <w:rFonts w:ascii="Courier New" w:cs="Courier New" w:eastAsia="Courier New" w:hAnsi="Courier New"/>
                <w:color w:val="A8D8EA"/>
                <w:sz w:val="16"/>
                <w:szCs w:val="16"/>
              </w:rPr>
              <w:t xml:space="preserve">  │            APIGEE GATEWAY  (Auth · Rate Limit · Routing)         │</w:t>
            </w:r>
          </w:p>
          <w:p>
            <w:pPr>
              <w:spacing w:after="0"/>
            </w:pPr>
            <w:r>
              <w:rPr>
                <w:rFonts w:ascii="Courier New" w:cs="Courier New" w:eastAsia="Courier New" w:hAnsi="Courier New"/>
                <w:color w:val="A8D8EA"/>
                <w:sz w:val="16"/>
                <w:szCs w:val="16"/>
              </w:rPr>
              <w:t xml:space="preserve">  └──────────┬──────────────┬──────────────┬────────────────────────┘</w:t>
            </w:r>
          </w:p>
          <w:p>
            <w:pPr>
              <w:spacing w:after="0"/>
            </w:pPr>
            <w:r>
              <w:rPr>
                <w:rFonts w:ascii="Courier New" w:cs="Courier New" w:eastAsia="Courier New" w:hAnsi="Courier New"/>
                <w:color w:val="A8D8EA"/>
                <w:sz w:val="16"/>
                <w:szCs w:val="16"/>
              </w:rPr>
              <w:t xml:space="preserve">             │              │              │</w:t>
            </w:r>
          </w:p>
          <w:p>
            <w:pPr>
              <w:spacing w:after="0"/>
            </w:pPr>
            <w:r>
              <w:rPr>
                <w:rFonts w:ascii="Courier New" w:cs="Courier New" w:eastAsia="Courier New" w:hAnsi="Courier New"/>
                <w:color w:val="A8D8EA"/>
                <w:sz w:val="16"/>
                <w:szCs w:val="16"/>
              </w:rPr>
              <w:t xml:space="preserve">    ┌────────▼───┐  ┌───────▼──────┐  ┌──▼──────────────┐</w:t>
            </w:r>
          </w:p>
          <w:p>
            <w:pPr>
              <w:spacing w:after="0"/>
            </w:pPr>
            <w:r>
              <w:rPr>
                <w:rFonts w:ascii="Courier New" w:cs="Courier New" w:eastAsia="Courier New" w:hAnsi="Courier New"/>
                <w:color w:val="A8D8EA"/>
                <w:sz w:val="16"/>
                <w:szCs w:val="16"/>
              </w:rPr>
              <w:t xml:space="preserve">    │ Service 1a │  │ Service 1b   │  │   Service 2     │</w:t>
            </w:r>
          </w:p>
          <w:p>
            <w:pPr>
              <w:spacing w:after="0"/>
            </w:pPr>
            <w:r>
              <w:rPr>
                <w:rFonts w:ascii="Courier New" w:cs="Courier New" w:eastAsia="Courier New" w:hAnsi="Courier New"/>
                <w:color w:val="A8D8EA"/>
                <w:sz w:val="16"/>
                <w:szCs w:val="16"/>
              </w:rPr>
              <w:t xml:space="preserve">    │ DataGateway│  │ Onboarding   │  │ Dict Catalogue  │</w:t>
            </w:r>
          </w:p>
          <w:p>
            <w:pPr>
              <w:spacing w:after="0"/>
            </w:pPr>
            <w:r>
              <w:rPr>
                <w:rFonts w:ascii="Courier New" w:cs="Courier New" w:eastAsia="Courier New" w:hAnsi="Courier New"/>
                <w:color w:val="A8D8EA"/>
                <w:sz w:val="16"/>
                <w:szCs w:val="16"/>
              </w:rPr>
              <w:t xml:space="preserve">    │            │  │    API       │  │   (DDC)         │</w:t>
            </w:r>
          </w:p>
          <w:p>
            <w:pPr>
              <w:spacing w:after="0"/>
            </w:pPr>
            <w:r>
              <w:rPr>
                <w:rFonts w:ascii="Courier New" w:cs="Courier New" w:eastAsia="Courier New" w:hAnsi="Courier New"/>
                <w:color w:val="A8D8EA"/>
                <w:sz w:val="16"/>
                <w:szCs w:val="16"/>
              </w:rPr>
              <w:t xml:space="preserve">    └────────────┘  └──────────────┘  └─────────────────┘</w:t>
            </w:r>
          </w:p>
          <w:p>
            <w:pPr>
              <w:spacing w:after="0"/>
            </w:pPr>
            <w:r>
              <w:rPr>
                <w:rFonts w:ascii="Courier New" w:cs="Courier New" w:eastAsia="Courier New" w:hAnsi="Courier New"/>
                <w:color w:val="A8D8EA"/>
                <w:sz w:val="16"/>
                <w:szCs w:val="16"/>
              </w:rPr>
              <w:t xml:space="preserve">          │                │                   │</w:t>
            </w:r>
          </w:p>
          <w:p>
            <w:pPr>
              <w:spacing w:after="0"/>
            </w:pPr>
            <w:r>
              <w:rPr>
                <w:rFonts w:ascii="Courier New" w:cs="Courier New" w:eastAsia="Courier New" w:hAnsi="Courier New"/>
                <w:color w:val="A8D8EA"/>
                <w:sz w:val="16"/>
                <w:szCs w:val="16"/>
              </w:rPr>
              <w:t xml:space="preserve">    ┌─────▼──────┐  ┌──────▼──────┐   ┌──────▼──────┐</w:t>
            </w:r>
          </w:p>
          <w:p>
            <w:pPr>
              <w:spacing w:after="0"/>
            </w:pPr>
            <w:r>
              <w:rPr>
                <w:rFonts w:ascii="Courier New" w:cs="Courier New" w:eastAsia="Courier New" w:hAnsi="Courier New"/>
                <w:color w:val="A8D8EA"/>
                <w:sz w:val="16"/>
                <w:szCs w:val="16"/>
              </w:rPr>
              <w:t xml:space="preserve">    │  Oracle    │  │  MongoDB    │   │  LLM/Bedrock│</w:t>
            </w:r>
          </w:p>
          <w:p>
            <w:pPr>
              <w:spacing w:after="0"/>
            </w:pPr>
            <w:r>
              <w:rPr>
                <w:rFonts w:ascii="Courier New" w:cs="Courier New" w:eastAsia="Courier New" w:hAnsi="Courier New"/>
                <w:color w:val="A8D8EA"/>
                <w:sz w:val="16"/>
                <w:szCs w:val="16"/>
              </w:rPr>
              <w:t xml:space="preserve">    │  SQL Svr   │  │  (Registry) │   │  Enrichment │</w:t>
            </w:r>
          </w:p>
          <w:p>
            <w:pPr>
              <w:spacing w:after="0"/>
            </w:pPr>
            <w:r>
              <w:rPr>
                <w:rFonts w:ascii="Courier New" w:cs="Courier New" w:eastAsia="Courier New" w:hAnsi="Courier New"/>
                <w:color w:val="A8D8EA"/>
                <w:sz w:val="16"/>
                <w:szCs w:val="16"/>
              </w:rPr>
              <w:t xml:space="preserve">    │  Teradata  │  │  Vault      │   └─────────────┘</w:t>
            </w:r>
          </w:p>
          <w:p>
            <w:pPr>
              <w:spacing w:after="0"/>
            </w:pPr>
            <w:r>
              <w:rPr>
                <w:rFonts w:ascii="Courier New" w:cs="Courier New" w:eastAsia="Courier New" w:hAnsi="Courier New"/>
                <w:color w:val="A8D8EA"/>
                <w:sz w:val="16"/>
                <w:szCs w:val="16"/>
              </w:rPr>
              <w:t xml:space="preserve">    │  Postgres  │  │  (Creds)    │</w:t>
            </w:r>
          </w:p>
          <w:p>
            <w:pPr>
              <w:spacing w:after="0"/>
            </w:pPr>
            <w:r>
              <w:rPr>
                <w:rFonts w:ascii="Courier New" w:cs="Courier New" w:eastAsia="Courier New" w:hAnsi="Courier New"/>
                <w:color w:val="A8D8EA"/>
                <w:sz w:val="16"/>
                <w:szCs w:val="16"/>
              </w:rPr>
              <w:t xml:space="preserve">    └────────────┘  └─────────────┘</w:t>
            </w:r>
          </w:p>
          <w:p>
            <w:pPr>
              <w:spacing w:after="0"/>
            </w:pPr>
            <w:r>
              <w:rPr>
                <w:rFonts w:ascii="Courier New" w:cs="Courier New" w:eastAsia="Courier New" w:hAnsi="Courier New"/>
                <w:color w:val="A8D8EA"/>
                <w:sz w:val="16"/>
                <w:szCs w:val="16"/>
              </w:rPr>
              <w:t xml:space="preserve">                                              ▲</w:t>
            </w:r>
          </w:p>
          <w:p>
            <w:pPr>
              <w:spacing w:after="0"/>
            </w:pPr>
            <w:r>
              <w:rPr>
                <w:rFonts w:ascii="Courier New" w:cs="Courier New" w:eastAsia="Courier New" w:hAnsi="Courier New"/>
                <w:color w:val="A8D8EA"/>
                <w:sz w:val="16"/>
                <w:szCs w:val="16"/>
              </w:rPr>
              <w:t xml:space="preserve">  ┌───────────────────────────────────────────┘</w:t>
            </w:r>
          </w:p>
          <w:p>
            <w:pPr>
              <w:spacing w:after="0"/>
            </w:pPr>
            <w:r>
              <w:rPr>
                <w:rFonts w:ascii="Courier New" w:cs="Courier New" w:eastAsia="Courier New" w:hAnsi="Courier New"/>
                <w:color w:val="A8D8EA"/>
                <w:sz w:val="16"/>
                <w:szCs w:val="16"/>
              </w:rPr>
              <w:t xml:space="preserve">  │  Service 3: Data Integration UI</w:t>
            </w:r>
          </w:p>
          <w:p>
            <w:pPr>
              <w:spacing w:after="0"/>
            </w:pPr>
            <w:r>
              <w:rPr>
                <w:rFonts w:ascii="Courier New" w:cs="Courier New" w:eastAsia="Courier New" w:hAnsi="Courier New"/>
                <w:color w:val="A8D8EA"/>
                <w:sz w:val="16"/>
                <w:szCs w:val="16"/>
              </w:rPr>
              <w:t xml:space="preserve">  │  (Tool Registry · DDC Browser · Admin Console)</w:t>
            </w:r>
          </w:p>
          <w:p>
            <w:pPr>
              <w:spacing w:after="0"/>
            </w:pPr>
            <w:r>
              <w:rPr>
                <w:rFonts w:ascii="Courier New" w:cs="Courier New" w:eastAsia="Courier New" w:hAnsi="Courier New"/>
                <w:color w:val="A8D8EA"/>
                <w:sz w:val="16"/>
                <w:szCs w:val="16"/>
              </w:rPr>
              <w:t xml:space="preserve">  └────────────────────────────────────────────────────────────────</w:t>
            </w:r>
          </w:p>
        </w:tc>
      </w:tr>
    </w:tbl>
    <w:p>
      <w:pPr>
        <w:spacing w:after="120"/>
      </w:pPr>
      <w:r>
        <w:t xml:space="preserve"/>
      </w:r>
    </w:p>
    <w:p>
      <w:pPr>
        <w:pStyle w:val="Heading2"/>
        <w:spacing w:after="140" w:before="280"/>
      </w:pPr>
      <w:r>
        <w:rPr>
          <w:rFonts w:ascii="Arial" w:cs="Arial" w:eastAsia="Arial" w:hAnsi="Arial"/>
          <w:b/>
          <w:bCs/>
          <w:color w:val="2E5FA3"/>
          <w:sz w:val="28"/>
          <w:szCs w:val="28"/>
        </w:rPr>
        <w:t xml:space="preserve">2.2  Infrastructure &amp; Data Stores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0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51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000000"/>
                <w:sz w:val="19"/>
                <w:szCs w:val="19"/>
              </w:rPr>
              <w:t xml:space="preserve">API Gateway</w:t>
            </w:r>
          </w:p>
        </w:tc>
        <w:tc>
          <w:tcPr>
            <w:tcW w:type="dxa" w:w="20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APIGEE</w:t>
            </w:r>
          </w:p>
        </w:tc>
        <w:tc>
          <w:tcPr>
            <w:tcW w:type="dxa" w:w="51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Auth, rate limiting, routing, observability, developer portal</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000000"/>
                <w:sz w:val="19"/>
                <w:szCs w:val="19"/>
              </w:rPr>
              <w:t xml:space="preserve">Connection Registry</w:t>
            </w:r>
          </w:p>
        </w:tc>
        <w:tc>
          <w:tcPr>
            <w:tcW w:type="dxa" w:w="20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MongoDB</w:t>
            </w:r>
          </w:p>
        </w:tc>
        <w:tc>
          <w:tcPr>
            <w:tcW w:type="dxa" w:w="51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Stores DB/API connection configs, metadata, tool definitions</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000000"/>
                <w:sz w:val="19"/>
                <w:szCs w:val="19"/>
              </w:rPr>
              <w:t xml:space="preserve">Credential Store</w:t>
            </w:r>
          </w:p>
        </w:tc>
        <w:tc>
          <w:tcPr>
            <w:tcW w:type="dxa" w:w="20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HashiCorp Vault</w:t>
            </w:r>
          </w:p>
        </w:tc>
        <w:tc>
          <w:tcPr>
            <w:tcW w:type="dxa" w:w="51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Encrypted storage of DB passwords, API keys, OAuth tokens</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000000"/>
                <w:sz w:val="19"/>
                <w:szCs w:val="19"/>
              </w:rPr>
              <w:t xml:space="preserve">State Management</w:t>
            </w:r>
          </w:p>
        </w:tc>
        <w:tc>
          <w:tcPr>
            <w:tcW w:type="dxa" w:w="20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MongoDB</w:t>
            </w:r>
          </w:p>
        </w:tc>
        <w:tc>
          <w:tcPr>
            <w:tcW w:type="dxa" w:w="51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Execution state, job queues, heartbeat status</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000000"/>
                <w:sz w:val="19"/>
                <w:szCs w:val="19"/>
              </w:rPr>
              <w:t xml:space="preserve">Metadata Store</w:t>
            </w:r>
          </w:p>
        </w:tc>
        <w:tc>
          <w:tcPr>
            <w:tcW w:type="dxa" w:w="20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MongoDB</w:t>
            </w:r>
          </w:p>
        </w:tc>
        <w:tc>
          <w:tcPr>
            <w:tcW w:type="dxa" w:w="51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Onboarding metadata, version history, tags, lineage</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000000"/>
                <w:sz w:val="19"/>
                <w:szCs w:val="19"/>
              </w:rPr>
              <w:t xml:space="preserve">Catalogue Store</w:t>
            </w:r>
          </w:p>
        </w:tc>
        <w:tc>
          <w:tcPr>
            <w:tcW w:type="dxa" w:w="20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MongoDB</w:t>
            </w:r>
          </w:p>
        </w:tc>
        <w:tc>
          <w:tcPr>
            <w:tcW w:type="dxa" w:w="51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DDC entries — field descriptions, sample stats, embeddings</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000000"/>
                <w:sz w:val="19"/>
                <w:szCs w:val="19"/>
              </w:rPr>
              <w:t xml:space="preserve">LLM / Enrichment</w:t>
            </w:r>
          </w:p>
        </w:tc>
        <w:tc>
          <w:tcPr>
            <w:tcW w:type="dxa" w:w="20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Amazon Bedrock (Claude)</w:t>
            </w:r>
          </w:p>
        </w:tc>
        <w:tc>
          <w:tcPr>
            <w:tcW w:type="dxa" w:w="51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Data dictionary generation, semantic description synthesis</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000000"/>
                <w:sz w:val="19"/>
                <w:szCs w:val="19"/>
              </w:rPr>
              <w:t xml:space="preserve">UI Backend</w:t>
            </w:r>
          </w:p>
        </w:tc>
        <w:tc>
          <w:tcPr>
            <w:tcW w:type="dxa" w:w="20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Node.js / Express</w:t>
            </w:r>
          </w:p>
        </w:tc>
        <w:tc>
          <w:tcPr>
            <w:tcW w:type="dxa" w:w="51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BFF layer serving Service 3 frontend</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3.  SERVICE 1a  —  DATA GATEWAY</w:t>
            </w:r>
          </w:p>
        </w:tc>
      </w:tr>
    </w:tbl>
    <w:p>
      <w:pPr>
        <w:spacing w:after="120"/>
      </w:pPr>
      <w:r>
        <w:t xml:space="preserve"/>
      </w:r>
    </w:p>
    <w:p>
      <w:pPr>
        <w:pStyle w:val="Heading2"/>
        <w:spacing w:after="140" w:before="280"/>
      </w:pPr>
      <w:r>
        <w:rPr>
          <w:rFonts w:ascii="Arial" w:cs="Arial" w:eastAsia="Arial" w:hAnsi="Arial"/>
          <w:b/>
          <w:bCs/>
          <w:color w:val="2E5FA3"/>
          <w:sz w:val="28"/>
          <w:szCs w:val="28"/>
        </w:rPr>
        <w:t xml:space="preserve">3.1  Purpose &amp; Responsibilities</w:t>
      </w:r>
    </w:p>
    <w:p>
      <w:pPr>
        <w:spacing w:after="100"/>
      </w:pPr>
      <w:r>
        <w:rPr>
          <w:rFonts w:ascii="Arial" w:cs="Arial" w:eastAsia="Arial" w:hAnsi="Arial"/>
          <w:color w:val="111111"/>
          <w:sz w:val="20"/>
          <w:szCs w:val="20"/>
        </w:rPr>
        <w:t xml:space="preserve">DataGateway is the unified SQL execution proxy. It accepts structured query requests from agents or services, resolves database credentials from Vault, routes to the appropriate JDBC/ODBC adapter, executes the query, and returns normalised JSON results.</w:t>
      </w:r>
    </w:p>
    <w:p>
      <w:pPr>
        <w:spacing w:after="120"/>
      </w:pPr>
      <w:r>
        <w:t xml:space="preserve"/>
      </w:r>
    </w:p>
    <w:p>
      <w:pPr>
        <w:pStyle w:val="ListParagraph"/>
        <w:numPr>
          <w:ilvl w:val="0"/>
          <w:numId w:val="2"/>
        </w:numPr>
        <w:spacing w:after="80"/>
      </w:pPr>
      <w:r>
        <w:rPr>
          <w:rFonts w:ascii="Arial" w:cs="Arial" w:eastAsia="Arial" w:hAnsi="Arial"/>
          <w:sz w:val="20"/>
          <w:szCs w:val="20"/>
        </w:rPr>
        <w:t xml:space="preserve">Supports Oracle, Microsoft SQL Server, Teradata, PostgreSQL, MySQL, Snowflake</w:t>
      </w:r>
    </w:p>
    <w:p>
      <w:pPr>
        <w:pStyle w:val="ListParagraph"/>
        <w:numPr>
          <w:ilvl w:val="0"/>
          <w:numId w:val="2"/>
        </w:numPr>
        <w:spacing w:after="80"/>
      </w:pPr>
      <w:r>
        <w:rPr>
          <w:rFonts w:ascii="Arial" w:cs="Arial" w:eastAsia="Arial" w:hAnsi="Arial"/>
          <w:sz w:val="20"/>
          <w:szCs w:val="20"/>
        </w:rPr>
        <w:t xml:space="preserve">Maintains warm connection pools with keep-alive heartbeat: SELECT 1 fired on idle threshold</w:t>
      </w:r>
    </w:p>
    <w:p>
      <w:pPr>
        <w:pStyle w:val="ListParagraph"/>
        <w:numPr>
          <w:ilvl w:val="0"/>
          <w:numId w:val="2"/>
        </w:numPr>
        <w:spacing w:after="80"/>
      </w:pPr>
      <w:r>
        <w:rPr>
          <w:rFonts w:ascii="Arial" w:cs="Arial" w:eastAsia="Arial" w:hAnsi="Arial"/>
          <w:sz w:val="20"/>
          <w:szCs w:val="20"/>
        </w:rPr>
        <w:t xml:space="preserve">Returns results as paginated JSON arrays with column metadata</w:t>
      </w:r>
    </w:p>
    <w:p>
      <w:pPr>
        <w:pStyle w:val="ListParagraph"/>
        <w:numPr>
          <w:ilvl w:val="0"/>
          <w:numId w:val="2"/>
        </w:numPr>
        <w:spacing w:after="80"/>
      </w:pPr>
      <w:r>
        <w:rPr>
          <w:rFonts w:ascii="Arial" w:cs="Arial" w:eastAsia="Arial" w:hAnsi="Arial"/>
          <w:sz w:val="20"/>
          <w:szCs w:val="20"/>
        </w:rPr>
        <w:t xml:space="preserve">Query timeout enforcement (configurable per DB registration)</w:t>
      </w:r>
    </w:p>
    <w:p>
      <w:pPr>
        <w:pStyle w:val="ListParagraph"/>
        <w:numPr>
          <w:ilvl w:val="0"/>
          <w:numId w:val="2"/>
        </w:numPr>
        <w:spacing w:after="80"/>
      </w:pPr>
      <w:r>
        <w:rPr>
          <w:rFonts w:ascii="Arial" w:cs="Arial" w:eastAsia="Arial" w:hAnsi="Arial"/>
          <w:sz w:val="20"/>
          <w:szCs w:val="20"/>
        </w:rPr>
        <w:t xml:space="preserve">Full query audit log written to MongoDB for lineage and governance</w:t>
      </w:r>
    </w:p>
    <w:p>
      <w:pPr>
        <w:spacing w:after="120"/>
      </w:pPr>
      <w:r>
        <w:t xml:space="preserve"/>
      </w:r>
    </w:p>
    <w:p>
      <w:pPr>
        <w:pStyle w:val="Heading2"/>
        <w:spacing w:after="140" w:before="280"/>
      </w:pPr>
      <w:r>
        <w:rPr>
          <w:rFonts w:ascii="Arial" w:cs="Arial" w:eastAsia="Arial" w:hAnsi="Arial"/>
          <w:b/>
          <w:bCs/>
          <w:color w:val="2E5FA3"/>
          <w:sz w:val="28"/>
          <w:szCs w:val="28"/>
        </w:rPr>
        <w:t xml:space="preserve">3.2  Connection Warm-Up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DE5" w:sz="1"/>
              <w:left w:val="single" w:color="BBCDE5" w:sz="1"/>
              <w:bottom w:val="single" w:color="BBCDE5" w:sz="1"/>
              <w:right w:val="single" w:color="BBCDE5" w:sz="1"/>
            </w:tcBorders>
            <w:shd w:fill="C8DAF5" w:val="clear"/>
            <w:tcMar>
              <w:top w:type="dxa" w:w="70"/>
              <w:left w:type="dxa" w:w="120"/>
              <w:bottom w:type="dxa" w:w="70"/>
              <w:right w:type="dxa" w:w="120"/>
            </w:tcMar>
            <w:vAlign w:val="center"/>
          </w:tcPr>
          <w:p>
            <w:r>
              <w:rPr>
                <w:rFonts w:ascii="Arial" w:cs="Arial" w:eastAsia="Arial" w:hAnsi="Arial"/>
                <w:b/>
                <w:bCs/>
                <w:color w:val="000000"/>
                <w:sz w:val="19"/>
                <w:szCs w:val="19"/>
              </w:rPr>
              <w:t xml:space="preserve">Heartbeat Query</w:t>
            </w:r>
          </w:p>
        </w:tc>
        <w:tc>
          <w:tcPr>
            <w:tcW w:type="dxa" w:w="63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SELECT 1  (standard across all supported RDBMS)</w:t>
            </w:r>
          </w:p>
        </w:tc>
      </w:tr>
      <w:tr>
        <w:tc>
          <w:tcPr>
            <w:tcW w:type="dxa" w:w="3000"/>
            <w:tcBorders>
              <w:top w:val="single" w:color="BBCDE5" w:sz="1"/>
              <w:left w:val="single" w:color="BBCDE5" w:sz="1"/>
              <w:bottom w:val="single" w:color="BBCDE5" w:sz="1"/>
              <w:right w:val="single" w:color="BBCDE5" w:sz="1"/>
            </w:tcBorders>
            <w:shd w:fill="C8DAF5" w:val="clear"/>
            <w:tcMar>
              <w:top w:type="dxa" w:w="70"/>
              <w:left w:type="dxa" w:w="120"/>
              <w:bottom w:type="dxa" w:w="70"/>
              <w:right w:type="dxa" w:w="120"/>
            </w:tcMar>
            <w:vAlign w:val="center"/>
          </w:tcPr>
          <w:p>
            <w:r>
              <w:rPr>
                <w:rFonts w:ascii="Arial" w:cs="Arial" w:eastAsia="Arial" w:hAnsi="Arial"/>
                <w:b/>
                <w:bCs/>
                <w:color w:val="000000"/>
                <w:sz w:val="19"/>
                <w:szCs w:val="19"/>
              </w:rPr>
              <w:t xml:space="preserve">Idle Threshold</w:t>
            </w:r>
          </w:p>
        </w:tc>
        <w:tc>
          <w:tcPr>
            <w:tcW w:type="dxa" w:w="63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Configurable per connection (default 90 seconds)</w:t>
            </w:r>
          </w:p>
        </w:tc>
      </w:tr>
      <w:tr>
        <w:tc>
          <w:tcPr>
            <w:tcW w:type="dxa" w:w="3000"/>
            <w:tcBorders>
              <w:top w:val="single" w:color="BBCDE5" w:sz="1"/>
              <w:left w:val="single" w:color="BBCDE5" w:sz="1"/>
              <w:bottom w:val="single" w:color="BBCDE5" w:sz="1"/>
              <w:right w:val="single" w:color="BBCDE5" w:sz="1"/>
            </w:tcBorders>
            <w:shd w:fill="C8DAF5" w:val="clear"/>
            <w:tcMar>
              <w:top w:type="dxa" w:w="70"/>
              <w:left w:type="dxa" w:w="120"/>
              <w:bottom w:type="dxa" w:w="70"/>
              <w:right w:type="dxa" w:w="120"/>
            </w:tcMar>
            <w:vAlign w:val="center"/>
          </w:tcPr>
          <w:p>
            <w:r>
              <w:rPr>
                <w:rFonts w:ascii="Arial" w:cs="Arial" w:eastAsia="Arial" w:hAnsi="Arial"/>
                <w:b/>
                <w:bCs/>
                <w:color w:val="000000"/>
                <w:sz w:val="19"/>
                <w:szCs w:val="19"/>
              </w:rPr>
              <w:t xml:space="preserve">Pool Size</w:t>
            </w:r>
          </w:p>
        </w:tc>
        <w:tc>
          <w:tcPr>
            <w:tcW w:type="dxa" w:w="63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Min 2 / Max 20 per registered DB (configurable)</w:t>
            </w:r>
          </w:p>
        </w:tc>
      </w:tr>
      <w:tr>
        <w:tc>
          <w:tcPr>
            <w:tcW w:type="dxa" w:w="3000"/>
            <w:tcBorders>
              <w:top w:val="single" w:color="BBCDE5" w:sz="1"/>
              <w:left w:val="single" w:color="BBCDE5" w:sz="1"/>
              <w:bottom w:val="single" w:color="BBCDE5" w:sz="1"/>
              <w:right w:val="single" w:color="BBCDE5" w:sz="1"/>
            </w:tcBorders>
            <w:shd w:fill="C8DAF5" w:val="clear"/>
            <w:tcMar>
              <w:top w:type="dxa" w:w="70"/>
              <w:left w:type="dxa" w:w="120"/>
              <w:bottom w:type="dxa" w:w="70"/>
              <w:right w:type="dxa" w:w="120"/>
            </w:tcMar>
            <w:vAlign w:val="center"/>
          </w:tcPr>
          <w:p>
            <w:r>
              <w:rPr>
                <w:rFonts w:ascii="Arial" w:cs="Arial" w:eastAsia="Arial" w:hAnsi="Arial"/>
                <w:b/>
                <w:bCs/>
                <w:color w:val="000000"/>
                <w:sz w:val="19"/>
                <w:szCs w:val="19"/>
              </w:rPr>
              <w:t xml:space="preserve">Reconnect Policy</w:t>
            </w:r>
          </w:p>
        </w:tc>
        <w:tc>
          <w:tcPr>
            <w:tcW w:type="dxa" w:w="63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Exponential back-off: 1s → 2s → 4s → 8s → 16s (max 5 retries)</w:t>
            </w:r>
          </w:p>
        </w:tc>
      </w:tr>
      <w:tr>
        <w:tc>
          <w:tcPr>
            <w:tcW w:type="dxa" w:w="3000"/>
            <w:tcBorders>
              <w:top w:val="single" w:color="BBCDE5" w:sz="1"/>
              <w:left w:val="single" w:color="BBCDE5" w:sz="1"/>
              <w:bottom w:val="single" w:color="BBCDE5" w:sz="1"/>
              <w:right w:val="single" w:color="BBCDE5" w:sz="1"/>
            </w:tcBorders>
            <w:shd w:fill="C8DAF5" w:val="clear"/>
            <w:tcMar>
              <w:top w:type="dxa" w:w="70"/>
              <w:left w:type="dxa" w:w="120"/>
              <w:bottom w:type="dxa" w:w="70"/>
              <w:right w:type="dxa" w:w="120"/>
            </w:tcMar>
            <w:vAlign w:val="center"/>
          </w:tcPr>
          <w:p>
            <w:r>
              <w:rPr>
                <w:rFonts w:ascii="Arial" w:cs="Arial" w:eastAsia="Arial" w:hAnsi="Arial"/>
                <w:b/>
                <w:bCs/>
                <w:color w:val="000000"/>
                <w:sz w:val="19"/>
                <w:szCs w:val="19"/>
              </w:rPr>
              <w:t xml:space="preserve">Health Check Endpoint</w:t>
            </w:r>
          </w:p>
        </w:tc>
        <w:tc>
          <w:tcPr>
            <w:tcW w:type="dxa" w:w="63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GET /internal/gateway/health/{db_ref_id}</w:t>
            </w:r>
          </w:p>
        </w:tc>
      </w:tr>
    </w:tbl>
    <w:p>
      <w:pPr>
        <w:spacing w:after="120"/>
      </w:pPr>
      <w:r>
        <w:t xml:space="preserve"/>
      </w:r>
    </w:p>
    <w:p>
      <w:pPr>
        <w:pStyle w:val="Heading2"/>
        <w:spacing w:after="140" w:before="280"/>
      </w:pPr>
      <w:r>
        <w:rPr>
          <w:rFonts w:ascii="Arial" w:cs="Arial" w:eastAsia="Arial" w:hAnsi="Arial"/>
          <w:b/>
          <w:bCs/>
          <w:color w:val="2E5FA3"/>
          <w:sz w:val="28"/>
          <w:szCs w:val="28"/>
        </w:rPr>
        <w:t xml:space="preserve">3.3  API Collection — DataGateway (/sor/db/*)</w:t>
      </w:r>
    </w:p>
    <w:p>
      <w:pPr>
        <w:spacing w:after="100"/>
      </w:pPr>
      <w:r>
        <w:rPr>
          <w:rFonts w:ascii="Arial" w:cs="Arial" w:eastAsia="Arial" w:hAnsi="Arial"/>
          <w:color w:val="111111"/>
          <w:sz w:val="20"/>
          <w:szCs w:val="20"/>
        </w:rPr>
        <w:t xml:space="preserve">All /sor/db/* endpoints execute pre-registered SQL queries. The path encodes the database reference and query slot. Agents call these endpoints without needing to know the underlying SQL or connection details.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00"/>
        <w:gridCol w:w="1200"/>
        <w:gridCol w:w="1860"/>
      </w:tblGrid>
      <w:tr>
        <w:trPr>
          <w:tblHeader/>
        </w:trPr>
        <w:tc>
          <w:tcPr>
            <w:tcW w:type="dxa" w:w="10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 Path</w:t>
            </w:r>
          </w:p>
        </w:tc>
        <w:tc>
          <w:tcPr>
            <w:tcW w:type="dxa" w:w="25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18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/sor/db/{db_name}/{table_sql_ref}</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Execute a registered SQL query against the named database. Body can pass bind parameters.</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ResultSet JSON</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/sor/db/{db_name}/{table_sql_ref}</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Execute a read-only registered query (GET-safe queries only — no DML).</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ResultSet JSON</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/sor/db/{db_name}/table/{table_sql_01}</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Execute registered query slot 01 for given database (first registered SQL definition).</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ResultSet JSON</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/sor/db/{db_name}/table/{table_sql_02}</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Execute registered query slot 02 — second SQL definition for same database.</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ResultSet JSON</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/sor/db/{db_name}/query/raw</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Execute an ad-hoc SQL query string (restricted to READ-ONLY; requires elevated scope).</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JWT+SCOPE</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ResultSet JSON</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/sor/db/{db_name}/ping</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Fire SELECT 1 against the target database and return latency / connection status.</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Health JSON</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/sor/db/{db_name}/schema</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Return the schema metadata (tables, columns, types) for the registered database.</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Schema JSON</w:t>
            </w:r>
          </w:p>
        </w:tc>
      </w:tr>
      <w:tr>
        <w:tc>
          <w:tcPr>
            <w:tcW w:type="dxa" w:w="1000"/>
            <w:tcBorders>
              <w:top w:val="single" w:color="BBCDE5" w:sz="1"/>
              <w:left w:val="single" w:color="BBCDE5" w:sz="1"/>
              <w:bottom w:val="single" w:color="BBCDE5" w:sz="1"/>
              <w:right w:val="single" w:color="BBCDE5" w:sz="1"/>
            </w:tcBorders>
            <w:shd w:fill="C0392B"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DELETE</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/sor/db/{db_name}/pool/drain</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Gracefully drain and close all pooled connections for a database (maintenance use).</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JWT+ADMIN</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204 No Content</w:t>
            </w:r>
          </w:p>
        </w:tc>
      </w:tr>
    </w:tbl>
    <w:p>
      <w:pPr>
        <w:spacing w:after="120"/>
      </w:pPr>
      <w:r>
        <w:t xml:space="preserve"/>
      </w:r>
    </w:p>
    <w:p>
      <w:pPr>
        <w:pStyle w:val="Heading2"/>
        <w:spacing w:after="140" w:before="280"/>
      </w:pPr>
      <w:r>
        <w:rPr>
          <w:rFonts w:ascii="Arial" w:cs="Arial" w:eastAsia="Arial" w:hAnsi="Arial"/>
          <w:b/>
          <w:bCs/>
          <w:color w:val="2E5FA3"/>
          <w:sz w:val="28"/>
          <w:szCs w:val="28"/>
        </w:rPr>
        <w:t xml:space="preserve">3.4  Request / Response Schemas</w:t>
      </w:r>
    </w:p>
    <w:p>
      <w:pPr>
        <w:pStyle w:val="Heading3"/>
        <w:spacing w:after="100" w:before="200"/>
      </w:pPr>
      <w:r>
        <w:rPr>
          <w:rFonts w:ascii="Arial" w:cs="Arial" w:eastAsia="Arial" w:hAnsi="Arial"/>
          <w:b/>
          <w:bCs/>
          <w:color w:val="0078D4"/>
          <w:sz w:val="24"/>
          <w:szCs w:val="24"/>
        </w:rPr>
        <w:t xml:space="preserve">POST /sor/db/{db_name}/{table_sql_ref} —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800"/>
        <w:gridCol w:w="4760"/>
      </w:tblGrid>
      <w:tr>
        <w:trPr>
          <w:tblHeader/>
        </w:trPr>
        <w:tc>
          <w:tcPr>
            <w:tcW w:type="dxa" w:w="2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8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w:t>
            </w:r>
          </w:p>
        </w:tc>
        <w:tc>
          <w:tcPr>
            <w:tcW w:type="dxa" w:w="47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db_name</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Registered database identifier (matches Onboarding record).</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table_sql_ref</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SQL slot reference — e.g. table_sql_01, table_sql_02.</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params</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object</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Named bind parameters for parameterised queries: { key: value }.</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page</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integer</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Page number for paginated result sets (default: 1).</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page_size</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integer</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Rows per page (default: 100, max: 5000).</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timeout_ms</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integer</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Query timeout in milliseconds (default: 30000).</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trace_id</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Caller-supplied trace ID for distributed tracing (X-Trace-Id).</w:t>
            </w:r>
          </w:p>
        </w:tc>
      </w:tr>
    </w:tbl>
    <w:p>
      <w:pPr>
        <w:spacing w:after="120"/>
      </w:pPr>
      <w:r>
        <w:t xml:space="preserve"/>
      </w:r>
    </w:p>
    <w:p>
      <w:pPr>
        <w:pStyle w:val="Heading3"/>
        <w:spacing w:after="100" w:before="200"/>
      </w:pPr>
      <w:r>
        <w:rPr>
          <w:rFonts w:ascii="Arial" w:cs="Arial" w:eastAsia="Arial" w:hAnsi="Arial"/>
          <w:b/>
          <w:bCs/>
          <w:color w:val="0078D4"/>
          <w:sz w:val="24"/>
          <w:szCs w:val="24"/>
        </w:rPr>
        <w:t xml:space="preserve">Response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800"/>
        <w:gridCol w:w="4760"/>
      </w:tblGrid>
      <w:tr>
        <w:trPr>
          <w:tblHeader/>
        </w:trPr>
        <w:tc>
          <w:tcPr>
            <w:tcW w:type="dxa" w:w="2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8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w:t>
            </w:r>
          </w:p>
        </w:tc>
        <w:tc>
          <w:tcPr>
            <w:tcW w:type="dxa" w:w="47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status</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SUCCESS | ERROR | TIMEOUT</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db_name</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Echo of the target database identifier.</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sql_ref</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Echo of the SQL slot reference executed.</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row_count</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integer</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Total rows matched (before pagination).</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page</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integer</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Current page returned.</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columns</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array</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Column metadata array: [{ name, type, nullable }].</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rows</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array</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Array of row objects keyed by column name.</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execution_ms</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integer</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Query wall-clock execution time in milliseconds.</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trace_id</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Trace ID for correlation.</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4.  SERVICE 1b  —  ONBOARDING API</w:t>
            </w:r>
          </w:p>
        </w:tc>
      </w:tr>
    </w:tbl>
    <w:p>
      <w:pPr>
        <w:spacing w:after="120"/>
      </w:pPr>
      <w:r>
        <w:t xml:space="preserve"/>
      </w:r>
    </w:p>
    <w:p>
      <w:pPr>
        <w:pStyle w:val="Heading2"/>
        <w:spacing w:after="140" w:before="280"/>
      </w:pPr>
      <w:r>
        <w:rPr>
          <w:rFonts w:ascii="Arial" w:cs="Arial" w:eastAsia="Arial" w:hAnsi="Arial"/>
          <w:b/>
          <w:bCs/>
          <w:color w:val="2E5FA3"/>
          <w:sz w:val="28"/>
          <w:szCs w:val="28"/>
        </w:rPr>
        <w:t xml:space="preserve">4.1  Purpose &amp; Responsibilities</w:t>
      </w:r>
    </w:p>
    <w:p>
      <w:pPr>
        <w:spacing w:after="100"/>
      </w:pPr>
      <w:r>
        <w:rPr>
          <w:rFonts w:ascii="Arial" w:cs="Arial" w:eastAsia="Arial" w:hAnsi="Arial"/>
          <w:color w:val="111111"/>
          <w:sz w:val="20"/>
          <w:szCs w:val="20"/>
        </w:rPr>
        <w:t xml:space="preserve">The Onboarding API is the self-service registration surface for the O2A platform. Operators and developers register databases (as tool definitions with associated SQL queries) and APIs (individual endpoints or full collections, synchronous or asynchronous) through this service.</w:t>
      </w:r>
    </w:p>
    <w:p>
      <w:pPr>
        <w:spacing w:after="120"/>
      </w:pPr>
      <w:r>
        <w:t xml:space="preserve"/>
      </w:r>
    </w:p>
    <w:p>
      <w:pPr>
        <w:pStyle w:val="ListParagraph"/>
        <w:numPr>
          <w:ilvl w:val="0"/>
          <w:numId w:val="2"/>
        </w:numPr>
        <w:spacing w:after="80"/>
      </w:pPr>
      <w:r>
        <w:rPr>
          <w:rFonts w:ascii="Arial" w:cs="Arial" w:eastAsia="Arial" w:hAnsi="Arial"/>
          <w:sz w:val="20"/>
          <w:szCs w:val="20"/>
        </w:rPr>
        <w:t xml:space="preserve">Register databases with connection parameters; credentials written to Vault via API</w:t>
      </w:r>
    </w:p>
    <w:p>
      <w:pPr>
        <w:pStyle w:val="ListParagraph"/>
        <w:numPr>
          <w:ilvl w:val="0"/>
          <w:numId w:val="2"/>
        </w:numPr>
        <w:spacing w:after="80"/>
      </w:pPr>
      <w:r>
        <w:rPr>
          <w:rFonts w:ascii="Arial" w:cs="Arial" w:eastAsia="Arial" w:hAnsi="Arial"/>
          <w:sz w:val="20"/>
          <w:szCs w:val="20"/>
        </w:rPr>
        <w:t xml:space="preserve">Register individual SQL queries as named tool slots (table_sql_01, table_sql_02 …)</w:t>
      </w:r>
    </w:p>
    <w:p>
      <w:pPr>
        <w:pStyle w:val="ListParagraph"/>
        <w:numPr>
          <w:ilvl w:val="0"/>
          <w:numId w:val="2"/>
        </w:numPr>
        <w:spacing w:after="80"/>
      </w:pPr>
      <w:r>
        <w:rPr>
          <w:rFonts w:ascii="Arial" w:cs="Arial" w:eastAsia="Arial" w:hAnsi="Arial"/>
          <w:sz w:val="20"/>
          <w:szCs w:val="20"/>
        </w:rPr>
        <w:t xml:space="preserve">Register individual REST APIs or full API collections (sync / async)</w:t>
      </w:r>
    </w:p>
    <w:p>
      <w:pPr>
        <w:pStyle w:val="ListParagraph"/>
        <w:numPr>
          <w:ilvl w:val="0"/>
          <w:numId w:val="2"/>
        </w:numPr>
        <w:spacing w:after="80"/>
      </w:pPr>
      <w:r>
        <w:rPr>
          <w:rFonts w:ascii="Arial" w:cs="Arial" w:eastAsia="Arial" w:hAnsi="Arial"/>
          <w:sz w:val="20"/>
          <w:szCs w:val="20"/>
        </w:rPr>
        <w:t xml:space="preserve">Manages tool versioning, tagging, and lifecycle (draft → active → deprecated)</w:t>
      </w:r>
    </w:p>
    <w:p>
      <w:pPr>
        <w:pStyle w:val="ListParagraph"/>
        <w:numPr>
          <w:ilvl w:val="0"/>
          <w:numId w:val="2"/>
        </w:numPr>
        <w:spacing w:after="80"/>
      </w:pPr>
      <w:r>
        <w:rPr>
          <w:rFonts w:ascii="Arial" w:cs="Arial" w:eastAsia="Arial" w:hAnsi="Arial"/>
          <w:sz w:val="20"/>
          <w:szCs w:val="20"/>
        </w:rPr>
        <w:t xml:space="preserve">Triggers DDC enrichment job on each successful database/table registration</w:t>
      </w:r>
    </w:p>
    <w:p>
      <w:pPr>
        <w:spacing w:after="120"/>
      </w:pPr>
      <w:r>
        <w:t xml:space="preserve"/>
      </w:r>
    </w:p>
    <w:p>
      <w:pPr>
        <w:pStyle w:val="Heading2"/>
        <w:spacing w:after="140" w:before="280"/>
      </w:pPr>
      <w:r>
        <w:rPr>
          <w:rFonts w:ascii="Arial" w:cs="Arial" w:eastAsia="Arial" w:hAnsi="Arial"/>
          <w:b/>
          <w:bCs/>
          <w:color w:val="2E5FA3"/>
          <w:sz w:val="28"/>
          <w:szCs w:val="28"/>
        </w:rPr>
        <w:t xml:space="preserve">4.2  Database Onboarding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00"/>
        <w:gridCol w:w="1200"/>
        <w:gridCol w:w="1860"/>
      </w:tblGrid>
      <w:tr>
        <w:trPr>
          <w:tblHeader/>
        </w:trPr>
        <w:tc>
          <w:tcPr>
            <w:tcW w:type="dxa" w:w="10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 Path</w:t>
            </w:r>
          </w:p>
        </w:tc>
        <w:tc>
          <w:tcPr>
            <w:tcW w:type="dxa" w:w="25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18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/onboard/db</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Register a new database connection. Stores config in MongoDB; credentials in Vault.</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JWT+ADMIN</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201 DB Record</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/onboard/db</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List all registered databases with status (active/inactive), type, and health.</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DB List</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/onboard/db/{db_ref_id}</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Get full registration details for a single database including connection metadata.</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DB Record</w:t>
            </w:r>
          </w:p>
        </w:tc>
      </w:tr>
      <w:tr>
        <w:tc>
          <w:tcPr>
            <w:tcW w:type="dxa" w:w="1000"/>
            <w:tcBorders>
              <w:top w:val="single" w:color="BBCDE5" w:sz="1"/>
              <w:left w:val="single" w:color="BBCDE5" w:sz="1"/>
              <w:bottom w:val="single" w:color="BBCDE5" w:sz="1"/>
              <w:right w:val="single" w:color="BBCDE5" w:sz="1"/>
            </w:tcBorders>
            <w:shd w:fill="E67E22"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PUT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/onboard/db/{db_ref_id}</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Update database connection parameters (triggers Vault credential rotation if creds changed).</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JWT+ADMIN</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Updated</w:t>
            </w:r>
          </w:p>
        </w:tc>
      </w:tr>
      <w:tr>
        <w:tc>
          <w:tcPr>
            <w:tcW w:type="dxa" w:w="1000"/>
            <w:tcBorders>
              <w:top w:val="single" w:color="BBCDE5" w:sz="1"/>
              <w:left w:val="single" w:color="BBCDE5" w:sz="1"/>
              <w:bottom w:val="single" w:color="BBCDE5" w:sz="1"/>
              <w:right w:val="single" w:color="BBCDE5" w:sz="1"/>
            </w:tcBorders>
            <w:shd w:fill="C0392B"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DELETE</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/onboard/db/{db_ref_id}</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Decommission a database registration. Drains connections, marks record as deprecated.</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JWT+ADMIN</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204 No Content</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/onboard/db/{db_ref_id}/sql</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Register a named SQL query slot against an existing database registration.</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JWT+ADMIN</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201 SQL Slot</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/onboard/db/{db_ref_id}/sql</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List all SQL query slots registered for a database.</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SQL List</w:t>
            </w:r>
          </w:p>
        </w:tc>
      </w:tr>
      <w:tr>
        <w:tc>
          <w:tcPr>
            <w:tcW w:type="dxa" w:w="1000"/>
            <w:tcBorders>
              <w:top w:val="single" w:color="BBCDE5" w:sz="1"/>
              <w:left w:val="single" w:color="BBCDE5" w:sz="1"/>
              <w:bottom w:val="single" w:color="BBCDE5" w:sz="1"/>
              <w:right w:val="single" w:color="BBCDE5" w:sz="1"/>
            </w:tcBorders>
            <w:shd w:fill="E67E22"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PUT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/onboard/db/{db_ref_id}/sql/{slot_id}</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Update an existing SQL slot definition (increments version).</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JWT+ADMIN</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Updated Slot</w:t>
            </w:r>
          </w:p>
        </w:tc>
      </w:tr>
      <w:tr>
        <w:tc>
          <w:tcPr>
            <w:tcW w:type="dxa" w:w="1000"/>
            <w:tcBorders>
              <w:top w:val="single" w:color="BBCDE5" w:sz="1"/>
              <w:left w:val="single" w:color="BBCDE5" w:sz="1"/>
              <w:bottom w:val="single" w:color="BBCDE5" w:sz="1"/>
              <w:right w:val="single" w:color="BBCDE5" w:sz="1"/>
            </w:tcBorders>
            <w:shd w:fill="C0392B"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DELETE</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/onboard/db/{db_ref_id}/sql/{slot_id}</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Remove a SQL slot (does not remove parent DB registration).</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JWT+ADMIN</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204 No Content</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/onboard/db/{db_ref_id}/test</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Test connectivity and credentials for an existing database registration.</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JWT+ADMIN</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Test Result</w:t>
            </w:r>
          </w:p>
        </w:tc>
      </w:tr>
    </w:tbl>
    <w:p>
      <w:pPr>
        <w:spacing w:after="120"/>
      </w:pPr>
      <w:r>
        <w:t xml:space="preserve"/>
      </w:r>
    </w:p>
    <w:p>
      <w:pPr>
        <w:pStyle w:val="Heading2"/>
        <w:spacing w:after="140" w:before="280"/>
      </w:pPr>
      <w:r>
        <w:rPr>
          <w:rFonts w:ascii="Arial" w:cs="Arial" w:eastAsia="Arial" w:hAnsi="Arial"/>
          <w:b/>
          <w:bCs/>
          <w:color w:val="2E5FA3"/>
          <w:sz w:val="28"/>
          <w:szCs w:val="28"/>
        </w:rPr>
        <w:t xml:space="preserve">4.3  API Onboarding Endpoints —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00"/>
        <w:gridCol w:w="1200"/>
        <w:gridCol w:w="1860"/>
      </w:tblGrid>
      <w:tr>
        <w:trPr>
          <w:tblHeader/>
        </w:trPr>
        <w:tc>
          <w:tcPr>
            <w:tcW w:type="dxa" w:w="10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 Path</w:t>
            </w:r>
          </w:p>
        </w:tc>
        <w:tc>
          <w:tcPr>
            <w:tcW w:type="dxa" w:w="25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18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/onboard/api/sync</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Register a single synchronous API endpoint. Stores spec, auth config, and base URL.</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JWT+ADMIN</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201 API Record</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/onboard/api/sync/collection</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Register a synchronous API collection (multiple endpoints grouped under one name).</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JWT+ADMIN</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201 Collection</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/onboard/api/sync</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List all registered synchronous APIs and collections.</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API List</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/onboard/api/sync/{api_id}</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Retrieve full registration details for a single synchronous API.</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API Record</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/onboard/api/sync/collection/{coll_id}</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Retrieve all endpoints within a synchronous API collection.</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Collection</w:t>
            </w:r>
          </w:p>
        </w:tc>
      </w:tr>
      <w:tr>
        <w:tc>
          <w:tcPr>
            <w:tcW w:type="dxa" w:w="1000"/>
            <w:tcBorders>
              <w:top w:val="single" w:color="BBCDE5" w:sz="1"/>
              <w:left w:val="single" w:color="BBCDE5" w:sz="1"/>
              <w:bottom w:val="single" w:color="BBCDE5" w:sz="1"/>
              <w:right w:val="single" w:color="BBCDE5" w:sz="1"/>
            </w:tcBorders>
            <w:shd w:fill="E67E22"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PUT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/onboard/api/sync/{api_id}</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Update a synchronous API registration (spec, auth, base URL).</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JWT+ADMIN</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Updated</w:t>
            </w:r>
          </w:p>
        </w:tc>
      </w:tr>
      <w:tr>
        <w:tc>
          <w:tcPr>
            <w:tcW w:type="dxa" w:w="1000"/>
            <w:tcBorders>
              <w:top w:val="single" w:color="BBCDE5" w:sz="1"/>
              <w:left w:val="single" w:color="BBCDE5" w:sz="1"/>
              <w:bottom w:val="single" w:color="BBCDE5" w:sz="1"/>
              <w:right w:val="single" w:color="BBCDE5" w:sz="1"/>
            </w:tcBorders>
            <w:shd w:fill="C0392B"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DELETE</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/onboard/api/sync/{api_id}</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Decommission a synchronous API registration.</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JWT+ADMIN</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204 No Content</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/onboard/api/sync/{api_id}/test</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Execute a test call against the registered synchronous API endpoint.</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JWT+ADMIN</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Test Result</w:t>
            </w:r>
          </w:p>
        </w:tc>
      </w:tr>
    </w:tbl>
    <w:p>
      <w:pPr>
        <w:spacing w:after="120"/>
      </w:pPr>
      <w:r>
        <w:t xml:space="preserve"/>
      </w:r>
    </w:p>
    <w:p>
      <w:pPr>
        <w:pStyle w:val="Heading2"/>
        <w:spacing w:after="140" w:before="280"/>
      </w:pPr>
      <w:r>
        <w:rPr>
          <w:rFonts w:ascii="Arial" w:cs="Arial" w:eastAsia="Arial" w:hAnsi="Arial"/>
          <w:b/>
          <w:bCs/>
          <w:color w:val="2E5FA3"/>
          <w:sz w:val="28"/>
          <w:szCs w:val="28"/>
        </w:rPr>
        <w:t xml:space="preserve">4.4  API Onboarding Endpoints — Async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00"/>
        <w:gridCol w:w="1200"/>
        <w:gridCol w:w="1860"/>
      </w:tblGrid>
      <w:tr>
        <w:trPr>
          <w:tblHeader/>
        </w:trPr>
        <w:tc>
          <w:tcPr>
            <w:tcW w:type="dxa" w:w="10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 Path</w:t>
            </w:r>
          </w:p>
        </w:tc>
        <w:tc>
          <w:tcPr>
            <w:tcW w:type="dxa" w:w="25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18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/onboard/api/async</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Register an asynchronous API endpoint (webhook, event, queue-backed). Stores callback config.</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JWT+ADMIN</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201 API Record</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/onboard/api/async/collection</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Register an asynchronous API collection.</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JWT+ADMIN</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201 Collection</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/onboard/api/async</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List all registered asynchronous APIs and collections.</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API List</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/onboard/api/async/{api_id}</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Retrieve full registration details for a single asynchronous API.</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API Record</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/onboard/api/async/collection/{coll_id}</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Retrieve all endpoints within an asynchronous API collection.</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Collection</w:t>
            </w:r>
          </w:p>
        </w:tc>
      </w:tr>
      <w:tr>
        <w:tc>
          <w:tcPr>
            <w:tcW w:type="dxa" w:w="1000"/>
            <w:tcBorders>
              <w:top w:val="single" w:color="BBCDE5" w:sz="1"/>
              <w:left w:val="single" w:color="BBCDE5" w:sz="1"/>
              <w:bottom w:val="single" w:color="BBCDE5" w:sz="1"/>
              <w:right w:val="single" w:color="BBCDE5" w:sz="1"/>
            </w:tcBorders>
            <w:shd w:fill="E67E22"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PUT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/onboard/api/async/{api_id}</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Update an asynchronous API registration.</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JWT+ADMIN</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Updated</w:t>
            </w:r>
          </w:p>
        </w:tc>
      </w:tr>
      <w:tr>
        <w:tc>
          <w:tcPr>
            <w:tcW w:type="dxa" w:w="1000"/>
            <w:tcBorders>
              <w:top w:val="single" w:color="BBCDE5" w:sz="1"/>
              <w:left w:val="single" w:color="BBCDE5" w:sz="1"/>
              <w:bottom w:val="single" w:color="BBCDE5" w:sz="1"/>
              <w:right w:val="single" w:color="BBCDE5" w:sz="1"/>
            </w:tcBorders>
            <w:shd w:fill="C0392B"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DELETE</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/onboard/api/async/{api_id}</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Decommission an asynchronous API registration.</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JWT+ADMIN</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204 No Content</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/onboard/api/async/{api_id}/subscribe</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Register a webhook callback URL to receive events from an async API.</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Subscription</w:t>
            </w:r>
          </w:p>
        </w:tc>
      </w:tr>
    </w:tbl>
    <w:p>
      <w:pPr>
        <w:spacing w:after="120"/>
      </w:pPr>
      <w:r>
        <w:t xml:space="preserve"/>
      </w:r>
    </w:p>
    <w:p>
      <w:pPr>
        <w:pStyle w:val="Heading2"/>
        <w:spacing w:after="140" w:before="280"/>
      </w:pPr>
      <w:r>
        <w:rPr>
          <w:rFonts w:ascii="Arial" w:cs="Arial" w:eastAsia="Arial" w:hAnsi="Arial"/>
          <w:b/>
          <w:bCs/>
          <w:color w:val="2E5FA3"/>
          <w:sz w:val="28"/>
          <w:szCs w:val="28"/>
        </w:rPr>
        <w:t xml:space="preserve">4.5  Onboarding Request Schemas</w:t>
      </w:r>
    </w:p>
    <w:p>
      <w:pPr>
        <w:pStyle w:val="Heading3"/>
        <w:spacing w:after="100" w:before="200"/>
      </w:pPr>
      <w:r>
        <w:rPr>
          <w:rFonts w:ascii="Arial" w:cs="Arial" w:eastAsia="Arial" w:hAnsi="Arial"/>
          <w:b/>
          <w:bCs/>
          <w:color w:val="0078D4"/>
          <w:sz w:val="24"/>
          <w:szCs w:val="24"/>
        </w:rPr>
        <w:t xml:space="preserve">POST /onboard/db — Register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800"/>
        <w:gridCol w:w="4760"/>
      </w:tblGrid>
      <w:tr>
        <w:trPr>
          <w:tblHeader/>
        </w:trPr>
        <w:tc>
          <w:tcPr>
            <w:tcW w:type="dxa" w:w="2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8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w:t>
            </w:r>
          </w:p>
        </w:tc>
        <w:tc>
          <w:tcPr>
            <w:tcW w:type="dxa" w:w="47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db_name</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Unique logical identifier for the database within the O2A platform.</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db_type</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enum</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ORACLE | SQLSERVER | TERADATA | POSTGRESQL | MYSQL | SNOWFLAKE</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host</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Database hostname or IP.</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port</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integer</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Database port number.</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database</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Schema / database name to connect to.</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username</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Service account username (stored in Vault).</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password</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Service account password (stored in Vault — never persisted in MongoDB).</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description</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Human-readable description of this database for the DDC and Tool Registry.</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tags</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array</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Classification tags: [domain, team, environment].</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pool_min</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integer</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Min connections to maintain in pool (default: 2).</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pool_max</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integer</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Max connections allowed in pool (default: 20).</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timeout_ms</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integer</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Default query timeout in ms (default: 30000).</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heartbeat_s</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integer</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Heartbeat interval in seconds (default: 90).</w:t>
            </w:r>
          </w:p>
        </w:tc>
      </w:tr>
    </w:tbl>
    <w:p>
      <w:pPr>
        <w:spacing w:after="120"/>
      </w:pPr>
      <w:r>
        <w:t xml:space="preserve"/>
      </w:r>
    </w:p>
    <w:p>
      <w:pPr>
        <w:pStyle w:val="Heading3"/>
        <w:spacing w:after="100" w:before="200"/>
      </w:pPr>
      <w:r>
        <w:rPr>
          <w:rFonts w:ascii="Arial" w:cs="Arial" w:eastAsia="Arial" w:hAnsi="Arial"/>
          <w:b/>
          <w:bCs/>
          <w:color w:val="0078D4"/>
          <w:sz w:val="24"/>
          <w:szCs w:val="24"/>
        </w:rPr>
        <w:t xml:space="preserve">POST /onboard/db/{db_ref_id}/sql — Register SQL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800"/>
        <w:gridCol w:w="4760"/>
      </w:tblGrid>
      <w:tr>
        <w:trPr>
          <w:tblHeader/>
        </w:trPr>
        <w:tc>
          <w:tcPr>
            <w:tcW w:type="dxa" w:w="2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8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w:t>
            </w:r>
          </w:p>
        </w:tc>
        <w:tc>
          <w:tcPr>
            <w:tcW w:type="dxa" w:w="47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slot_name</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Slot identifier — e.g. table_sql_01, table_sql_02. Used as path segment in /sor/db/.</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sql</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SQL query body. Use :param_name for named bind parameters.</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description</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Natural language description of what this query returns (used by DDC and agent discovery).</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params_schema</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object</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JSON Schema describing expected bind parameters and their types.</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is_readonly</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boolean</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Marks query as read-only (default: true). DML queries require explicit false + elevated scope.</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max_rows</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integer</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Cap on result set size (default: 10000).</w:t>
            </w:r>
          </w:p>
        </w:tc>
      </w:tr>
    </w:tbl>
    <w:p>
      <w:pPr>
        <w:spacing w:after="120"/>
      </w:pPr>
      <w:r>
        <w:t xml:space="preserve"/>
      </w:r>
    </w:p>
    <w:p>
      <w:pPr>
        <w:pStyle w:val="Heading3"/>
        <w:spacing w:after="100" w:before="200"/>
      </w:pPr>
      <w:r>
        <w:rPr>
          <w:rFonts w:ascii="Arial" w:cs="Arial" w:eastAsia="Arial" w:hAnsi="Arial"/>
          <w:b/>
          <w:bCs/>
          <w:color w:val="0078D4"/>
          <w:sz w:val="24"/>
          <w:szCs w:val="24"/>
        </w:rPr>
        <w:t xml:space="preserve">POST /onboard/api/sync — Register Sync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800"/>
        <w:gridCol w:w="4760"/>
      </w:tblGrid>
      <w:tr>
        <w:trPr>
          <w:tblHeader/>
        </w:trPr>
        <w:tc>
          <w:tcPr>
            <w:tcW w:type="dxa" w:w="2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8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w:t>
            </w:r>
          </w:p>
        </w:tc>
        <w:tc>
          <w:tcPr>
            <w:tcW w:type="dxa" w:w="47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api_name</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Unique logical name for this API within the O2A platform.</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base_url</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Base URL of the target API (no trailing slash).</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path</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Endpoint path relative to base_url.</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method</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enum</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HTTP method: GET | POST | PUT | PATCH | DELETE</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auth_type</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enum</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NONE | API_KEY | OAUTH2 | BASIC | JWT</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auth_config</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object</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Auth config details (key name, token URL, scopes). Credentials stored in Vault.</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headers</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object</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Static headers to inject on every request.</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description</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Natural language description used for agent tool discovery.</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input_schema</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object</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JSON Schema of the request body / parameters.</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output_schema</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object</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JSON Schema of the expected response.</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timeout_ms</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integer</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Request timeout in ms (default: 15000).</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tags</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array</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Classification tags for discovery filtering.</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5.  /SOR  —  SYSTEM OF RECORD EXECUTION LAYER</w:t>
            </w:r>
          </w:p>
        </w:tc>
      </w:tr>
    </w:tbl>
    <w:p>
      <w:pPr>
        <w:spacing w:after="120"/>
      </w:pPr>
      <w:r>
        <w:t xml:space="preserve"/>
      </w:r>
    </w:p>
    <w:p>
      <w:pPr>
        <w:spacing w:after="100"/>
      </w:pPr>
      <w:r>
        <w:rPr>
          <w:rFonts w:ascii="Arial" w:cs="Arial" w:eastAsia="Arial" w:hAnsi="Arial"/>
          <w:color w:val="111111"/>
          <w:sz w:val="20"/>
          <w:szCs w:val="20"/>
        </w:rPr>
        <w:t xml:space="preserve">The /sor namespace is the agent execution surface. It is strictly a runtime layer — no onboarding or management operations occur here. Agents call /sor endpoints with the registered identifiers to execute queries and API calls. The /sor layer resolves credentials at runtime from Vault and never exposes them.</w:t>
      </w:r>
    </w:p>
    <w:p>
      <w:pPr>
        <w:spacing w:after="120"/>
      </w:pPr>
      <w:r>
        <w:t xml:space="preserve"/>
      </w:r>
    </w:p>
    <w:p>
      <w:pPr>
        <w:pStyle w:val="Heading2"/>
        <w:spacing w:after="140" w:before="280"/>
      </w:pPr>
      <w:r>
        <w:rPr>
          <w:rFonts w:ascii="Arial" w:cs="Arial" w:eastAsia="Arial" w:hAnsi="Arial"/>
          <w:b/>
          <w:bCs/>
          <w:color w:val="2E5FA3"/>
          <w:sz w:val="28"/>
          <w:szCs w:val="28"/>
        </w:rPr>
        <w:t xml:space="preserve">5.1  Database Execution  (/sor/db/*)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00"/>
        <w:gridCol w:w="1200"/>
        <w:gridCol w:w="1860"/>
      </w:tblGrid>
      <w:tr>
        <w:trPr>
          <w:tblHeader/>
        </w:trPr>
        <w:tc>
          <w:tcPr>
            <w:tcW w:type="dxa" w:w="10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 Path</w:t>
            </w:r>
          </w:p>
        </w:tc>
        <w:tc>
          <w:tcPr>
            <w:tcW w:type="dxa" w:w="25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18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/sor/db/{db_name}/table/{table_sql_01}</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Execute SQL slot 01 registered for db_name. Pass bind params in body.</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ResultSet</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/sor/db/{db_name}/table/{table_sql_02}</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Execute SQL slot 02 registered for db_name.</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ResultSet</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/sor/db/{db_name}/table/{table_sql_N}</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Execute SQL slot N (any registered slot for the database).</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ResultSet</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/sor/db/{db_name}/table/{table_sql_01}</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Execute read-only SQL slot 01 via GET (no body; params as query string).</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ResultSet</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/sor/db/{db_name}/table/{table_sql_02}</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Execute read-only SQL slot 02 via GET.</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ResultSet</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/sor/db/{db_name}/ping</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Heartbeat — fire SELECT 1 and return connection latency.</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Health</w:t>
            </w:r>
          </w:p>
        </w:tc>
      </w:tr>
    </w:tbl>
    <w:p>
      <w:pPr>
        <w:spacing w:after="120"/>
      </w:pPr>
      <w:r>
        <w:t xml:space="preserve"/>
      </w:r>
    </w:p>
    <w:p>
      <w:pPr>
        <w:pStyle w:val="Heading2"/>
        <w:spacing w:after="140" w:before="280"/>
      </w:pPr>
      <w:r>
        <w:rPr>
          <w:rFonts w:ascii="Arial" w:cs="Arial" w:eastAsia="Arial" w:hAnsi="Arial"/>
          <w:b/>
          <w:bCs/>
          <w:color w:val="2E5FA3"/>
          <w:sz w:val="28"/>
          <w:szCs w:val="28"/>
        </w:rPr>
        <w:t xml:space="preserve">5.2  Synchronous API Execution  (/sor/api/sync/*)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00"/>
        <w:gridCol w:w="1200"/>
        <w:gridCol w:w="1860"/>
      </w:tblGrid>
      <w:tr>
        <w:trPr>
          <w:tblHeader/>
        </w:trPr>
        <w:tc>
          <w:tcPr>
            <w:tcW w:type="dxa" w:w="10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 Path</w:t>
            </w:r>
          </w:p>
        </w:tc>
        <w:tc>
          <w:tcPr>
            <w:tcW w:type="dxa" w:w="25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18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/sor/api/sync/{api_name}</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Execute a registered synchronous API call. Gateway resolves credentials and proxies.</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Proxied Response</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/sor/api/sync/{api_name}</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Execute a GET-type synchronous API (query params forwarded).</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Proxied Response</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/sor/api/sync/collection/{coll_name}</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Execute all endpoints in a synchronous collection sequentially.</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BatchResult</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/sor/api/sync/collection/{coll_name}/{api_name}</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Execute a specific API from within a named collection.</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Proxied Response</w:t>
            </w:r>
          </w:p>
        </w:tc>
      </w:tr>
    </w:tbl>
    <w:p>
      <w:pPr>
        <w:spacing w:after="120"/>
      </w:pPr>
      <w:r>
        <w:t xml:space="preserve"/>
      </w:r>
    </w:p>
    <w:p>
      <w:pPr>
        <w:pStyle w:val="Heading2"/>
        <w:spacing w:after="140" w:before="280"/>
      </w:pPr>
      <w:r>
        <w:rPr>
          <w:rFonts w:ascii="Arial" w:cs="Arial" w:eastAsia="Arial" w:hAnsi="Arial"/>
          <w:b/>
          <w:bCs/>
          <w:color w:val="2E5FA3"/>
          <w:sz w:val="28"/>
          <w:szCs w:val="28"/>
        </w:rPr>
        <w:t xml:space="preserve">5.3  Asynchronous API Execution  (/sor/api/async/*)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00"/>
        <w:gridCol w:w="1200"/>
        <w:gridCol w:w="1860"/>
      </w:tblGrid>
      <w:tr>
        <w:trPr>
          <w:tblHeader/>
        </w:trPr>
        <w:tc>
          <w:tcPr>
            <w:tcW w:type="dxa" w:w="10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 Path</w:t>
            </w:r>
          </w:p>
        </w:tc>
        <w:tc>
          <w:tcPr>
            <w:tcW w:type="dxa" w:w="25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18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/sor/api/async/{api_name}</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Submit an asynchronous API call. Returns job_id immediately; result delivered via callback.</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202 Accepted + job_id</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/sor/api/async/{api_name}/status/{job_id}</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Poll the status of an async job (PENDING | RUNNING | COMPLETE | FAILED).</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Job Status</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/sor/api/async/{api_name}/result/{job_id}</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Retrieve the result payload of a completed async job.</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Result Payload</w:t>
            </w:r>
          </w:p>
        </w:tc>
      </w:tr>
      <w:tr>
        <w:tc>
          <w:tcPr>
            <w:tcW w:type="dxa" w:w="1000"/>
            <w:tcBorders>
              <w:top w:val="single" w:color="BBCDE5" w:sz="1"/>
              <w:left w:val="single" w:color="BBCDE5" w:sz="1"/>
              <w:bottom w:val="single" w:color="BBCDE5" w:sz="1"/>
              <w:right w:val="single" w:color="BBCDE5" w:sz="1"/>
            </w:tcBorders>
            <w:shd w:fill="C0392B"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DELETE</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/sor/api/async/{api_name}/cancel/{job_id}</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Cancel a pending or running async job.</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Cancelled</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/sor/api/async/collection/{coll_name}</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Submit all APIs in an async collection as a batch job.</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202 BatchJob</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/sor/api/async/collection/{coll_name}/status/{batch_id}</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Poll overall batch job completion status.</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BatchStatus</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6.  SERVICE 2  —  DATA DICTIONARY CATALOGUE  (DDC)</w:t>
            </w:r>
          </w:p>
        </w:tc>
      </w:tr>
    </w:tbl>
    <w:p>
      <w:pPr>
        <w:spacing w:after="120"/>
      </w:pPr>
      <w:r>
        <w:t xml:space="preserve"/>
      </w:r>
    </w:p>
    <w:p>
      <w:pPr>
        <w:pStyle w:val="Heading2"/>
        <w:spacing w:after="140" w:before="280"/>
      </w:pPr>
      <w:r>
        <w:rPr>
          <w:rFonts w:ascii="Arial" w:cs="Arial" w:eastAsia="Arial" w:hAnsi="Arial"/>
          <w:b/>
          <w:bCs/>
          <w:color w:val="2E5FA3"/>
          <w:sz w:val="28"/>
          <w:szCs w:val="28"/>
        </w:rPr>
        <w:t xml:space="preserve">6.1  Purpose &amp; Responsibilities</w:t>
      </w:r>
    </w:p>
    <w:p>
      <w:pPr>
        <w:spacing w:after="100"/>
      </w:pPr>
      <w:r>
        <w:rPr>
          <w:rFonts w:ascii="Arial" w:cs="Arial" w:eastAsia="Arial" w:hAnsi="Arial"/>
          <w:color w:val="111111"/>
          <w:sz w:val="20"/>
          <w:szCs w:val="20"/>
        </w:rPr>
        <w:t xml:space="preserve">The DDC is the intelligence layer of the O2A platform. It connects to registered databases, samples 20 representative rows per table, and uses Amazon Bedrock (Claude) to generate semantic field descriptions, data type summaries, cardinality estimates, and quality observations. This catalogue is the primary discovery surface for agents.</w:t>
      </w:r>
    </w:p>
    <w:p>
      <w:pPr>
        <w:spacing w:after="120"/>
      </w:pPr>
      <w:r>
        <w:t xml:space="preserve"/>
      </w:r>
    </w:p>
    <w:p>
      <w:pPr>
        <w:pStyle w:val="ListParagraph"/>
        <w:numPr>
          <w:ilvl w:val="0"/>
          <w:numId w:val="2"/>
        </w:numPr>
        <w:spacing w:after="80"/>
      </w:pPr>
      <w:r>
        <w:rPr>
          <w:rFonts w:ascii="Arial" w:cs="Arial" w:eastAsia="Arial" w:hAnsi="Arial"/>
          <w:sz w:val="20"/>
          <w:szCs w:val="20"/>
        </w:rPr>
        <w:t xml:space="preserve">Automated enrichment triggered on database/table registration via Onboarding API</w:t>
      </w:r>
    </w:p>
    <w:p>
      <w:pPr>
        <w:pStyle w:val="ListParagraph"/>
        <w:numPr>
          <w:ilvl w:val="0"/>
          <w:numId w:val="2"/>
        </w:numPr>
        <w:spacing w:after="80"/>
      </w:pPr>
      <w:r>
        <w:rPr>
          <w:rFonts w:ascii="Arial" w:cs="Arial" w:eastAsia="Arial" w:hAnsi="Arial"/>
          <w:sz w:val="20"/>
          <w:szCs w:val="20"/>
        </w:rPr>
        <w:t xml:space="preserve">Samples 20 rows using SELECT * FROM {table} FETCH FIRST 20 ROWS ONLY (or DB-equivalent)</w:t>
      </w:r>
    </w:p>
    <w:p>
      <w:pPr>
        <w:pStyle w:val="ListParagraph"/>
        <w:numPr>
          <w:ilvl w:val="0"/>
          <w:numId w:val="2"/>
        </w:numPr>
        <w:spacing w:after="80"/>
      </w:pPr>
      <w:r>
        <w:rPr>
          <w:rFonts w:ascii="Arial" w:cs="Arial" w:eastAsia="Arial" w:hAnsi="Arial"/>
          <w:sz w:val="20"/>
          <w:szCs w:val="20"/>
        </w:rPr>
        <w:t xml:space="preserve">LLM generates: field descriptions, domain classification, PII flags, relationships, quality notes</w:t>
      </w:r>
    </w:p>
    <w:p>
      <w:pPr>
        <w:pStyle w:val="ListParagraph"/>
        <w:numPr>
          <w:ilvl w:val="0"/>
          <w:numId w:val="2"/>
        </w:numPr>
        <w:spacing w:after="80"/>
      </w:pPr>
      <w:r>
        <w:rPr>
          <w:rFonts w:ascii="Arial" w:cs="Arial" w:eastAsia="Arial" w:hAnsi="Arial"/>
          <w:sz w:val="20"/>
          <w:szCs w:val="20"/>
        </w:rPr>
        <w:t xml:space="preserve">Catalogue entries stored in MongoDB with versioned history</w:t>
      </w:r>
    </w:p>
    <w:p>
      <w:pPr>
        <w:pStyle w:val="ListParagraph"/>
        <w:numPr>
          <w:ilvl w:val="0"/>
          <w:numId w:val="2"/>
        </w:numPr>
        <w:spacing w:after="80"/>
      </w:pPr>
      <w:r>
        <w:rPr>
          <w:rFonts w:ascii="Arial" w:cs="Arial" w:eastAsia="Arial" w:hAnsi="Arial"/>
          <w:sz w:val="20"/>
          <w:szCs w:val="20"/>
        </w:rPr>
        <w:t xml:space="preserve">Exposes /list_tools and /list_tools/ddc/* endpoints for agent discovery</w:t>
      </w:r>
    </w:p>
    <w:p>
      <w:pPr>
        <w:spacing w:after="120"/>
      </w:pPr>
      <w:r>
        <w:t xml:space="preserve"/>
      </w:r>
    </w:p>
    <w:p>
      <w:pPr>
        <w:pStyle w:val="Heading2"/>
        <w:spacing w:after="140" w:before="280"/>
      </w:pPr>
      <w:r>
        <w:rPr>
          <w:rFonts w:ascii="Arial" w:cs="Arial" w:eastAsia="Arial" w:hAnsi="Arial"/>
          <w:b/>
          <w:bCs/>
          <w:color w:val="2E5FA3"/>
          <w:sz w:val="28"/>
          <w:szCs w:val="28"/>
        </w:rPr>
        <w:t xml:space="preserve">6.2  Agent Discovery Endpoints  (/list_tools/*)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00"/>
        <w:gridCol w:w="1200"/>
        <w:gridCol w:w="1860"/>
      </w:tblGrid>
      <w:tr>
        <w:trPr>
          <w:tblHeader/>
        </w:trPr>
        <w:tc>
          <w:tcPr>
            <w:tcW w:type="dxa" w:w="10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 Path</w:t>
            </w:r>
          </w:p>
        </w:tc>
        <w:tc>
          <w:tcPr>
            <w:tcW w:type="dxa" w:w="25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18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/list_tools</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Master tool registry. Returns all databases and APIs available with type, status, and description.</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Tool List</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/list_tools?type=db</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Filter /list_tools to database tools only.</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DB Tools</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/list_tools?type=api</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Filter /list_tools to API tools only.</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API Tools</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/list_tools?type=api&amp;mode=sync</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Filter to synchronous API tools only.</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Sync APIs</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/list_tools?type=api&amp;mode=async</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Filter to asynchronous API tools only.</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Async APIs</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/list_tools/ddc/{db_name}</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Return DDC summary for a registered database — all tables with row counts and enrichment status.</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DB DDC</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/list_tools/ddc/{db_name}/{table_name}</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Return full DDC entry for a specific table — field descriptions, types, PII flags, sample stats.</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Table DDC</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/list_tools/ddc/api/{api_name}</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Return DDC entry for a registered API — endpoint description, input/output schemas, auth type.</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API DDC</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/list_tools/ddc/{db_name}/{table_name}/refresh</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Trigger a manual DDC re-enrichment for a specific table (re-samples 20 rows + LLM).</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JWT+ADMIN</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202 Refresh Job</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/list_tools/ddc/search</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Semantic search across all DDC entries. Query param: q= (plain text). Returns ranked matches.</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JWT</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Search Results</w:t>
            </w:r>
          </w:p>
        </w:tc>
      </w:tr>
    </w:tbl>
    <w:p>
      <w:pPr>
        <w:spacing w:after="120"/>
      </w:pPr>
      <w:r>
        <w:t xml:space="preserve"/>
      </w:r>
    </w:p>
    <w:p>
      <w:pPr>
        <w:pStyle w:val="Heading2"/>
        <w:spacing w:after="140" w:before="280"/>
      </w:pPr>
      <w:r>
        <w:rPr>
          <w:rFonts w:ascii="Arial" w:cs="Arial" w:eastAsia="Arial" w:hAnsi="Arial"/>
          <w:b/>
          <w:bCs/>
          <w:color w:val="2E5FA3"/>
          <w:sz w:val="28"/>
          <w:szCs w:val="28"/>
        </w:rPr>
        <w:t xml:space="preserve">6.3  /list_tools Response Schema</w:t>
      </w:r>
    </w:p>
    <w:p>
      <w:pPr>
        <w:pStyle w:val="Heading3"/>
        <w:spacing w:after="100" w:before="200"/>
      </w:pPr>
      <w:r>
        <w:rPr>
          <w:rFonts w:ascii="Arial" w:cs="Arial" w:eastAsia="Arial" w:hAnsi="Arial"/>
          <w:b/>
          <w:bCs/>
          <w:color w:val="0078D4"/>
          <w:sz w:val="24"/>
          <w:szCs w:val="24"/>
        </w:rPr>
        <w:t xml:space="preserve">GET /list_tools — Tool Registry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800"/>
        <w:gridCol w:w="4760"/>
      </w:tblGrid>
      <w:tr>
        <w:trPr>
          <w:tblHeader/>
        </w:trPr>
        <w:tc>
          <w:tcPr>
            <w:tcW w:type="dxa" w:w="2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8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w:t>
            </w:r>
          </w:p>
        </w:tc>
        <w:tc>
          <w:tcPr>
            <w:tcW w:type="dxa" w:w="47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tool_id</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Unique tool identifier.</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tool_type</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enum</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DB | API_SYNC | API_ASYNC</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name</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Logical name (db_name or api_name).</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description</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Natural language description for agent consumption.</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status</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enum</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ACTIVE | INACTIVE | DEPRECATED</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ddc_enriched</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boolean</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Whether DDC enrichment has completed for this tool.</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execution_path</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The /sor/* path the agent should call to use this tool.</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tags</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array</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Domain tags for filtering.</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last_updated</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datetime</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ISO-8601 timestamp of last registration update.</w:t>
            </w:r>
          </w:p>
        </w:tc>
      </w:tr>
    </w:tbl>
    <w:p>
      <w:pPr>
        <w:spacing w:after="120"/>
      </w:pPr>
      <w:r>
        <w:t xml:space="preserve"/>
      </w:r>
    </w:p>
    <w:p>
      <w:pPr>
        <w:pStyle w:val="Heading3"/>
        <w:spacing w:after="100" w:before="200"/>
      </w:pPr>
      <w:r>
        <w:rPr>
          <w:rFonts w:ascii="Arial" w:cs="Arial" w:eastAsia="Arial" w:hAnsi="Arial"/>
          <w:b/>
          <w:bCs/>
          <w:color w:val="0078D4"/>
          <w:sz w:val="24"/>
          <w:szCs w:val="24"/>
        </w:rPr>
        <w:t xml:space="preserve">GET /list_tools/ddc/{db_name}/{table_name} — Table DDC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800"/>
        <w:gridCol w:w="4760"/>
      </w:tblGrid>
      <w:tr>
        <w:trPr>
          <w:tblHeader/>
        </w:trPr>
        <w:tc>
          <w:tcPr>
            <w:tcW w:type="dxa" w:w="2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8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w:t>
            </w:r>
          </w:p>
        </w:tc>
        <w:tc>
          <w:tcPr>
            <w:tcW w:type="dxa" w:w="47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db_name</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Database identifier.</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table_name</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Table or view name.</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row_count_est</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integer</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Estimated row count from DB statistics.</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enriched_at</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datetime</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When LLM enrichment last ran.</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fields</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array</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Array of FieldDDC objects — one per column.</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relationships</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array</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Inferred foreign key / join relationships to other tables.</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domain</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LLM-inferred business domain (Finance, HR, Operations, etc.).</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quality_notes</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LLM-generated data quality observations.</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sample_rows</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array</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Anonymised sample rows used for enrichment (20 rows).</w:t>
            </w:r>
          </w:p>
        </w:tc>
      </w:tr>
    </w:tbl>
    <w:p>
      <w:pPr>
        <w:spacing w:after="120"/>
      </w:pPr>
      <w:r>
        <w:t xml:space="preserve"/>
      </w:r>
    </w:p>
    <w:p>
      <w:pPr>
        <w:pStyle w:val="Heading3"/>
        <w:spacing w:after="100" w:before="200"/>
      </w:pPr>
      <w:r>
        <w:rPr>
          <w:rFonts w:ascii="Arial" w:cs="Arial" w:eastAsia="Arial" w:hAnsi="Arial"/>
          <w:b/>
          <w:bCs/>
          <w:color w:val="0078D4"/>
          <w:sz w:val="24"/>
          <w:szCs w:val="24"/>
        </w:rPr>
        <w:t xml:space="preserve">FieldDDC Object (per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800"/>
        <w:gridCol w:w="4760"/>
      </w:tblGrid>
      <w:tr>
        <w:trPr>
          <w:tblHeader/>
        </w:trPr>
        <w:tc>
          <w:tcPr>
            <w:tcW w:type="dxa" w:w="2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8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w:t>
            </w:r>
          </w:p>
        </w:tc>
        <w:tc>
          <w:tcPr>
            <w:tcW w:type="dxa" w:w="47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field_name</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Column name as defined in the database.</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data_type</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Native database data type.</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nullable</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boolean</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Whether the column allows NULL values.</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description</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LLM-generated semantic description of the field.</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pii_flag</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boolean</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LLM-inferred PII classification.</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pii_category</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PII type if flagged: NAME | EMAIL | PHONE | ID | ADDRESS | OTHER</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sample_values</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array</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Distinct sample values (anonymised if PII).</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cardinality</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enum</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LOW | MEDIUM | HIGH — inferred from samples.</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7.  SERVICE 3  —  DATA INTEGRATION UI</w:t>
            </w:r>
          </w:p>
        </w:tc>
      </w:tr>
    </w:tbl>
    <w:p>
      <w:pPr>
        <w:spacing w:after="120"/>
      </w:pPr>
      <w:r>
        <w:t xml:space="preserve"/>
      </w:r>
    </w:p>
    <w:p>
      <w:pPr>
        <w:pStyle w:val="Heading2"/>
        <w:spacing w:after="140" w:before="280"/>
      </w:pPr>
      <w:r>
        <w:rPr>
          <w:rFonts w:ascii="Arial" w:cs="Arial" w:eastAsia="Arial" w:hAnsi="Arial"/>
          <w:b/>
          <w:bCs/>
          <w:color w:val="2E5FA3"/>
          <w:sz w:val="28"/>
          <w:szCs w:val="28"/>
        </w:rPr>
        <w:t xml:space="preserve">7.1  Purpose &amp; Responsibilities</w:t>
      </w:r>
    </w:p>
    <w:p>
      <w:pPr>
        <w:spacing w:after="100"/>
      </w:pPr>
      <w:r>
        <w:rPr>
          <w:rFonts w:ascii="Arial" w:cs="Arial" w:eastAsia="Arial" w:hAnsi="Arial"/>
          <w:color w:val="111111"/>
          <w:sz w:val="20"/>
          <w:szCs w:val="20"/>
        </w:rPr>
        <w:t xml:space="preserve">The Data Integration UI is the operator portal for the O2A platform. It provides a unified view of the Tool Registry (all onboarded databases and APIs), DDC enrichment results, and lifecycle management controls. The UI consumes the Onboarding API and DDC exclusively via their published REST endpoints — no direct database access.</w:t>
      </w:r>
    </w:p>
    <w:p>
      <w:pPr>
        <w:spacing w:after="120"/>
      </w:pPr>
      <w:r>
        <w:t xml:space="preserve"/>
      </w:r>
    </w:p>
    <w:p>
      <w:pPr>
        <w:pStyle w:val="Heading2"/>
        <w:spacing w:after="140" w:before="280"/>
      </w:pPr>
      <w:r>
        <w:rPr>
          <w:rFonts w:ascii="Arial" w:cs="Arial" w:eastAsia="Arial" w:hAnsi="Arial"/>
          <w:b/>
          <w:bCs/>
          <w:color w:val="2E5FA3"/>
          <w:sz w:val="28"/>
          <w:szCs w:val="28"/>
        </w:rPr>
        <w:t xml:space="preserve">7.2  UI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69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B2A4A"/>
                <w:sz w:val="19"/>
                <w:szCs w:val="19"/>
              </w:rPr>
              <w:t xml:space="preserve">Tool Registry</w:t>
            </w:r>
          </w:p>
        </w:tc>
        <w:tc>
          <w:tcPr>
            <w:tcW w:type="dxa" w:w="69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Searchable, filterable table of all onboarded databases and APIs. Shows status (active/inactive), type (DB/API), enrichment status, and last updated timestamp. Operators can activate/deactivate tools and trigger re-enrichment.</w:t>
            </w:r>
          </w:p>
        </w:tc>
      </w:tr>
      <w:tr>
        <w:tc>
          <w:tcPr>
            <w:tcW w:type="dxa" w:w="24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B2A4A"/>
                <w:sz w:val="19"/>
                <w:szCs w:val="19"/>
              </w:rPr>
              <w:t xml:space="preserve">Database Manager</w:t>
            </w:r>
          </w:p>
        </w:tc>
        <w:tc>
          <w:tcPr>
            <w:tcW w:type="dxa" w:w="69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Drill-down view for a selected database. Shows connection metadata, SQL slots registered, health/heartbeat status, and links to the DDC for each table.</w:t>
            </w:r>
          </w:p>
        </w:tc>
      </w:tr>
      <w:tr>
        <w:tc>
          <w:tcPr>
            <w:tcW w:type="dxa" w:w="24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B2A4A"/>
                <w:sz w:val="19"/>
                <w:szCs w:val="19"/>
              </w:rPr>
              <w:t xml:space="preserve">API Manager</w:t>
            </w:r>
          </w:p>
        </w:tc>
        <w:tc>
          <w:tcPr>
            <w:tcW w:type="dxa" w:w="69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Drill-down view for sync and async APIs and collections. Shows endpoint spec, auth type, collection membership, and test-call capability.</w:t>
            </w:r>
          </w:p>
        </w:tc>
      </w:tr>
      <w:tr>
        <w:tc>
          <w:tcPr>
            <w:tcW w:type="dxa" w:w="24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B2A4A"/>
                <w:sz w:val="19"/>
                <w:szCs w:val="19"/>
              </w:rPr>
              <w:t xml:space="preserve">DDC Browser</w:t>
            </w:r>
          </w:p>
        </w:tc>
        <w:tc>
          <w:tcPr>
            <w:tcW w:type="dxa" w:w="69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Table/column browser backed by /list_tools/ddc/*. Shows enriched field descriptions, PII flags, cardinality, and domain classification. Supports full-text search across all entries.</w:t>
            </w:r>
          </w:p>
        </w:tc>
      </w:tr>
      <w:tr>
        <w:tc>
          <w:tcPr>
            <w:tcW w:type="dxa" w:w="24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B2A4A"/>
                <w:sz w:val="19"/>
                <w:szCs w:val="19"/>
              </w:rPr>
              <w:t xml:space="preserve">Onboarding Wizard</w:t>
            </w:r>
          </w:p>
        </w:tc>
        <w:tc>
          <w:tcPr>
            <w:tcW w:type="dxa" w:w="69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Step-by-step guided onboarding flow for new databases and APIs. Validates connectivity before saving. Integrates with Vault for credential entry.</w:t>
            </w:r>
          </w:p>
        </w:tc>
      </w:tr>
      <w:tr>
        <w:tc>
          <w:tcPr>
            <w:tcW w:type="dxa" w:w="24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B2A4A"/>
                <w:sz w:val="19"/>
                <w:szCs w:val="19"/>
              </w:rPr>
              <w:t xml:space="preserve">Admin Console</w:t>
            </w:r>
          </w:p>
        </w:tc>
        <w:tc>
          <w:tcPr>
            <w:tcW w:type="dxa" w:w="69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Connection pool management, heartbeat monitoring, re-enrichment job queue, and audit log viewer.</w:t>
            </w:r>
          </w:p>
        </w:tc>
      </w:tr>
    </w:tbl>
    <w:p>
      <w:pPr>
        <w:spacing w:after="120"/>
      </w:pPr>
      <w:r>
        <w:t xml:space="preserve"/>
      </w:r>
    </w:p>
    <w:p>
      <w:pPr>
        <w:pStyle w:val="Heading2"/>
        <w:spacing w:after="140" w:before="280"/>
      </w:pPr>
      <w:r>
        <w:rPr>
          <w:rFonts w:ascii="Arial" w:cs="Arial" w:eastAsia="Arial" w:hAnsi="Arial"/>
          <w:b/>
          <w:bCs/>
          <w:color w:val="2E5FA3"/>
          <w:sz w:val="28"/>
          <w:szCs w:val="28"/>
        </w:rPr>
        <w:t xml:space="preserve">7.3  UI Backend API  (BFF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00"/>
        <w:gridCol w:w="1200"/>
        <w:gridCol w:w="1860"/>
      </w:tblGrid>
      <w:tr>
        <w:trPr>
          <w:tblHeader/>
        </w:trPr>
        <w:tc>
          <w:tcPr>
            <w:tcW w:type="dxa" w:w="10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 Path</w:t>
            </w:r>
          </w:p>
        </w:tc>
        <w:tc>
          <w:tcPr>
            <w:tcW w:type="dxa" w:w="25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18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/ui/api/tools</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Proxies /list_tools for the UI with additional UI-specific metadata (icon, category).</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Session</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Tool List</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/ui/api/tools/{tool_id}</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Proxies tool detail from Onboarding API.</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Session</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Tool Detail</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/ui/api/ddc/{db_name}/{table_name}</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Proxies DDC entry for table-level display.</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Session</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DDC Entry</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/ui/api/onboard/db</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Wizard submission — proxies to Onboarding API POST /onboard/db.</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Session+ADMIN</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201 Created</w:t>
            </w:r>
          </w:p>
        </w:tc>
      </w:tr>
      <w:tr>
        <w:tc>
          <w:tcPr>
            <w:tcW w:type="dxa" w:w="1000"/>
            <w:tcBorders>
              <w:top w:val="single" w:color="BBCDE5" w:sz="1"/>
              <w:left w:val="single" w:color="BBCDE5" w:sz="1"/>
              <w:bottom w:val="single" w:color="BBCDE5" w:sz="1"/>
              <w:right w:val="single" w:color="BBCDE5" w:sz="1"/>
            </w:tcBorders>
            <w:shd w:fill="0078D4"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POST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/ui/api/onboard/api</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Wizard submission — proxies to Onboarding API POST /onboard/api/sync or async.</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Session+ADMIN</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201 Created</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/ui/api/health</w:t>
            </w:r>
          </w:p>
        </w:tc>
        <w:tc>
          <w:tcPr>
            <w:tcW w:type="dxa" w:w="25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Returns platform health summary: gateway, all DBs, enrichment queue.</w:t>
            </w:r>
          </w:p>
        </w:tc>
        <w:tc>
          <w:tcPr>
            <w:tcW w:type="dxa" w:w="1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Session</w:t>
            </w:r>
          </w:p>
        </w:tc>
        <w:tc>
          <w:tcPr>
            <w:tcW w:type="dxa" w:w="18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Health</w:t>
            </w:r>
          </w:p>
        </w:tc>
      </w:tr>
      <w:tr>
        <w:tc>
          <w:tcPr>
            <w:tcW w:type="dxa" w:w="1000"/>
            <w:tcBorders>
              <w:top w:val="single" w:color="BBCDE5" w:sz="1"/>
              <w:left w:val="single" w:color="BBCDE5" w:sz="1"/>
              <w:bottom w:val="single" w:color="BBCDE5" w:sz="1"/>
              <w:right w:val="single" w:color="BBCDE5" w:sz="1"/>
            </w:tcBorders>
            <w:shd w:fill="107C41" w:val="clear"/>
            <w:tcMar>
              <w:top w:type="dxa" w:w="70"/>
              <w:left w:type="dxa" w:w="100"/>
              <w:bottom w:type="dxa" w:w="70"/>
              <w:right w:type="dxa" w:w="100"/>
            </w:tcMar>
            <w:vAlign w:val="center"/>
          </w:tcPr>
          <w:p>
            <w:pPr>
              <w:jc w:val="center"/>
            </w:pPr>
            <w:r>
              <w:rPr>
                <w:rFonts w:ascii="Arial" w:cs="Arial" w:eastAsia="Arial" w:hAnsi="Arial"/>
                <w:b/>
                <w:bCs/>
                <w:color w:val="FFFFFF"/>
                <w:sz w:val="17"/>
                <w:szCs w:val="17"/>
              </w:rPr>
              <w:t xml:space="preserve">GET</w:t>
            </w:r>
          </w:p>
        </w:tc>
        <w:tc>
          <w:tcPr>
            <w:tcW w:type="dxa" w:w="2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/ui/api/audit</w:t>
            </w:r>
          </w:p>
        </w:tc>
        <w:tc>
          <w:tcPr>
            <w:tcW w:type="dxa" w:w="25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Returns audit log entries (paginated) for admin console.</w:t>
            </w:r>
          </w:p>
        </w:tc>
        <w:tc>
          <w:tcPr>
            <w:tcW w:type="dxa" w:w="1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Session+ADMIN</w:t>
            </w:r>
          </w:p>
        </w:tc>
        <w:tc>
          <w:tcPr>
            <w:tcW w:type="dxa" w:w="18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555555"/>
                <w:sz w:val="18"/>
                <w:szCs w:val="18"/>
              </w:rPr>
              <w:t xml:space="preserve">200 Audit Log</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8.  SECURITY DESIGN</w:t>
            </w:r>
          </w:p>
        </w:tc>
      </w:tr>
    </w:tbl>
    <w:p>
      <w:pPr>
        <w:spacing w:after="120"/>
      </w:pPr>
      <w:r>
        <w:t xml:space="preserve"/>
      </w:r>
    </w:p>
    <w:p>
      <w:pPr>
        <w:pStyle w:val="Heading2"/>
        <w:spacing w:after="140" w:before="280"/>
      </w:pPr>
      <w:r>
        <w:rPr>
          <w:rFonts w:ascii="Arial" w:cs="Arial" w:eastAsia="Arial" w:hAnsi="Arial"/>
          <w:b/>
          <w:bCs/>
          <w:color w:val="2E5FA3"/>
          <w:sz w:val="28"/>
          <w:szCs w:val="28"/>
        </w:rPr>
        <w:t xml:space="preserve">8.1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DE5" w:sz="1"/>
              <w:left w:val="single" w:color="BBCDE5" w:sz="1"/>
              <w:bottom w:val="single" w:color="BBCDE5" w:sz="1"/>
              <w:right w:val="single" w:color="BBCDE5" w:sz="1"/>
            </w:tcBorders>
            <w:shd w:fill="C8DAF5" w:val="clear"/>
            <w:tcMar>
              <w:top w:type="dxa" w:w="70"/>
              <w:left w:type="dxa" w:w="120"/>
              <w:bottom w:type="dxa" w:w="70"/>
              <w:right w:type="dxa" w:w="120"/>
            </w:tcMar>
            <w:vAlign w:val="center"/>
          </w:tcPr>
          <w:p>
            <w:r>
              <w:rPr>
                <w:rFonts w:ascii="Arial" w:cs="Arial" w:eastAsia="Arial" w:hAnsi="Arial"/>
                <w:b/>
                <w:bCs/>
                <w:color w:val="000000"/>
                <w:sz w:val="19"/>
                <w:szCs w:val="19"/>
              </w:rPr>
              <w:t xml:space="preserve">Primary Auth</w:t>
            </w:r>
          </w:p>
        </w:tc>
        <w:tc>
          <w:tcPr>
            <w:tcW w:type="dxa" w:w="63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OAuth 2.0 / JWT via APIGEE. All requests require Bearer token in Authorization header.</w:t>
            </w:r>
          </w:p>
        </w:tc>
      </w:tr>
      <w:tr>
        <w:tc>
          <w:tcPr>
            <w:tcW w:type="dxa" w:w="3000"/>
            <w:tcBorders>
              <w:top w:val="single" w:color="BBCDE5" w:sz="1"/>
              <w:left w:val="single" w:color="BBCDE5" w:sz="1"/>
              <w:bottom w:val="single" w:color="BBCDE5" w:sz="1"/>
              <w:right w:val="single" w:color="BBCDE5" w:sz="1"/>
            </w:tcBorders>
            <w:shd w:fill="C8DAF5" w:val="clear"/>
            <w:tcMar>
              <w:top w:type="dxa" w:w="70"/>
              <w:left w:type="dxa" w:w="120"/>
              <w:bottom w:type="dxa" w:w="70"/>
              <w:right w:type="dxa" w:w="120"/>
            </w:tcMar>
            <w:vAlign w:val="center"/>
          </w:tcPr>
          <w:p>
            <w:r>
              <w:rPr>
                <w:rFonts w:ascii="Arial" w:cs="Arial" w:eastAsia="Arial" w:hAnsi="Arial"/>
                <w:b/>
                <w:bCs/>
                <w:color w:val="000000"/>
                <w:sz w:val="19"/>
                <w:szCs w:val="19"/>
              </w:rPr>
              <w:t xml:space="preserve">Token Issuer</w:t>
            </w:r>
          </w:p>
        </w:tc>
        <w:tc>
          <w:tcPr>
            <w:tcW w:type="dxa" w:w="63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Enterprise IdP (Azure AD / Okta). APIGEE validates token signature and expiry.</w:t>
            </w:r>
          </w:p>
        </w:tc>
      </w:tr>
      <w:tr>
        <w:tc>
          <w:tcPr>
            <w:tcW w:type="dxa" w:w="3000"/>
            <w:tcBorders>
              <w:top w:val="single" w:color="BBCDE5" w:sz="1"/>
              <w:left w:val="single" w:color="BBCDE5" w:sz="1"/>
              <w:bottom w:val="single" w:color="BBCDE5" w:sz="1"/>
              <w:right w:val="single" w:color="BBCDE5" w:sz="1"/>
            </w:tcBorders>
            <w:shd w:fill="C8DAF5" w:val="clear"/>
            <w:tcMar>
              <w:top w:type="dxa" w:w="70"/>
              <w:left w:type="dxa" w:w="120"/>
              <w:bottom w:type="dxa" w:w="70"/>
              <w:right w:type="dxa" w:w="120"/>
            </w:tcMar>
            <w:vAlign w:val="center"/>
          </w:tcPr>
          <w:p>
            <w:r>
              <w:rPr>
                <w:rFonts w:ascii="Arial" w:cs="Arial" w:eastAsia="Arial" w:hAnsi="Arial"/>
                <w:b/>
                <w:bCs/>
                <w:color w:val="000000"/>
                <w:sz w:val="19"/>
                <w:szCs w:val="19"/>
              </w:rPr>
              <w:t xml:space="preserve">Scopes</w:t>
            </w:r>
          </w:p>
        </w:tc>
        <w:tc>
          <w:tcPr>
            <w:tcW w:type="dxa" w:w="63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o2a:read — execute /sor and /list_tools  |  o2a:admin — all Onboarding API operations  |  o2a:ui — Data Integration UI access</w:t>
            </w:r>
          </w:p>
        </w:tc>
      </w:tr>
      <w:tr>
        <w:tc>
          <w:tcPr>
            <w:tcW w:type="dxa" w:w="3000"/>
            <w:tcBorders>
              <w:top w:val="single" w:color="BBCDE5" w:sz="1"/>
              <w:left w:val="single" w:color="BBCDE5" w:sz="1"/>
              <w:bottom w:val="single" w:color="BBCDE5" w:sz="1"/>
              <w:right w:val="single" w:color="BBCDE5" w:sz="1"/>
            </w:tcBorders>
            <w:shd w:fill="C8DAF5" w:val="clear"/>
            <w:tcMar>
              <w:top w:type="dxa" w:w="70"/>
              <w:left w:type="dxa" w:w="120"/>
              <w:bottom w:type="dxa" w:w="70"/>
              <w:right w:type="dxa" w:w="120"/>
            </w:tcMar>
            <w:vAlign w:val="center"/>
          </w:tcPr>
          <w:p>
            <w:r>
              <w:rPr>
                <w:rFonts w:ascii="Arial" w:cs="Arial" w:eastAsia="Arial" w:hAnsi="Arial"/>
                <w:b/>
                <w:bCs/>
                <w:color w:val="000000"/>
                <w:sz w:val="19"/>
                <w:szCs w:val="19"/>
              </w:rPr>
              <w:t xml:space="preserve">Credential Storage</w:t>
            </w:r>
          </w:p>
        </w:tc>
        <w:tc>
          <w:tcPr>
            <w:tcW w:type="dxa" w:w="63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HashiCorp Vault. Credentials never stored in MongoDB or logs. Retrieved at runtime via Vault API using service-to-service AppRole auth.</w:t>
            </w:r>
          </w:p>
        </w:tc>
      </w:tr>
      <w:tr>
        <w:tc>
          <w:tcPr>
            <w:tcW w:type="dxa" w:w="3000"/>
            <w:tcBorders>
              <w:top w:val="single" w:color="BBCDE5" w:sz="1"/>
              <w:left w:val="single" w:color="BBCDE5" w:sz="1"/>
              <w:bottom w:val="single" w:color="BBCDE5" w:sz="1"/>
              <w:right w:val="single" w:color="BBCDE5" w:sz="1"/>
            </w:tcBorders>
            <w:shd w:fill="C8DAF5" w:val="clear"/>
            <w:tcMar>
              <w:top w:type="dxa" w:w="70"/>
              <w:left w:type="dxa" w:w="120"/>
              <w:bottom w:type="dxa" w:w="70"/>
              <w:right w:type="dxa" w:w="120"/>
            </w:tcMar>
            <w:vAlign w:val="center"/>
          </w:tcPr>
          <w:p>
            <w:r>
              <w:rPr>
                <w:rFonts w:ascii="Arial" w:cs="Arial" w:eastAsia="Arial" w:hAnsi="Arial"/>
                <w:b/>
                <w:bCs/>
                <w:color w:val="000000"/>
                <w:sz w:val="19"/>
                <w:szCs w:val="19"/>
              </w:rPr>
              <w:t xml:space="preserve">mTLS</w:t>
            </w:r>
          </w:p>
        </w:tc>
        <w:tc>
          <w:tcPr>
            <w:tcW w:type="dxa" w:w="63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All inter-service calls use mutual TLS. APIGEE presents client certificate to downstream services.</w:t>
            </w:r>
          </w:p>
        </w:tc>
      </w:tr>
      <w:tr>
        <w:tc>
          <w:tcPr>
            <w:tcW w:type="dxa" w:w="3000"/>
            <w:tcBorders>
              <w:top w:val="single" w:color="BBCDE5" w:sz="1"/>
              <w:left w:val="single" w:color="BBCDE5" w:sz="1"/>
              <w:bottom w:val="single" w:color="BBCDE5" w:sz="1"/>
              <w:right w:val="single" w:color="BBCDE5" w:sz="1"/>
            </w:tcBorders>
            <w:shd w:fill="C8DAF5" w:val="clear"/>
            <w:tcMar>
              <w:top w:type="dxa" w:w="70"/>
              <w:left w:type="dxa" w:w="120"/>
              <w:bottom w:type="dxa" w:w="70"/>
              <w:right w:type="dxa" w:w="120"/>
            </w:tcMar>
            <w:vAlign w:val="center"/>
          </w:tcPr>
          <w:p>
            <w:r>
              <w:rPr>
                <w:rFonts w:ascii="Arial" w:cs="Arial" w:eastAsia="Arial" w:hAnsi="Arial"/>
                <w:b/>
                <w:bCs/>
                <w:color w:val="000000"/>
                <w:sz w:val="19"/>
                <w:szCs w:val="19"/>
              </w:rPr>
              <w:t xml:space="preserve">Rate Limiting</w:t>
            </w:r>
          </w:p>
        </w:tc>
        <w:tc>
          <w:tcPr>
            <w:tcW w:type="dxa" w:w="63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APIGEE enforces: 100 req/min per client for /sor/*; 20 req/min for /onboard/*; 1000 req/min for /list_tools/*.</w:t>
            </w:r>
          </w:p>
        </w:tc>
      </w:tr>
    </w:tbl>
    <w:p>
      <w:pPr>
        <w:spacing w:after="120"/>
      </w:pPr>
      <w:r>
        <w:t xml:space="preserve"/>
      </w:r>
    </w:p>
    <w:p>
      <w:pPr>
        <w:pStyle w:val="Heading2"/>
        <w:spacing w:after="140" w:before="280"/>
      </w:pPr>
      <w:r>
        <w:rPr>
          <w:rFonts w:ascii="Arial" w:cs="Arial" w:eastAsia="Arial" w:hAnsi="Arial"/>
          <w:b/>
          <w:bCs/>
          <w:color w:val="2E5FA3"/>
          <w:sz w:val="28"/>
          <w:szCs w:val="28"/>
        </w:rPr>
        <w:t xml:space="preserve">8.2  Data Security Controls</w:t>
      </w:r>
    </w:p>
    <w:p>
      <w:pPr>
        <w:pStyle w:val="ListParagraph"/>
        <w:numPr>
          <w:ilvl w:val="0"/>
          <w:numId w:val="2"/>
        </w:numPr>
        <w:spacing w:after="80"/>
      </w:pPr>
      <w:r>
        <w:rPr>
          <w:rFonts w:ascii="Arial" w:cs="Arial" w:eastAsia="Arial" w:hAnsi="Arial"/>
          <w:sz w:val="20"/>
          <w:szCs w:val="20"/>
        </w:rPr>
        <w:t xml:space="preserve">SQL injection prevention: all /sor/db/* queries use parameterised bind variables only — no string concatenation</w:t>
      </w:r>
    </w:p>
    <w:p>
      <w:pPr>
        <w:pStyle w:val="ListParagraph"/>
        <w:numPr>
          <w:ilvl w:val="0"/>
          <w:numId w:val="2"/>
        </w:numPr>
        <w:spacing w:after="80"/>
      </w:pPr>
      <w:r>
        <w:rPr>
          <w:rFonts w:ascii="Arial" w:cs="Arial" w:eastAsia="Arial" w:hAnsi="Arial"/>
          <w:sz w:val="20"/>
          <w:szCs w:val="20"/>
        </w:rPr>
        <w:t xml:space="preserve">Row-level result redaction: PII fields flagged in DDC can be masked/hashed in /sor/db/* responses via optional header X-Redact-PII: true</w:t>
      </w:r>
    </w:p>
    <w:p>
      <w:pPr>
        <w:pStyle w:val="ListParagraph"/>
        <w:numPr>
          <w:ilvl w:val="0"/>
          <w:numId w:val="2"/>
        </w:numPr>
        <w:spacing w:after="80"/>
      </w:pPr>
      <w:r>
        <w:rPr>
          <w:rFonts w:ascii="Arial" w:cs="Arial" w:eastAsia="Arial" w:hAnsi="Arial"/>
          <w:sz w:val="20"/>
          <w:szCs w:val="20"/>
        </w:rPr>
        <w:t xml:space="preserve">Audit logging: every /sor/* execution logged to MongoDB with caller identity, tool ID, params hash, and result row count</w:t>
      </w:r>
    </w:p>
    <w:p>
      <w:pPr>
        <w:pStyle w:val="ListParagraph"/>
        <w:numPr>
          <w:ilvl w:val="0"/>
          <w:numId w:val="2"/>
        </w:numPr>
        <w:spacing w:after="80"/>
      </w:pPr>
      <w:r>
        <w:rPr>
          <w:rFonts w:ascii="Arial" w:cs="Arial" w:eastAsia="Arial" w:hAnsi="Arial"/>
          <w:sz w:val="20"/>
          <w:szCs w:val="20"/>
        </w:rPr>
        <w:t xml:space="preserve">TLS 1.3 enforced on all external and internal traffic</w:t>
      </w:r>
    </w:p>
    <w:p>
      <w:pPr>
        <w:pStyle w:val="ListParagraph"/>
        <w:numPr>
          <w:ilvl w:val="0"/>
          <w:numId w:val="2"/>
        </w:numPr>
        <w:spacing w:after="80"/>
      </w:pPr>
      <w:r>
        <w:rPr>
          <w:rFonts w:ascii="Arial" w:cs="Arial" w:eastAsia="Arial" w:hAnsi="Arial"/>
          <w:sz w:val="20"/>
          <w:szCs w:val="20"/>
        </w:rPr>
        <w:t xml:space="preserve">Vault lease TTL: DB credentials leased for 1 hour and auto-rotated</w:t>
      </w:r>
    </w:p>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9.  MONGODB DATA MODELS</w:t>
            </w:r>
          </w:p>
        </w:tc>
      </w:tr>
    </w:tbl>
    <w:p>
      <w:pPr>
        <w:spacing w:after="120"/>
      </w:pPr>
      <w:r>
        <w:t xml:space="preserve"/>
      </w:r>
    </w:p>
    <w:p>
      <w:pPr>
        <w:pStyle w:val="Heading2"/>
        <w:spacing w:after="140" w:before="280"/>
      </w:pPr>
      <w:r>
        <w:rPr>
          <w:rFonts w:ascii="Arial" w:cs="Arial" w:eastAsia="Arial" w:hAnsi="Arial"/>
          <w:b/>
          <w:bCs/>
          <w:color w:val="2E5FA3"/>
          <w:sz w:val="28"/>
          <w:szCs w:val="28"/>
        </w:rPr>
        <w:t xml:space="preserve">9.1  Collection: db_registrations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800"/>
        <w:gridCol w:w="4760"/>
      </w:tblGrid>
      <w:tr>
        <w:trPr>
          <w:tblHeader/>
        </w:trPr>
        <w:tc>
          <w:tcPr>
            <w:tcW w:type="dxa" w:w="2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8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w:t>
            </w:r>
          </w:p>
        </w:tc>
        <w:tc>
          <w:tcPr>
            <w:tcW w:type="dxa" w:w="47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_id</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ObjectId</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MongoDB document ID.</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db_ref_id</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Platform-generated unique identifier (UUID).</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db_name</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Logical name used in /sor/ and /onboard/ paths.</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db_type</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enum</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ORACLE | SQLSERVER | TERADATA | POSTGRESQL | MYSQL | SNOWFLAKE</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host</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Database hostname.</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port</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integer</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Database port.</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database</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Schema/database name.</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vault_path</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Vault secret path for credentials (never the credentials themselves).</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status</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enum</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ACTIVE | INACTIVE | DEPRECATED</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pool_config</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object</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 min, max, heartbeat_s, timeout_ms }</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sql_slots</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array</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Array of { slot_name, sql, description, params_schema, is_readonly, version }.</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tags</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array</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Classification tags.</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created_at</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datetime</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Registration timestamp.</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updated_at</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datetime</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Last update timestamp.</w:t>
            </w:r>
          </w:p>
        </w:tc>
      </w:tr>
    </w:tbl>
    <w:p>
      <w:pPr>
        <w:spacing w:after="120"/>
      </w:pPr>
      <w:r>
        <w:t xml:space="preserve"/>
      </w:r>
    </w:p>
    <w:p>
      <w:pPr>
        <w:pStyle w:val="Heading2"/>
        <w:spacing w:after="140" w:before="280"/>
      </w:pPr>
      <w:r>
        <w:rPr>
          <w:rFonts w:ascii="Arial" w:cs="Arial" w:eastAsia="Arial" w:hAnsi="Arial"/>
          <w:b/>
          <w:bCs/>
          <w:color w:val="2E5FA3"/>
          <w:sz w:val="28"/>
          <w:szCs w:val="28"/>
        </w:rPr>
        <w:t xml:space="preserve">9.2  Collection: api_registrations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800"/>
        <w:gridCol w:w="4760"/>
      </w:tblGrid>
      <w:tr>
        <w:trPr>
          <w:tblHeader/>
        </w:trPr>
        <w:tc>
          <w:tcPr>
            <w:tcW w:type="dxa" w:w="2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8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w:t>
            </w:r>
          </w:p>
        </w:tc>
        <w:tc>
          <w:tcPr>
            <w:tcW w:type="dxa" w:w="47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_id</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ObjectId</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MongoDB document ID.</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api_id</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Platform-generated unique identifier.</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api_name</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Logical name used in /sor/ paths.</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api_mode</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enum</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SYNC | ASYNC</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collection_id</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Parent collection ID if part of a collection.</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base_url</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Target API base URL.</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path</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Endpoint path.</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method</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HTTP method.</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auth_type</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enum</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NONE | API_KEY | OAUTH2 | BASIC | JWT</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vault_path</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Vault path for API credentials.</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headers</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object</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Static headers object.</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input_schema</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object</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JSON Schema for request body.</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output_schema</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object</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JSON Schema for response.</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description</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Natural language description for agent discovery.</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status</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enum</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ACTIVE | INACTIVE | DEPRECATED</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tags</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array</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Classification tags.</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created_at</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datetime</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Registration timestamp.</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updated_at</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datetime</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Last update timestamp.</w:t>
            </w:r>
          </w:p>
        </w:tc>
      </w:tr>
    </w:tbl>
    <w:p>
      <w:pPr>
        <w:spacing w:after="120"/>
      </w:pPr>
      <w:r>
        <w:t xml:space="preserve"/>
      </w:r>
    </w:p>
    <w:p>
      <w:pPr>
        <w:pStyle w:val="Heading2"/>
        <w:spacing w:after="140" w:before="280"/>
      </w:pPr>
      <w:r>
        <w:rPr>
          <w:rFonts w:ascii="Arial" w:cs="Arial" w:eastAsia="Arial" w:hAnsi="Arial"/>
          <w:b/>
          <w:bCs/>
          <w:color w:val="2E5FA3"/>
          <w:sz w:val="28"/>
          <w:szCs w:val="28"/>
        </w:rPr>
        <w:t xml:space="preserve">9.3  Collection: ddc_catalogue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800"/>
        <w:gridCol w:w="4760"/>
      </w:tblGrid>
      <w:tr>
        <w:trPr>
          <w:tblHeader/>
        </w:trPr>
        <w:tc>
          <w:tcPr>
            <w:tcW w:type="dxa" w:w="2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8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w:t>
            </w:r>
          </w:p>
        </w:tc>
        <w:tc>
          <w:tcPr>
            <w:tcW w:type="dxa" w:w="47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_id</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ObjectId</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MongoDB document ID.</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source_type</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enum</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DB | API</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db_name</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Database identifier (if source_type = DB).</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table_name</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Table name (if source_type = DB).</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api_id</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API identifier (if source_type = API).</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enriched_at</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datetime</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Enrichment run timestamp.</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enrichment_version</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integer</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Version counter — incremented on each enrichment.</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domain</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LLM-inferred business domain.</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fields</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array</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107C41"/>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Array of FieldDDC objects.</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relationships</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array</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Inferred table relationships.</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quality_notes</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string</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LLM-generated quality observations.</w:t>
            </w:r>
          </w:p>
        </w:tc>
      </w:tr>
      <w:tr>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sample_rows</w:t>
            </w:r>
          </w:p>
        </w:tc>
        <w:tc>
          <w:tcPr>
            <w:tcW w:type="dxa" w:w="16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array</w:t>
            </w:r>
          </w:p>
        </w:tc>
        <w:tc>
          <w:tcPr>
            <w:tcW w:type="dxa" w:w="8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20 anonymised sample rows.</w:t>
            </w:r>
          </w:p>
        </w:tc>
      </w:tr>
      <w:tr>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embedding</w:t>
            </w:r>
          </w:p>
        </w:tc>
        <w:tc>
          <w:tcPr>
            <w:tcW w:type="dxa" w:w="16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78D4"/>
                <w:sz w:val="19"/>
                <w:szCs w:val="19"/>
              </w:rPr>
              <w:t xml:space="preserve">array</w:t>
            </w:r>
          </w:p>
        </w:tc>
        <w:tc>
          <w:tcPr>
            <w:tcW w:type="dxa" w:w="8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555555"/>
                <w:sz w:val="19"/>
                <w:szCs w:val="19"/>
              </w:rPr>
              <w:t xml:space="preserv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Vector embedding of the DDC description (for semantic search).</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10.  ERROR CATALOGUE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200"/>
        <w:gridCol w:w="4760"/>
      </w:tblGrid>
      <w:tr>
        <w:trPr>
          <w:tblHeader/>
        </w:trPr>
        <w:tc>
          <w:tcPr>
            <w:tcW w:type="dxa" w:w="10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w:t>
            </w:r>
          </w:p>
        </w:tc>
        <w:tc>
          <w:tcPr>
            <w:tcW w:type="dxa" w:w="14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Error Code</w:t>
            </w:r>
          </w:p>
        </w:tc>
        <w:tc>
          <w:tcPr>
            <w:tcW w:type="dxa" w:w="220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476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Resolution</w:t>
            </w:r>
          </w:p>
        </w:tc>
      </w:tr>
      <w:tr>
        <w:tc>
          <w:tcPr>
            <w:tcW w:type="dxa" w:w="10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E67E22"/>
                <w:sz w:val="19"/>
                <w:szCs w:val="19"/>
              </w:rPr>
              <w:t xml:space="preserve">400</w:t>
            </w:r>
          </w:p>
        </w:tc>
        <w:tc>
          <w:tcPr>
            <w:tcW w:type="dxa" w:w="14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INVALID_PARAMS</w:t>
            </w:r>
          </w:p>
        </w:tc>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Missing required field or invalid type in request body.</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Validate against published request schema. Check required fields.</w:t>
            </w:r>
          </w:p>
        </w:tc>
      </w:tr>
      <w:tr>
        <w:tc>
          <w:tcPr>
            <w:tcW w:type="dxa" w:w="10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E67E22"/>
                <w:sz w:val="19"/>
                <w:szCs w:val="19"/>
              </w:rPr>
              <w:t xml:space="preserve">401</w:t>
            </w:r>
          </w:p>
        </w:tc>
        <w:tc>
          <w:tcPr>
            <w:tcW w:type="dxa" w:w="14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AUTH_MISSING</w:t>
            </w:r>
          </w:p>
        </w:tc>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No Bearer token in Authorization header.</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Include valid JWT: Authorization: Bearer {token}</w:t>
            </w:r>
          </w:p>
        </w:tc>
      </w:tr>
      <w:tr>
        <w:tc>
          <w:tcPr>
            <w:tcW w:type="dxa" w:w="10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E67E22"/>
                <w:sz w:val="19"/>
                <w:szCs w:val="19"/>
              </w:rPr>
              <w:t xml:space="preserve">403</w:t>
            </w:r>
          </w:p>
        </w:tc>
        <w:tc>
          <w:tcPr>
            <w:tcW w:type="dxa" w:w="14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INSUFFICIENT_SCOPE</w:t>
            </w:r>
          </w:p>
        </w:tc>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Token does not carry required OAuth scope.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Request token with o2a:admin scope for write operations.</w:t>
            </w:r>
          </w:p>
        </w:tc>
      </w:tr>
      <w:tr>
        <w:tc>
          <w:tcPr>
            <w:tcW w:type="dxa" w:w="10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E67E22"/>
                <w:sz w:val="19"/>
                <w:szCs w:val="19"/>
              </w:rPr>
              <w:t xml:space="preserve">404</w:t>
            </w:r>
          </w:p>
        </w:tc>
        <w:tc>
          <w:tcPr>
            <w:tcW w:type="dxa" w:w="14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TOOL_NOT_FOUND</w:t>
            </w:r>
          </w:p>
        </w:tc>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db_name, api_name, or slot_name not found in registry.</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Verify identifier against /list_tools. Confirm onboarding completed.</w:t>
            </w:r>
          </w:p>
        </w:tc>
      </w:tr>
      <w:tr>
        <w:tc>
          <w:tcPr>
            <w:tcW w:type="dxa" w:w="10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E67E22"/>
                <w:sz w:val="19"/>
                <w:szCs w:val="19"/>
              </w:rPr>
              <w:t xml:space="preserve">408</w:t>
            </w:r>
          </w:p>
        </w:tc>
        <w:tc>
          <w:tcPr>
            <w:tcW w:type="dxa" w:w="14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QUERY_TIMEOUT</w:t>
            </w:r>
          </w:p>
        </w:tc>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SQL query or API call exceeded configured timeout.</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Increase timeout_ms in onboarding config or optimise query.</w:t>
            </w:r>
          </w:p>
        </w:tc>
      </w:tr>
      <w:tr>
        <w:tc>
          <w:tcPr>
            <w:tcW w:type="dxa" w:w="10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E67E22"/>
                <w:sz w:val="19"/>
                <w:szCs w:val="19"/>
              </w:rPr>
              <w:t xml:space="preserve">409</w:t>
            </w:r>
          </w:p>
        </w:tc>
        <w:tc>
          <w:tcPr>
            <w:tcW w:type="dxa" w:w="14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DUPLICATE_TOOL</w:t>
            </w:r>
          </w:p>
        </w:tc>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A tool with the same name is already registered.</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Use PUT to update existing registration or choose unique name.</w:t>
            </w:r>
          </w:p>
        </w:tc>
      </w:tr>
      <w:tr>
        <w:tc>
          <w:tcPr>
            <w:tcW w:type="dxa" w:w="10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E67E22"/>
                <w:sz w:val="19"/>
                <w:szCs w:val="19"/>
              </w:rPr>
              <w:t xml:space="preserve">422</w:t>
            </w:r>
          </w:p>
        </w:tc>
        <w:tc>
          <w:tcPr>
            <w:tcW w:type="dxa" w:w="14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DB_CONNECT_FAIL</w:t>
            </w:r>
          </w:p>
        </w:tc>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DataGateway cannot establish DB connection.</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Verify host/port/credentials. Check Vault path. Test with /onboard/db/test.</w:t>
            </w:r>
          </w:p>
        </w:tc>
      </w:tr>
      <w:tr>
        <w:tc>
          <w:tcPr>
            <w:tcW w:type="dxa" w:w="10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E67E22"/>
                <w:sz w:val="19"/>
                <w:szCs w:val="19"/>
              </w:rPr>
              <w:t xml:space="preserve">429</w:t>
            </w:r>
          </w:p>
        </w:tc>
        <w:tc>
          <w:tcPr>
            <w:tcW w:type="dxa" w:w="14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RATE_LIMITED</w:t>
            </w:r>
          </w:p>
        </w:tc>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Request rate exceeds APIGEE policy.</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Implement exponential back-off. Contact platform team for limit increase.</w:t>
            </w:r>
          </w:p>
        </w:tc>
      </w:tr>
      <w:tr>
        <w:tc>
          <w:tcPr>
            <w:tcW w:type="dxa" w:w="10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C0392B"/>
                <w:sz w:val="19"/>
                <w:szCs w:val="19"/>
              </w:rPr>
              <w:t xml:space="preserve">500</w:t>
            </w:r>
          </w:p>
        </w:tc>
        <w:tc>
          <w:tcPr>
            <w:tcW w:type="dxa" w:w="14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INTERNAL_ERROR</w:t>
            </w:r>
          </w:p>
        </w:tc>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Unexpected server-side error.</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Include trace_id from response when raising incident.</w:t>
            </w:r>
          </w:p>
        </w:tc>
      </w:tr>
      <w:tr>
        <w:tc>
          <w:tcPr>
            <w:tcW w:type="dxa" w:w="10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C0392B"/>
                <w:sz w:val="19"/>
                <w:szCs w:val="19"/>
              </w:rPr>
              <w:t xml:space="preserve">502</w:t>
            </w:r>
          </w:p>
        </w:tc>
        <w:tc>
          <w:tcPr>
            <w:tcW w:type="dxa" w:w="14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tcPr>
          <w:p>
            <w:r>
              <w:rPr>
                <w:rFonts w:ascii="Courier New" w:cs="Courier New" w:eastAsia="Courier New" w:hAnsi="Courier New"/>
                <w:color w:val="1B2A4A"/>
                <w:sz w:val="18"/>
                <w:szCs w:val="18"/>
              </w:rPr>
              <w:t xml:space="preserve">UPSTREAM_FAIL</w:t>
            </w:r>
          </w:p>
        </w:tc>
        <w:tc>
          <w:tcPr>
            <w:tcW w:type="dxa" w:w="220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Target database or API returned an error.</w:t>
            </w:r>
          </w:p>
        </w:tc>
        <w:tc>
          <w:tcPr>
            <w:tcW w:type="dxa" w:w="476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Check upstream system health. Review error_detail field in response.</w:t>
            </w:r>
          </w:p>
        </w:tc>
      </w:tr>
      <w:tr>
        <w:tc>
          <w:tcPr>
            <w:tcW w:type="dxa" w:w="10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C0392B"/>
                <w:sz w:val="19"/>
                <w:szCs w:val="19"/>
              </w:rPr>
              <w:t xml:space="preserve">503</w:t>
            </w:r>
          </w:p>
        </w:tc>
        <w:tc>
          <w:tcPr>
            <w:tcW w:type="dxa" w:w="14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tcPr>
          <w:p>
            <w:r>
              <w:rPr>
                <w:rFonts w:ascii="Courier New" w:cs="Courier New" w:eastAsia="Courier New" w:hAnsi="Courier New"/>
                <w:color w:val="1B2A4A"/>
                <w:sz w:val="18"/>
                <w:szCs w:val="18"/>
              </w:rPr>
              <w:t xml:space="preserve">POOL_EXHAUSTED</w:t>
            </w:r>
          </w:p>
        </w:tc>
        <w:tc>
          <w:tcPr>
            <w:tcW w:type="dxa" w:w="220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All DB connections in pool are in use.</w:t>
            </w:r>
          </w:p>
        </w:tc>
        <w:tc>
          <w:tcPr>
            <w:tcW w:type="dxa" w:w="476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Increase pool_max in DB registration or reduce concurrent load.</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11.  IMPLEMENTATION NOTES FOR DEVELOPMENT TEAM</w:t>
            </w:r>
          </w:p>
        </w:tc>
      </w:tr>
    </w:tbl>
    <w:p>
      <w:pPr>
        <w:spacing w:after="120"/>
      </w:pPr>
      <w:r>
        <w:t xml:space="preserve"/>
      </w:r>
    </w:p>
    <w:p>
      <w:pPr>
        <w:pStyle w:val="Heading2"/>
        <w:spacing w:after="140" w:before="280"/>
      </w:pPr>
      <w:r>
        <w:rPr>
          <w:rFonts w:ascii="Arial" w:cs="Arial" w:eastAsia="Arial" w:hAnsi="Arial"/>
          <w:b/>
          <w:bCs/>
          <w:color w:val="2E5FA3"/>
          <w:sz w:val="28"/>
          <w:szCs w:val="28"/>
        </w:rPr>
        <w:t xml:space="preserve">11.1  APIGEE Configuration</w:t>
      </w:r>
    </w:p>
    <w:p>
      <w:pPr>
        <w:pStyle w:val="ListParagraph"/>
        <w:numPr>
          <w:ilvl w:val="0"/>
          <w:numId w:val="2"/>
        </w:numPr>
        <w:spacing w:after="80"/>
      </w:pPr>
      <w:r>
        <w:rPr>
          <w:rFonts w:ascii="Arial" w:cs="Arial" w:eastAsia="Arial" w:hAnsi="Arial"/>
          <w:sz w:val="20"/>
          <w:szCs w:val="20"/>
        </w:rPr>
        <w:t xml:space="preserve">Create four API proxies in APIGEE: DataGateway, OnboardingAPI, DDC, UIBackend</w:t>
      </w:r>
    </w:p>
    <w:p>
      <w:pPr>
        <w:pStyle w:val="ListParagraph"/>
        <w:numPr>
          <w:ilvl w:val="0"/>
          <w:numId w:val="2"/>
        </w:numPr>
        <w:spacing w:after="80"/>
      </w:pPr>
      <w:r>
        <w:rPr>
          <w:rFonts w:ascii="Arial" w:cs="Arial" w:eastAsia="Arial" w:hAnsi="Arial"/>
          <w:sz w:val="20"/>
          <w:szCs w:val="20"/>
        </w:rPr>
        <w:t xml:space="preserve">Define OAuth2 token validation policy on all proxies — reject requests without valid JWT</w:t>
      </w:r>
    </w:p>
    <w:p>
      <w:pPr>
        <w:pStyle w:val="ListParagraph"/>
        <w:numPr>
          <w:ilvl w:val="0"/>
          <w:numId w:val="2"/>
        </w:numPr>
        <w:spacing w:after="80"/>
      </w:pPr>
      <w:r>
        <w:rPr>
          <w:rFonts w:ascii="Arial" w:cs="Arial" w:eastAsia="Arial" w:hAnsi="Arial"/>
          <w:sz w:val="20"/>
          <w:szCs w:val="20"/>
        </w:rPr>
        <w:t xml:space="preserve">Configure scope-checking policies: o2a:admin on all write/delete operations</w:t>
      </w:r>
    </w:p>
    <w:p>
      <w:pPr>
        <w:pStyle w:val="ListParagraph"/>
        <w:numPr>
          <w:ilvl w:val="0"/>
          <w:numId w:val="2"/>
        </w:numPr>
        <w:spacing w:after="80"/>
      </w:pPr>
      <w:r>
        <w:rPr>
          <w:rFonts w:ascii="Arial" w:cs="Arial" w:eastAsia="Arial" w:hAnsi="Arial"/>
          <w:sz w:val="20"/>
          <w:szCs w:val="20"/>
        </w:rPr>
        <w:t xml:space="preserve">Set rate limit policies per proxy (see Section 8.1)</w:t>
      </w:r>
    </w:p>
    <w:p>
      <w:pPr>
        <w:pStyle w:val="ListParagraph"/>
        <w:numPr>
          <w:ilvl w:val="0"/>
          <w:numId w:val="2"/>
        </w:numPr>
        <w:spacing w:after="80"/>
      </w:pPr>
      <w:r>
        <w:rPr>
          <w:rFonts w:ascii="Arial" w:cs="Arial" w:eastAsia="Arial" w:hAnsi="Arial"/>
          <w:sz w:val="20"/>
          <w:szCs w:val="20"/>
        </w:rPr>
        <w:t xml:space="preserve">Enable Cloud Trace / Apigee Analytics for all proxies — pass X-Trace-Id through</w:t>
      </w:r>
    </w:p>
    <w:p>
      <w:pPr>
        <w:spacing w:after="120"/>
      </w:pPr>
      <w:r>
        <w:t xml:space="preserve"/>
      </w:r>
    </w:p>
    <w:p>
      <w:pPr>
        <w:pStyle w:val="Heading2"/>
        <w:spacing w:after="140" w:before="280"/>
      </w:pPr>
      <w:r>
        <w:rPr>
          <w:rFonts w:ascii="Arial" w:cs="Arial" w:eastAsia="Arial" w:hAnsi="Arial"/>
          <w:b/>
          <w:bCs/>
          <w:color w:val="2E5FA3"/>
          <w:sz w:val="28"/>
          <w:szCs w:val="28"/>
        </w:rPr>
        <w:t xml:space="preserve">11.2  MongoDB Indexing Strategy</w:t>
      </w:r>
    </w:p>
    <w:p>
      <w:pPr>
        <w:pStyle w:val="ListParagraph"/>
        <w:numPr>
          <w:ilvl w:val="0"/>
          <w:numId w:val="2"/>
        </w:numPr>
        <w:spacing w:after="80"/>
      </w:pPr>
      <w:r>
        <w:rPr>
          <w:rFonts w:ascii="Arial" w:cs="Arial" w:eastAsia="Arial" w:hAnsi="Arial"/>
          <w:sz w:val="20"/>
          <w:szCs w:val="20"/>
        </w:rPr>
        <w:t xml:space="preserve">db_registrations: unique index on db_name; compound index on (status, db_type)</w:t>
      </w:r>
    </w:p>
    <w:p>
      <w:pPr>
        <w:pStyle w:val="ListParagraph"/>
        <w:numPr>
          <w:ilvl w:val="0"/>
          <w:numId w:val="2"/>
        </w:numPr>
        <w:spacing w:after="80"/>
      </w:pPr>
      <w:r>
        <w:rPr>
          <w:rFonts w:ascii="Arial" w:cs="Arial" w:eastAsia="Arial" w:hAnsi="Arial"/>
          <w:sz w:val="20"/>
          <w:szCs w:val="20"/>
        </w:rPr>
        <w:t xml:space="preserve">api_registrations: unique index on api_name; compound index on (api_mode, status, collection_id)</w:t>
      </w:r>
    </w:p>
    <w:p>
      <w:pPr>
        <w:pStyle w:val="ListParagraph"/>
        <w:numPr>
          <w:ilvl w:val="0"/>
          <w:numId w:val="2"/>
        </w:numPr>
        <w:spacing w:after="80"/>
      </w:pPr>
      <w:r>
        <w:rPr>
          <w:rFonts w:ascii="Arial" w:cs="Arial" w:eastAsia="Arial" w:hAnsi="Arial"/>
          <w:sz w:val="20"/>
          <w:szCs w:val="20"/>
        </w:rPr>
        <w:t xml:space="preserve">ddc_catalogue: compound index on (source_type, db_name, table_name); text index on fields.description for search</w:t>
      </w:r>
    </w:p>
    <w:p>
      <w:pPr>
        <w:pStyle w:val="ListParagraph"/>
        <w:numPr>
          <w:ilvl w:val="0"/>
          <w:numId w:val="2"/>
        </w:numPr>
        <w:spacing w:after="80"/>
      </w:pPr>
      <w:r>
        <w:rPr>
          <w:rFonts w:ascii="Arial" w:cs="Arial" w:eastAsia="Arial" w:hAnsi="Arial"/>
          <w:sz w:val="20"/>
          <w:szCs w:val="20"/>
        </w:rPr>
        <w:t xml:space="preserve">state_management: TTL index on created_at for async job cleanup (default: 7 days)</w:t>
      </w:r>
    </w:p>
    <w:p>
      <w:pPr>
        <w:spacing w:after="120"/>
      </w:pPr>
      <w:r>
        <w:t xml:space="preserve"/>
      </w:r>
    </w:p>
    <w:p>
      <w:pPr>
        <w:pStyle w:val="Heading2"/>
        <w:spacing w:after="140" w:before="280"/>
      </w:pPr>
      <w:r>
        <w:rPr>
          <w:rFonts w:ascii="Arial" w:cs="Arial" w:eastAsia="Arial" w:hAnsi="Arial"/>
          <w:b/>
          <w:bCs/>
          <w:color w:val="2E5FA3"/>
          <w:sz w:val="28"/>
          <w:szCs w:val="28"/>
        </w:rPr>
        <w:t xml:space="preserve">11.3  Vault Integration</w:t>
      </w:r>
    </w:p>
    <w:p>
      <w:pPr>
        <w:pStyle w:val="ListParagraph"/>
        <w:numPr>
          <w:ilvl w:val="0"/>
          <w:numId w:val="2"/>
        </w:numPr>
        <w:spacing w:after="80"/>
      </w:pPr>
      <w:r>
        <w:rPr>
          <w:rFonts w:ascii="Arial" w:cs="Arial" w:eastAsia="Arial" w:hAnsi="Arial"/>
          <w:sz w:val="20"/>
          <w:szCs w:val="20"/>
        </w:rPr>
        <w:t xml:space="preserve">Use AppRole auth for service-to-service Vault access — never static tokens</w:t>
      </w:r>
    </w:p>
    <w:p>
      <w:pPr>
        <w:pStyle w:val="ListParagraph"/>
        <w:numPr>
          <w:ilvl w:val="0"/>
          <w:numId w:val="2"/>
        </w:numPr>
        <w:spacing w:after="80"/>
      </w:pPr>
      <w:r>
        <w:rPr>
          <w:rFonts w:ascii="Arial" w:cs="Arial" w:eastAsia="Arial" w:hAnsi="Arial"/>
          <w:sz w:val="20"/>
          <w:szCs w:val="20"/>
        </w:rPr>
        <w:t xml:space="preserve">DB credential path convention: secret/o2a/db/{db_ref_id}/credentials</w:t>
      </w:r>
    </w:p>
    <w:p>
      <w:pPr>
        <w:pStyle w:val="ListParagraph"/>
        <w:numPr>
          <w:ilvl w:val="0"/>
          <w:numId w:val="2"/>
        </w:numPr>
        <w:spacing w:after="80"/>
      </w:pPr>
      <w:r>
        <w:rPr>
          <w:rFonts w:ascii="Arial" w:cs="Arial" w:eastAsia="Arial" w:hAnsi="Arial"/>
          <w:sz w:val="20"/>
          <w:szCs w:val="20"/>
        </w:rPr>
        <w:t xml:space="preserve">API credential path convention: secret/o2a/api/{api_id}/credentials</w:t>
      </w:r>
    </w:p>
    <w:p>
      <w:pPr>
        <w:pStyle w:val="ListParagraph"/>
        <w:numPr>
          <w:ilvl w:val="0"/>
          <w:numId w:val="2"/>
        </w:numPr>
        <w:spacing w:after="80"/>
      </w:pPr>
      <w:r>
        <w:rPr>
          <w:rFonts w:ascii="Arial" w:cs="Arial" w:eastAsia="Arial" w:hAnsi="Arial"/>
          <w:sz w:val="20"/>
          <w:szCs w:val="20"/>
        </w:rPr>
        <w:t xml:space="preserve">Set lease TTL = 3600s (1 hour) with automatic renewal in DataGateway connection pool manager</w:t>
      </w:r>
    </w:p>
    <w:p>
      <w:pPr>
        <w:pStyle w:val="ListParagraph"/>
        <w:numPr>
          <w:ilvl w:val="0"/>
          <w:numId w:val="2"/>
        </w:numPr>
        <w:spacing w:after="80"/>
      </w:pPr>
      <w:r>
        <w:rPr>
          <w:rFonts w:ascii="Arial" w:cs="Arial" w:eastAsia="Arial" w:hAnsi="Arial"/>
          <w:sz w:val="20"/>
          <w:szCs w:val="20"/>
        </w:rPr>
        <w:t xml:space="preserve">Rotate credentials on every PUT /onboard/db/{db_ref_id} that includes a password change</w:t>
      </w:r>
    </w:p>
    <w:p>
      <w:pPr>
        <w:spacing w:after="120"/>
      </w:pPr>
      <w:r>
        <w:t xml:space="preserve"/>
      </w:r>
    </w:p>
    <w:p>
      <w:pPr>
        <w:pStyle w:val="Heading2"/>
        <w:spacing w:after="140" w:before="280"/>
      </w:pPr>
      <w:r>
        <w:rPr>
          <w:rFonts w:ascii="Arial" w:cs="Arial" w:eastAsia="Arial" w:hAnsi="Arial"/>
          <w:b/>
          <w:bCs/>
          <w:color w:val="2E5FA3"/>
          <w:sz w:val="28"/>
          <w:szCs w:val="28"/>
        </w:rPr>
        <w:t xml:space="preserve">11.4  DDC Enrichment Pipeline</w:t>
      </w:r>
    </w:p>
    <w:p>
      <w:pPr>
        <w:pStyle w:val="ListParagraph"/>
        <w:numPr>
          <w:ilvl w:val="0"/>
          <w:numId w:val="2"/>
        </w:numPr>
        <w:spacing w:after="80"/>
      </w:pPr>
      <w:r>
        <w:rPr>
          <w:rFonts w:ascii="Arial" w:cs="Arial" w:eastAsia="Arial" w:hAnsi="Arial"/>
          <w:sz w:val="20"/>
          <w:szCs w:val="20"/>
        </w:rPr>
        <w:t xml:space="preserve">Trigger: POST event from Onboarding API on successful DB/table registration → Kafka topic or MongoDB Change Stream</w:t>
      </w:r>
    </w:p>
    <w:p>
      <w:pPr>
        <w:pStyle w:val="ListParagraph"/>
        <w:numPr>
          <w:ilvl w:val="0"/>
          <w:numId w:val="2"/>
        </w:numPr>
        <w:spacing w:after="80"/>
      </w:pPr>
      <w:r>
        <w:rPr>
          <w:rFonts w:ascii="Arial" w:cs="Arial" w:eastAsia="Arial" w:hAnsi="Arial"/>
          <w:sz w:val="20"/>
          <w:szCs w:val="20"/>
        </w:rPr>
        <w:t xml:space="preserve">Worker pulls event, connects to DB via DataGateway /sor/db/{db_name}/query/raw with SELECT * FROM {table} FETCH FIRST 20 ROWS ONLY</w:t>
      </w:r>
    </w:p>
    <w:p>
      <w:pPr>
        <w:pStyle w:val="ListParagraph"/>
        <w:numPr>
          <w:ilvl w:val="0"/>
          <w:numId w:val="2"/>
        </w:numPr>
        <w:spacing w:after="80"/>
      </w:pPr>
      <w:r>
        <w:rPr>
          <w:rFonts w:ascii="Arial" w:cs="Arial" w:eastAsia="Arial" w:hAnsi="Arial"/>
          <w:sz w:val="20"/>
          <w:szCs w:val="20"/>
        </w:rPr>
        <w:t xml:space="preserve">Serialise rows to JSON; construct LLM prompt with column names, types, and sample values</w:t>
      </w:r>
    </w:p>
    <w:p>
      <w:pPr>
        <w:pStyle w:val="ListParagraph"/>
        <w:numPr>
          <w:ilvl w:val="0"/>
          <w:numId w:val="2"/>
        </w:numPr>
        <w:spacing w:after="80"/>
      </w:pPr>
      <w:r>
        <w:rPr>
          <w:rFonts w:ascii="Arial" w:cs="Arial" w:eastAsia="Arial" w:hAnsi="Arial"/>
          <w:sz w:val="20"/>
          <w:szCs w:val="20"/>
        </w:rPr>
        <w:t xml:space="preserve">Call Amazon Bedrock (Claude claude-sonnet-4-6) with structured output instruction — return JSON FieldDDC array</w:t>
      </w:r>
    </w:p>
    <w:p>
      <w:pPr>
        <w:pStyle w:val="ListParagraph"/>
        <w:numPr>
          <w:ilvl w:val="0"/>
          <w:numId w:val="2"/>
        </w:numPr>
        <w:spacing w:after="80"/>
      </w:pPr>
      <w:r>
        <w:rPr>
          <w:rFonts w:ascii="Arial" w:cs="Arial" w:eastAsia="Arial" w:hAnsi="Arial"/>
          <w:sz w:val="20"/>
          <w:szCs w:val="20"/>
        </w:rPr>
        <w:t xml:space="preserve">Parse response, compute embeddings via Bedrock Titan Embeddings, store in ddc_catalogue collection</w:t>
      </w:r>
    </w:p>
    <w:p>
      <w:pPr>
        <w:pStyle w:val="ListParagraph"/>
        <w:numPr>
          <w:ilvl w:val="0"/>
          <w:numId w:val="2"/>
        </w:numPr>
        <w:spacing w:after="80"/>
      </w:pPr>
      <w:r>
        <w:rPr>
          <w:rFonts w:ascii="Arial" w:cs="Arial" w:eastAsia="Arial" w:hAnsi="Arial"/>
          <w:sz w:val="20"/>
          <w:szCs w:val="20"/>
        </w:rPr>
        <w:t xml:space="preserve">Update db_registrations.ddc_enriched = true on completion</w:t>
      </w:r>
    </w:p>
    <w:p>
      <w:pPr>
        <w:spacing w:after="120"/>
      </w:pPr>
      <w:r>
        <w:t xml:space="preserve"/>
      </w:r>
    </w:p>
    <w:p>
      <w:pPr>
        <w:pStyle w:val="Heading2"/>
        <w:spacing w:after="140" w:before="280"/>
      </w:pPr>
      <w:r>
        <w:rPr>
          <w:rFonts w:ascii="Arial" w:cs="Arial" w:eastAsia="Arial" w:hAnsi="Arial"/>
          <w:b/>
          <w:bCs/>
          <w:color w:val="2E5FA3"/>
          <w:sz w:val="28"/>
          <w:szCs w:val="28"/>
        </w:rPr>
        <w:t xml:space="preserve">11.5  Async API Execution Pattern</w:t>
      </w:r>
    </w:p>
    <w:p>
      <w:pPr>
        <w:pStyle w:val="ListParagraph"/>
        <w:numPr>
          <w:ilvl w:val="0"/>
          <w:numId w:val="2"/>
        </w:numPr>
        <w:spacing w:after="80"/>
      </w:pPr>
      <w:r>
        <w:rPr>
          <w:rFonts w:ascii="Arial" w:cs="Arial" w:eastAsia="Arial" w:hAnsi="Arial"/>
          <w:sz w:val="20"/>
          <w:szCs w:val="20"/>
        </w:rPr>
        <w:t xml:space="preserve">POST /sor/api/async/{api_name} → create MongoDB job document with status=PENDING, return job_id</w:t>
      </w:r>
    </w:p>
    <w:p>
      <w:pPr>
        <w:pStyle w:val="ListParagraph"/>
        <w:numPr>
          <w:ilvl w:val="0"/>
          <w:numId w:val="2"/>
        </w:numPr>
        <w:spacing w:after="80"/>
      </w:pPr>
      <w:r>
        <w:rPr>
          <w:rFonts w:ascii="Arial" w:cs="Arial" w:eastAsia="Arial" w:hAnsi="Arial"/>
          <w:sz w:val="20"/>
          <w:szCs w:val="20"/>
        </w:rPr>
        <w:t xml:space="preserve">Worker picks up job, calls target API, writes result to MongoDB, updates status=COMPLETE</w:t>
      </w:r>
    </w:p>
    <w:p>
      <w:pPr>
        <w:pStyle w:val="ListParagraph"/>
        <w:numPr>
          <w:ilvl w:val="0"/>
          <w:numId w:val="2"/>
        </w:numPr>
        <w:spacing w:after="80"/>
      </w:pPr>
      <w:r>
        <w:rPr>
          <w:rFonts w:ascii="Arial" w:cs="Arial" w:eastAsia="Arial" w:hAnsi="Arial"/>
          <w:sz w:val="20"/>
          <w:szCs w:val="20"/>
        </w:rPr>
        <w:t xml:space="preserve">If callback_url registered via /subscribe, POST result to callback URL (retry 3x on failure)</w:t>
      </w:r>
    </w:p>
    <w:p>
      <w:pPr>
        <w:pStyle w:val="ListParagraph"/>
        <w:numPr>
          <w:ilvl w:val="0"/>
          <w:numId w:val="2"/>
        </w:numPr>
        <w:spacing w:after="80"/>
      </w:pPr>
      <w:r>
        <w:rPr>
          <w:rFonts w:ascii="Arial" w:cs="Arial" w:eastAsia="Arial" w:hAnsi="Arial"/>
          <w:sz w:val="20"/>
          <w:szCs w:val="20"/>
        </w:rPr>
        <w:t xml:space="preserve">Job results retained for 7 days (TTL index); after TTL, GET /result/{job_id} returns 410 Gone</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312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3120"/>
            <w:tcBorders>
              <w:top w:val="single" w:color="BBCDE5" w:sz="1"/>
              <w:left w:val="single" w:color="BBCDE5" w:sz="1"/>
              <w:bottom w:val="single" w:color="BBCDE5" w:sz="1"/>
              <w:right w:val="single" w:color="BBCDE5"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r>
      <w:tr>
        <w:tc>
          <w:tcPr>
            <w:tcW w:type="dxa" w:w="312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000000"/>
                <w:sz w:val="19"/>
                <w:szCs w:val="19"/>
              </w:rPr>
              <w:t xml:space="preserve">Solution Architect</w:t>
            </w:r>
          </w:p>
        </w:tc>
        <w:tc>
          <w:tcPr>
            <w:tcW w:type="dxa" w:w="312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
            </w:r>
          </w:p>
        </w:tc>
        <w:tc>
          <w:tcPr>
            <w:tcW w:type="dxa" w:w="312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
            </w:r>
          </w:p>
        </w:tc>
      </w:tr>
      <w:tr>
        <w:tc>
          <w:tcPr>
            <w:tcW w:type="dxa" w:w="312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000000"/>
                <w:sz w:val="19"/>
                <w:szCs w:val="19"/>
              </w:rPr>
              <w:t xml:space="preserve">Platform Engineering Lead</w:t>
            </w:r>
          </w:p>
        </w:tc>
        <w:tc>
          <w:tcPr>
            <w:tcW w:type="dxa" w:w="312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
            </w:r>
          </w:p>
        </w:tc>
        <w:tc>
          <w:tcPr>
            <w:tcW w:type="dxa" w:w="312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
            </w:r>
          </w:p>
        </w:tc>
      </w:tr>
      <w:tr>
        <w:tc>
          <w:tcPr>
            <w:tcW w:type="dxa" w:w="312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bCs/>
                <w:color w:val="000000"/>
                <w:sz w:val="19"/>
                <w:szCs w:val="19"/>
              </w:rPr>
              <w:t xml:space="preserve">Data Engineering Lead</w:t>
            </w:r>
          </w:p>
        </w:tc>
        <w:tc>
          <w:tcPr>
            <w:tcW w:type="dxa" w:w="312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
            </w:r>
          </w:p>
        </w:tc>
        <w:tc>
          <w:tcPr>
            <w:tcW w:type="dxa" w:w="3120"/>
            <w:tcBorders>
              <w:top w:val="single" w:color="BBCDE5" w:sz="1"/>
              <w:left w:val="single" w:color="BBCDE5" w:sz="1"/>
              <w:bottom w:val="single" w:color="BBCDE5" w:sz="1"/>
              <w:right w:val="single" w:color="BBCDE5" w:sz="1"/>
            </w:tcBorders>
            <w:shd w:fill="F0F5FD"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
            </w:r>
          </w:p>
        </w:tc>
      </w:tr>
      <w:tr>
        <w:tc>
          <w:tcPr>
            <w:tcW w:type="dxa" w:w="312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bCs/>
                <w:color w:val="000000"/>
                <w:sz w:val="19"/>
                <w:szCs w:val="19"/>
              </w:rPr>
              <w:t xml:space="preserve">Security Review</w:t>
            </w:r>
          </w:p>
        </w:tc>
        <w:tc>
          <w:tcPr>
            <w:tcW w:type="dxa" w:w="312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
            </w:r>
          </w:p>
        </w:tc>
        <w:tc>
          <w:tcPr>
            <w:tcW w:type="dxa" w:w="3120"/>
            <w:tcBorders>
              <w:top w:val="single" w:color="BBCDE5" w:sz="1"/>
              <w:left w:val="single" w:color="BBCDE5" w:sz="1"/>
              <w:bottom w:val="single" w:color="BBCDE5" w:sz="1"/>
              <w:right w:val="single" w:color="BBCDE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9"/>
                <w:szCs w:val="19"/>
              </w:rPr>
              <w:t xml:space="preserve"/>
            </w:r>
          </w:p>
        </w:tc>
      </w:tr>
    </w:tbl>
    <w:p>
      <w:pPr>
        <w:spacing w:after="120"/>
      </w:pPr>
      <w:r>
        <w:t xml:space="preserve"/>
      </w:r>
    </w:p>
    <w:p>
      <w:pPr>
        <w:jc w:val="center"/>
      </w:pPr>
      <w:r>
        <w:rPr>
          <w:rFonts w:ascii="Arial" w:cs="Arial" w:eastAsia="Arial" w:hAnsi="Arial"/>
          <w:color w:val="555555"/>
          <w:sz w:val="16"/>
          <w:szCs w:val="16"/>
        </w:rPr>
        <w:t xml:space="preserve">© 2026 DataOps Labs · O2A Platform · INTERNAL USE ONLY</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D4" w:sz="4" w:space="4"/>
      </w:pBdr>
      <w:tabs>
        <w:tab w:val="right" w:pos="9360"/>
      </w:tabs>
    </w:pPr>
    <w:r>
      <w:rPr>
        <w:rFonts w:ascii="Arial" w:cs="Arial" w:eastAsia="Arial" w:hAnsi="Arial"/>
        <w:color w:val="555555"/>
        <w:sz w:val="16"/>
        <w:szCs w:val="16"/>
      </w:rPr>
      <w:t xml:space="preserve">Observer-to-Agent (O2A) Platform  |  DataOps Labs  |  Solution Architecture</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4" w:space="4"/>
      </w:pBdr>
      <w:tabs>
        <w:tab w:val="right" w:pos="9360"/>
      </w:tabs>
    </w:pPr>
    <w:r>
      <w:rPr>
        <w:rFonts w:ascii="Arial" w:cs="Arial" w:eastAsia="Arial" w:hAnsi="Arial"/>
        <w:b/>
        <w:bCs/>
        <w:color w:val="1B2A4A"/>
        <w:sz w:val="18"/>
        <w:szCs w:val="18"/>
      </w:rPr>
      <w:t xml:space="preserve">O2A Platform — Solution Design Document</w:t>
    </w:r>
    <w:r>
      <w:rPr>
        <w:rFonts w:ascii="Arial" w:cs="Arial" w:eastAsia="Arial" w:hAnsi="Arial"/>
        <w:color w:val="555555"/>
        <w:sz w:val="16"/>
        <w:szCs w:val="16"/>
      </w:rPr>
      <w:t xml:space="preserve">		CONFIDENTIAL  |  v1.0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78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2026-06-25T02:01:41.709Z</dcterms:created>
  <dcterms:modified xsi:type="dcterms:W3CDTF">2026-06-25T02:01:41.710Z</dcterms:modified>
</cp:coreProperties>
</file>

<file path=docProps/custom.xml><?xml version="1.0" encoding="utf-8"?>
<Properties xmlns="http://schemas.openxmlformats.org/officeDocument/2006/custom-properties" xmlns:vt="http://schemas.openxmlformats.org/officeDocument/2006/docPropsVTypes"/>
</file>