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智能工艺规程系统当前工作优先级与两周执行计划</w:t>
      </w:r>
    </w:p>
    <w:p>
      <w:pPr>
        <w:jc w:val="center"/>
      </w:pPr>
      <w:r>
        <w:rPr>
          <w:color w:val="595959"/>
          <w:sz w:val="22"/>
        </w:rPr>
        <w:t>基于当前代码状态、行业实践与产品验证目标</w:t>
      </w:r>
    </w:p>
    <w:p>
      <w:pPr>
        <w:jc w:val="center"/>
      </w:pPr>
      <w:r>
        <w:rPr>
          <w:sz w:val="18"/>
        </w:rPr>
        <w:t>编制日期：2026年6月20日</w:t>
      </w:r>
    </w:p>
    <w:p>
      <w:pPr>
        <w:pStyle w:val="Heading1"/>
      </w:pPr>
      <w:r>
        <w:t>一、结论</w:t>
      </w:r>
    </w:p>
    <w:p>
      <w:r>
        <w:rPr>
          <w:b/>
        </w:rPr>
        <w:t>当前最应该聚焦的不是继续扩大功能，而是证明系统能够稳定交付，并量化其实际价值。</w:t>
      </w:r>
      <w:r>
        <w:t xml:space="preserve"> 建议用未来两周完成跨平台可复现交付和真实图纸基准验证，再进入结构化工艺与知识闭环建设。</w:t>
      </w:r>
    </w:p>
    <w:p>
      <w:r>
        <w:rPr>
          <w:b/>
        </w:rPr>
        <w:t>两周核心目标：</w:t>
      </w:r>
      <w:r>
        <w:t>使用30份真实图纸，证明系统可以从干净环境稳定安装、启动并完成流程，同时量化AI工艺初稿减少了多少人工修改。</w:t>
      </w:r>
    </w:p>
    <w:p>
      <w:pPr>
        <w:pStyle w:val="Heading1"/>
      </w:pPr>
      <w:r>
        <w:t>二、工作量优先级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优先级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工作主题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预计工作量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当前排序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交付结果</w:t>
            </w:r>
          </w:p>
        </w:tc>
      </w:tr>
      <w:tr>
        <w:tc>
          <w:tcPr>
            <w:tcW w:type="dxa" w:w="1728"/>
            <w:vAlign w:val="center"/>
            <w:shd w:fill="F4B183"/>
          </w:tcPr>
          <w:p>
            <w:r/>
            <w:r>
              <w:rPr>
                <w:b/>
              </w:rPr>
              <w:t>P0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稳定、可复现交付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3—7天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立即执行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解决干净克隆无法启动、依赖不统一、模型缺失和数据库初始化问题</w:t>
            </w:r>
          </w:p>
        </w:tc>
      </w:tr>
      <w:tr>
        <w:tc>
          <w:tcPr>
            <w:tcW w:type="dxa" w:w="1728"/>
            <w:vAlign w:val="center"/>
            <w:shd w:fill="FFE699"/>
          </w:tcPr>
          <w:p>
            <w:r/>
            <w:r>
              <w:rPr>
                <w:b/>
              </w:rPr>
              <w:t>P1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真实图纸基准评测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1—2周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最高业务优先级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建立20—50份真实样本，量化准确率、采用率、修改量、耗时和失败率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</w:rPr>
              <w:t>P2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结构化工艺与确定性校验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2—4周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基准稳定后执行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把自由文本转为可验证、可编辑、可追溯的工艺数据结构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/>
              </w:rPr>
              <w:t>P3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知识反馈闭环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持续建设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在P2基础上推进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</w:rPr>
              <w:t>保存AI原稿、人工修改、审核结果、引用来源和模型版本，形成可学习资产</w:t>
            </w:r>
          </w:p>
        </w:tc>
      </w:tr>
    </w:tbl>
    <w:p>
      <w:pPr>
        <w:pStyle w:val="Heading1"/>
      </w:pPr>
      <w:r>
        <w:t>三、P0：先完成稳定、可复现交付</w:t>
      </w:r>
    </w:p>
    <w:p>
      <w:pPr>
        <w:pStyle w:val="ListNumber"/>
      </w:pPr>
      <w:r>
        <w:t>提交并推送当前尚未提交的 macOS 兼容修改，避免远程仓库的干净克隆仍因 WinDLL 等 Windows 专属代码启动失败。</w:t>
      </w:r>
    </w:p>
    <w:p>
      <w:pPr>
        <w:pStyle w:val="ListNumber"/>
      </w:pPr>
      <w:r>
        <w:t>统一依赖入口和平台条件：明确后端、前端、YOLO、OCR及可选模块的安装方式，避免只安装 backend/requirements.txt 时遗漏 ultralytics。</w:t>
      </w:r>
    </w:p>
    <w:p>
      <w:pPr>
        <w:pStyle w:val="ListNumber"/>
      </w:pPr>
      <w:r>
        <w:t>补齐YOLO模型交付。短期复制 best.pt；更推荐同时导出 ONNX，减少不同操作系统和Torch环境造成的差异。</w:t>
      </w:r>
    </w:p>
    <w:p>
      <w:pPr>
        <w:pStyle w:val="ListNumber"/>
      </w:pPr>
      <w:r>
        <w:t>增加模型清单：记录模型文件名、版本、SHA-256、类别、置信度阈值、输入尺寸和发布日期。</w:t>
      </w:r>
    </w:p>
    <w:p>
      <w:pPr>
        <w:pStyle w:val="ListNumber"/>
      </w:pPr>
      <w:r>
        <w:t>收敛数据库初始化：保留单一建表来源，增加schema版本和迁移机制，消除 kb_import_batches、vectors_v2 缺表问题。</w:t>
      </w:r>
    </w:p>
    <w:p>
      <w:pPr>
        <w:pStyle w:val="ListNumber"/>
      </w:pPr>
      <w:r>
        <w:t>从干净克隆执行一次完整验收：创建虚拟环境、安装依赖、启动前后端、上传图纸、人工标注、生成工艺、浏览数据库。</w:t>
      </w:r>
    </w:p>
    <w:p>
      <w:r>
        <w:rPr>
          <w:b/>
        </w:rPr>
        <w:t>P0完成标准：</w:t>
      </w:r>
      <w:r>
        <w:t>新机器或新目录不修改源码即可启动；缺少可选模型时有明确降级提示；数据库首次启动自动建表；完整主流程可重复执行。</w:t>
      </w:r>
    </w:p>
    <w:p>
      <w:pPr>
        <w:pStyle w:val="Heading1"/>
      </w:pPr>
      <w:r>
        <w:t>四、P1：建立真实图纸基准评测</w:t>
      </w:r>
    </w:p>
    <w:p>
      <w:r>
        <w:t>建议首批使用30份具有代表性的真实图纸，覆盖简单件、复杂件、不同页数、不同图纸质量和主要工艺类型。每次版本变更均在同一数据集上回归。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4472C4"/>
          </w:tcPr>
          <w:p>
            <w:r/>
            <w:r>
              <w:rPr>
                <w:b/>
                <w:color w:val="FFFFFF"/>
              </w:rPr>
              <w:t>指标</w:t>
            </w:r>
          </w:p>
        </w:tc>
        <w:tc>
          <w:tcPr>
            <w:tcW w:type="dxa" w:w="4320"/>
            <w:vAlign w:val="center"/>
            <w:shd w:fill="4472C4"/>
          </w:tcPr>
          <w:p>
            <w:r/>
            <w:r>
              <w:rPr>
                <w:b/>
                <w:color w:val="FFFFFF"/>
              </w:rPr>
              <w:t>测量内容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图纸信息抽取准确率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材料、尺寸、公差、技术要求、零件名称等关键字段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YOLO标注质量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目标召回率、误检率、人工补标数量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工艺初稿采用率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直接采用、轻度修改、重度修改、完全废弃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人工修改量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字段级差异、增删工序数量、修改字符数或编辑时长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端到端耗时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上传到可审阅结果的总时间及各阶段耗时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稳定性与成本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失败率、重试率、API调用成本、单张图纸平均成本</w:t>
            </w:r>
          </w:p>
        </w:tc>
      </w:tr>
    </w:tbl>
    <w:p>
      <w:pPr>
        <w:pStyle w:val="Heading1"/>
      </w:pPr>
      <w:r>
        <w:t>五、P2：结构化工艺与规则校验</w:t>
      </w:r>
    </w:p>
    <w:p>
      <w:r>
        <w:t>在基准评测能够稳定复现后，将工艺输出从主要依赖自由文本升级为结构化对象。建议至少包含：</w:t>
      </w:r>
    </w:p>
    <w:p>
      <w:pPr>
        <w:pStyle w:val="ListBullet"/>
      </w:pPr>
      <w:r>
        <w:t>工序号与工序编码</w:t>
      </w:r>
    </w:p>
    <w:p>
      <w:pPr>
        <w:pStyle w:val="ListBullet"/>
      </w:pPr>
      <w:r>
        <w:t>工种与工序内容</w:t>
      </w:r>
    </w:p>
    <w:p>
      <w:pPr>
        <w:pStyle w:val="ListBullet"/>
      </w:pPr>
      <w:r>
        <w:t>设备、刀具、夹具和量具</w:t>
      </w:r>
    </w:p>
    <w:p>
      <w:pPr>
        <w:pStyle w:val="ListBullet"/>
      </w:pPr>
      <w:r>
        <w:t>关键尺寸、公差及检验要求</w:t>
      </w:r>
    </w:p>
    <w:p>
      <w:pPr>
        <w:pStyle w:val="ListBullet"/>
      </w:pPr>
      <w:r>
        <w:t>工时或节拍</w:t>
      </w:r>
    </w:p>
    <w:p>
      <w:pPr>
        <w:pStyle w:val="ListBullet"/>
      </w:pPr>
      <w:r>
        <w:t>图纸证据、知识库来源和页码/区域</w:t>
      </w:r>
    </w:p>
    <w:p>
      <w:pPr>
        <w:pStyle w:val="ListBullet"/>
      </w:pPr>
      <w:r>
        <w:t>生成模型、提示词和规则版本</w:t>
      </w:r>
    </w:p>
    <w:p>
      <w:r>
        <w:t>随后增加确定性校验，例如工序号连续性、材料规格一致性、尺寸引用合法性、热处理与检验要求完整性。LLM负责生成候选结果，规则层负责阻止明显错误进入最终结果。</w:t>
      </w:r>
    </w:p>
    <w:p>
      <w:pPr>
        <w:pStyle w:val="Heading1"/>
      </w:pPr>
      <w:r>
        <w:t>六、P3：形成知识反馈闭环</w:t>
      </w:r>
    </w:p>
    <w:p>
      <w:r>
        <w:t>每次人工审核都应成为可追踪的数据，而不是覆盖原结果。至少保存以下版本：</w:t>
      </w:r>
    </w:p>
    <w:p>
      <w:pPr>
        <w:pStyle w:val="ListBullet"/>
      </w:pPr>
      <w:r>
        <w:t>AI原始结果</w:t>
      </w:r>
    </w:p>
    <w:p>
      <w:pPr>
        <w:pStyle w:val="ListBullet"/>
      </w:pPr>
      <w:r>
        <w:t>规则校验后的结果</w:t>
      </w:r>
    </w:p>
    <w:p>
      <w:pPr>
        <w:pStyle w:val="ListBullet"/>
      </w:pPr>
      <w:r>
        <w:t>人工修改后的结果</w:t>
      </w:r>
    </w:p>
    <w:p>
      <w:pPr>
        <w:pStyle w:val="ListBullet"/>
      </w:pPr>
      <w:r>
        <w:t>字段级差异</w:t>
      </w:r>
    </w:p>
    <w:p>
      <w:pPr>
        <w:pStyle w:val="ListBullet"/>
      </w:pPr>
      <w:r>
        <w:t>审核人、审核状态和时间</w:t>
      </w:r>
    </w:p>
    <w:p>
      <w:pPr>
        <w:pStyle w:val="ListBullet"/>
      </w:pPr>
      <w:r>
        <w:t>检索到的知识来源</w:t>
      </w:r>
    </w:p>
    <w:p>
      <w:pPr>
        <w:pStyle w:val="ListBullet"/>
      </w:pPr>
      <w:r>
        <w:t>模型、提示词、规则和数据版本</w:t>
      </w:r>
    </w:p>
    <w:p>
      <w:pPr>
        <w:pStyle w:val="Heading1"/>
      </w:pPr>
      <w:r>
        <w:t>七、建议工作量分配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70AD47"/>
          </w:tcPr>
          <w:p>
            <w:r/>
            <w:r>
              <w:rPr>
                <w:b/>
                <w:color w:val="FFFFFF"/>
              </w:rPr>
              <w:t>工作方向</w:t>
            </w:r>
          </w:p>
        </w:tc>
        <w:tc>
          <w:tcPr>
            <w:tcW w:type="dxa" w:w="4320"/>
            <w:vAlign w:val="center"/>
            <w:shd w:fill="70AD47"/>
          </w:tcPr>
          <w:p>
            <w:r/>
            <w:r>
              <w:rPr>
                <w:b/>
                <w:color w:val="FFFFFF"/>
              </w:rPr>
              <w:t>建议占比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真实图纸基准与质量评测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40%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跨平台安装、依赖和模型交付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30%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结构化输出与确定性规则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20%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必要的前端问题修复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10%</w:t>
            </w:r>
          </w:p>
        </w:tc>
      </w:tr>
    </w:tbl>
    <w:p>
      <w:pPr>
        <w:pStyle w:val="Heading1"/>
      </w:pPr>
      <w:r>
        <w:t>八、未来两周执行安排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5B9BD5"/>
          </w:tcPr>
          <w:p>
            <w:r/>
            <w:r>
              <w:rPr>
                <w:b/>
                <w:color w:val="FFFFFF"/>
              </w:rPr>
              <w:t>时间</w:t>
            </w:r>
          </w:p>
        </w:tc>
        <w:tc>
          <w:tcPr>
            <w:tcW w:type="dxa" w:w="4320"/>
            <w:vAlign w:val="center"/>
            <w:shd w:fill="5B9BD5"/>
          </w:tcPr>
          <w:p>
            <w:r/>
            <w:r>
              <w:rPr>
                <w:b/>
                <w:color w:val="FFFFFF"/>
              </w:rPr>
              <w:t>工作内容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第1—2天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整理并提交macOS兼容修改；统一安装文档和依赖；补齐YOLO模型与模型清单。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第3—4天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完成数据库schema初始化收敛；从干净克隆执行全流程验收；记录安装和运行问题。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第5天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定义30份图纸的样本分层、标准答案格式和评测指标。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第6—9天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批量运行基准集；记录抽取、标注、工艺、耗时、成本和失败数据。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第10天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分析主要错误类型，按影响和频率排序。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第11—13天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修复最高价值的两至三个问题，并在同一基准集回归。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/>
              </w:rPr>
              <w:t>第14天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</w:rPr>
              <w:t>输出基准报告，决定下一阶段优先投入结构化工艺、视觉模型还是知识库质量。</w:t>
            </w:r>
          </w:p>
        </w:tc>
      </w:tr>
    </w:tbl>
    <w:p>
      <w:pPr>
        <w:pStyle w:val="Heading1"/>
      </w:pPr>
      <w:r>
        <w:t>九、当前不建议优先投入</w:t>
      </w:r>
    </w:p>
    <w:p>
      <w:pPr>
        <w:pStyle w:val="ListBullet"/>
      </w:pPr>
      <w:r>
        <w:t>微服务拆分、Kubernetes或复杂云原生架构。</w:t>
      </w:r>
    </w:p>
    <w:p>
      <w:pPr>
        <w:pStyle w:val="ListBullet"/>
      </w:pPr>
      <w:r>
        <w:t>立即全面迁移PostgreSQL或引入Temporal等大型基础设施。</w:t>
      </w:r>
    </w:p>
    <w:p>
      <w:pPr>
        <w:pStyle w:val="ListBullet"/>
      </w:pPr>
      <w:r>
        <w:t>一次性对接完整PLM、MES或ERP体系。</w:t>
      </w:r>
    </w:p>
    <w:p>
      <w:pPr>
        <w:pStyle w:val="ListBullet"/>
      </w:pPr>
      <w:r>
        <w:t>自训练大语言模型。</w:t>
      </w:r>
    </w:p>
    <w:p>
      <w:pPr>
        <w:pStyle w:val="ListBullet"/>
      </w:pPr>
      <w:r>
        <w:t>大规模前端视觉重构。</w:t>
      </w:r>
    </w:p>
    <w:p>
      <w:r>
        <w:t>这些方向并非没有价值，但在尚未证明真实图纸效果和稳定交付之前，会增加维护成本，无法优先解决当前产品风险。</w:t>
      </w:r>
    </w:p>
    <w:p>
      <w:pPr>
        <w:pStyle w:val="Heading1"/>
      </w:pPr>
      <w:r>
        <w:t>十、阶段决策门槛</w:t>
      </w:r>
    </w:p>
    <w:p>
      <w:r>
        <w:t>两周后应基于数据决定下一步，而不是基于主观体验：</w:t>
      </w:r>
    </w:p>
    <w:p>
      <w:pPr>
        <w:pStyle w:val="ListBullet"/>
      </w:pPr>
      <w:r>
        <w:t>若失败主要来自环境和模型加载，继续优先工程化交付。</w:t>
      </w:r>
    </w:p>
    <w:p>
      <w:pPr>
        <w:pStyle w:val="ListBullet"/>
      </w:pPr>
      <w:r>
        <w:t>若失败主要来自视觉漏检，优先YOLO/ONNX模型和标注数据。</w:t>
      </w:r>
    </w:p>
    <w:p>
      <w:pPr>
        <w:pStyle w:val="ListBullet"/>
      </w:pPr>
      <w:r>
        <w:t>若图纸抽取正确但工艺错误，优先结构化工艺、规则校验和知识检索。</w:t>
      </w:r>
    </w:p>
    <w:p>
      <w:pPr>
        <w:pStyle w:val="ListBullet"/>
      </w:pPr>
      <w:r>
        <w:t>若结果质量可用但人工修改无法沉淀，优先审核与知识反馈闭环。</w:t>
      </w:r>
    </w:p>
    <w:sectPr w:rsidR="00FC693F" w:rsidRPr="0006063C" w:rsidSect="00034616">
      <w:footerReference w:type="default" r:id="rId9"/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智能工艺规程系统 · 工作优先级与执行计划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