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17324D"/>
          <w:sz w:val="60"/>
        </w:rPr>
        <w:t>智能工艺规程生成系统</w:t>
      </w:r>
    </w:p>
    <w:p>
      <w:pPr>
        <w:jc w:val="center"/>
      </w:pPr>
      <w:r>
        <w:rPr>
          <w:rFonts w:ascii="Microsoft YaHei" w:hAnsi="Microsoft YaHei" w:eastAsia="Microsoft YaHei"/>
          <w:b/>
          <w:color w:val="2563A6"/>
          <w:sz w:val="40"/>
        </w:rPr>
        <w:t>竞品、技术栈匹配度与优化方向评估报告</w:t>
      </w:r>
    </w:p>
    <w:p>
      <w:pPr>
        <w:spacing w:before="360"/>
        <w:jc w:val="center"/>
      </w:pPr>
      <w:r>
        <w:rPr>
          <w:rFonts w:ascii="Microsoft YaHei" w:hAnsi="Microsoft YaHei" w:eastAsia="Microsoft YaHei"/>
          <w:b w:val="0"/>
          <w:color w:val="64748B"/>
          <w:sz w:val="24"/>
        </w:rPr>
        <w:t>面向机械制造企业的 AI 辅助生成式 CAPP</w:t>
      </w:r>
    </w:p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CEAF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评估对象</w:t>
            </w:r>
          </w:p>
        </w:tc>
        <w:tc>
          <w:tcPr>
            <w:tcW w:type="dxa" w:w="498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72334"/>
                <w:sz w:val="19"/>
              </w:rPr>
              <w:t>图纸解析—人工标注/审阅—RAG/LLM工艺生成—知识库沉淀系统</w:t>
            </w:r>
          </w:p>
        </w:tc>
      </w:tr>
      <w:tr>
        <w:tc>
          <w:tcPr>
            <w:tcW w:type="dxa" w:w="4986"/>
            <w:shd w:fill="DCEAF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评估日期</w:t>
            </w:r>
          </w:p>
        </w:tc>
        <w:tc>
          <w:tcPr>
            <w:tcW w:type="dxa" w:w="498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72334"/>
                <w:sz w:val="19"/>
              </w:rPr>
              <w:t>2026年6月20日</w:t>
            </w:r>
          </w:p>
        </w:tc>
      </w:tr>
      <w:tr>
        <w:tc>
          <w:tcPr>
            <w:tcW w:type="dxa" w:w="4986"/>
            <w:shd w:fill="DCEAF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报告性质</w:t>
            </w:r>
          </w:p>
        </w:tc>
        <w:tc>
          <w:tcPr>
            <w:tcW w:type="dxa" w:w="498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72334"/>
                <w:sz w:val="19"/>
              </w:rPr>
              <w:t>产品战略与技术架构评估</w:t>
            </w:r>
          </w:p>
        </w:tc>
      </w:tr>
      <w:tr>
        <w:tc>
          <w:tcPr>
            <w:tcW w:type="dxa" w:w="4986"/>
            <w:shd w:fill="DCEAF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适用场景</w:t>
            </w:r>
          </w:p>
        </w:tc>
        <w:tc>
          <w:tcPr>
            <w:tcW w:type="dxa" w:w="498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72334"/>
                <w:sz w:val="19"/>
              </w:rPr>
              <w:t>内部决策、客户交流、产品规划与研发路线制定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17324D"/>
          <w:sz w:val="34"/>
        </w:rPr>
        <w:t>一、执行摘要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CEAF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22"/>
              </w:rPr>
              <w:t>核心定位</w:t>
              <w:br/>
            </w:r>
            <w:r>
              <w:rPr>
                <w:rFonts w:ascii="Microsoft YaHei" w:hAnsi="Microsoft YaHei" w:eastAsia="Microsoft YaHei"/>
                <w:b w:val="0"/>
                <w:color w:val="172334"/>
                <w:sz w:val="20"/>
              </w:rPr>
              <w:t>本系统适合定位为面向机械制造企业的轻量级、AI辅助型生成式CAPP平台：将历史2D图纸和非结构化工艺经验转换为可审阅、可复用、可追溯的结构化工艺草案。</w:t>
            </w:r>
          </w:p>
        </w:tc>
      </w:tr>
    </w:tbl>
    <w:p>
      <w:pPr>
        <w:spacing w:after="0"/>
      </w:pPr>
    </w:p>
    <w:p>
      <w:pPr>
        <w:spacing w:line="324" w:lineRule="auto" w:after="100"/>
      </w:pPr>
      <w:r>
        <w:rPr>
          <w:rFonts w:ascii="Microsoft YaHei" w:hAnsi="Microsoft YaHei" w:eastAsia="Microsoft YaHei"/>
          <w:b w:val="0"/>
          <w:color w:val="172334"/>
          <w:sz w:val="21"/>
        </w:rPr>
        <w:t>系统并非传统意义上的完整PLM/CAPP，也不是单一OCR工具，而是位于2D工程图理解、3D几何分析、人机协同标注、工艺知识复用和生成式工艺规划的交叉区域。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381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评估维度</w:t>
            </w:r>
          </w:p>
        </w:tc>
        <w:tc>
          <w:tcPr>
            <w:tcW w:type="dxa" w:w="6803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是否存在竞品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存在；传统CAPP和制造过程规划市场已成熟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是否存在完全同型竞品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较少；多数竞品只覆盖PLM/CAPP或图纸AI的一部分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技术方向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符合生成式CAPP、工业AI与Human-in-the-loop趋势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当前技术栈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适合原型、单机版、小规模试点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企业级成熟度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尚不足以支撑大型制造企业多用户生产环境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最强差异化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2D旧图纸输入＋人工审阅＋生成工艺＋知识沉淀闭环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主要短板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缺PLM数字线程、资源约束、工时成本、审批版本体系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建议战略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作为现有PLM/CAPP的AI工艺助手，而非正面替代完整平台</w:t>
            </w:r>
          </w:p>
        </w:tc>
      </w:tr>
    </w:tbl>
    <w:p>
      <w:pPr>
        <w:spacing w:after="0"/>
      </w:pP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17324D"/>
          <w:sz w:val="34"/>
        </w:rPr>
        <w:t>二、市场与竞品格局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17324D"/>
          <w:sz w:val="26"/>
        </w:rPr>
        <w:t>2.1 直接竞品：传统CAPP与制造过程规划平台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928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</w:t>
            </w:r>
          </w:p>
        </w:tc>
        <w:tc>
          <w:tcPr>
            <w:tcW w:type="dxa" w:w="3515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核心能力</w:t>
            </w:r>
          </w:p>
        </w:tc>
        <w:tc>
          <w:tcPr>
            <w:tcW w:type="dxa" w:w="181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优势</w:t>
            </w:r>
          </w:p>
        </w:tc>
        <w:tc>
          <w:tcPr>
            <w:tcW w:type="dxa" w:w="2381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与当前系统关系</w:t>
            </w:r>
          </w:p>
        </w:tc>
      </w:tr>
      <w:t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Siemens Teamcenter Manufacturing / Easy Plan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MBOM、BOP、BOE；工艺路线、资源、工时、节拍；产品与工艺变更同步；车间连接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企业数字线程与制造资源管理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上位竞品；实施复杂、成本高，目标客户不同</w:t>
            </w:r>
          </w:p>
        </w:tc>
      </w:tr>
      <w:t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Dassault Systèmes DELMIA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3D工艺规划、MBOM、PPR、工位和周期仿真、3D作业指导书、虚拟制造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3D虚拟验证和设计制造连续性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当前系统覆盖其工艺定义前段，缺资源模型和仿真</w:t>
            </w:r>
          </w:p>
        </w:tc>
      </w:tr>
      <w:t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PTC Windchill MPMLink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EBOM到MBOM、工艺路线、制造资源库、版本变更、动态作业指导书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配置、版本和企业级关联管理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适合作为未来集成目标，而非直接替代</w:t>
            </w:r>
          </w:p>
        </w:tc>
      </w:tr>
      <w:t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CAXA CAPP工艺图表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工艺卡片、图文混排、尺寸提取、典型工艺、知识库、资源库、统计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本土工艺格式与企业流程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国内直接竞品；生成式AI和非结构化理解是可差异化点</w:t>
            </w:r>
          </w:p>
        </w:tc>
      </w:tr>
      <w:t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开目 MPM/CAPP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多专业协同、工艺审查、知识驱动、3D工艺仿真、过程管理、PLM/MES集成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设计工艺制造一体化及AI智能体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国内应重点跟踪的强竞品</w:t>
            </w:r>
          </w:p>
        </w:tc>
      </w:tr>
      <w:t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华天软件 CAPP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工艺设计、工艺知识库、规范化流程和企业系统集成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传统企业级CAPP落地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强在管理与集成，弱在生成式AI差异化</w:t>
            </w:r>
          </w:p>
        </w:tc>
      </w:tr>
    </w:tbl>
    <w:p>
      <w:pPr>
        <w:spacing w:after="0"/>
      </w:pP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17324D"/>
          <w:sz w:val="26"/>
        </w:rPr>
        <w:t>2.2 邻近竞品：AI工程图与几何理解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041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产品/方向</w:t>
            </w:r>
          </w:p>
        </w:tc>
        <w:tc>
          <w:tcPr>
            <w:tcW w:type="dxa" w:w="4649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2835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竞争关系</w:t>
            </w:r>
          </w:p>
        </w:tc>
      </w:tr>
      <w:t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Werk24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从PDF/图片图纸提取尺寸、形位公差、材料、注释和几何信息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与特征报告模块高度重合</w:t>
            </w:r>
          </w:p>
        </w:tc>
      </w:tr>
      <w:t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CoLab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AI辅助制造图纸审查，保留工程师最终判断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与人工审阅机制理念相近</w:t>
            </w:r>
          </w:p>
        </w:tc>
      </w:tr>
      <w:t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Paperless Parts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分析CAD几何、加工特征、装夹、可制造性、材料去除量和成本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验证了几何到制造决策的市场需求</w:t>
            </w:r>
          </w:p>
        </w:tc>
      </w:tr>
    </w:tbl>
    <w:p>
      <w:pPr>
        <w:spacing w:after="0"/>
      </w:pP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17324D"/>
          <w:sz w:val="26"/>
        </w:rPr>
        <w:t>2.3 建议的市场定位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8D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22"/>
              </w:rPr>
              <w:t>推荐定位</w:t>
              <w:br/>
            </w:r>
            <w:r>
              <w:rPr>
                <w:rFonts w:ascii="Microsoft YaHei" w:hAnsi="Microsoft YaHei" w:eastAsia="Microsoft YaHei"/>
                <w:b w:val="0"/>
                <w:color w:val="172334"/>
                <w:sz w:val="20"/>
              </w:rPr>
              <w:t>可嵌入现有PLM/CAPP体系的AI工艺工程师助手，为存量2D图纸和新零件快速生成有依据、可审阅、可追溯的结构化工艺草案。</w:t>
            </w:r>
          </w:p>
        </w:tc>
      </w:tr>
    </w:tbl>
    <w:p>
      <w:pPr>
        <w:spacing w:after="0"/>
      </w:pPr>
    </w:p>
    <w:p>
      <w:pPr>
        <w:spacing w:line="324" w:lineRule="auto" w:after="100"/>
      </w:pPr>
      <w:r>
        <w:rPr>
          <w:rFonts w:ascii="Microsoft YaHei" w:hAnsi="Microsoft YaHei" w:eastAsia="Microsoft YaHei"/>
          <w:b w:val="0"/>
          <w:color w:val="172334"/>
          <w:sz w:val="21"/>
        </w:rPr>
        <w:t>该定位可避开与Teamcenter、DELMIA等平台在完整数字线程上的正面竞争，并突出以下差异化：</w:t>
      </w:r>
    </w:p>
    <w:p>
      <w:pPr>
        <w:pStyle w:val="ListBullet"/>
        <w:spacing w:after="60" w:line="288" w:lineRule="auto"/>
        <w:ind w:left="397"/>
      </w:pPr>
      <w:r>
        <w:rPr>
          <w:rFonts w:ascii="Microsoft YaHei" w:hAnsi="Microsoft YaHei" w:eastAsia="Microsoft YaHei"/>
          <w:b w:val="0"/>
          <w:color w:val="172334"/>
          <w:sz w:val="20"/>
        </w:rPr>
        <w:t>处理企业大量存量2D图纸和历史工艺文档。</w:t>
      </w:r>
    </w:p>
    <w:p>
      <w:pPr>
        <w:pStyle w:val="ListBullet"/>
        <w:spacing w:after="60" w:line="288" w:lineRule="auto"/>
        <w:ind w:left="397"/>
      </w:pPr>
      <w:r>
        <w:rPr>
          <w:rFonts w:ascii="Microsoft YaHei" w:hAnsi="Microsoft YaHei" w:eastAsia="Microsoft YaHei"/>
          <w:b w:val="0"/>
          <w:color w:val="172334"/>
          <w:sz w:val="20"/>
        </w:rPr>
        <w:t>将图纸解析、人工标注、特征审阅和工艺生成连接为闭环。</w:t>
      </w:r>
    </w:p>
    <w:p>
      <w:pPr>
        <w:pStyle w:val="ListBullet"/>
        <w:spacing w:after="60" w:line="288" w:lineRule="auto"/>
        <w:ind w:left="397"/>
      </w:pPr>
      <w:r>
        <w:rPr>
          <w:rFonts w:ascii="Microsoft YaHei" w:hAnsi="Microsoft YaHei" w:eastAsia="Microsoft YaHei"/>
          <w:b w:val="0"/>
          <w:color w:val="172334"/>
          <w:sz w:val="20"/>
        </w:rPr>
        <w:t>允许工程师修改、确认和重新生成，符合制造业人机协同原则。</w:t>
      </w:r>
    </w:p>
    <w:p>
      <w:pPr>
        <w:pStyle w:val="ListBullet"/>
        <w:spacing w:after="60" w:line="288" w:lineRule="auto"/>
        <w:ind w:left="397"/>
      </w:pPr>
      <w:r>
        <w:rPr>
          <w:rFonts w:ascii="Microsoft YaHei" w:hAnsi="Microsoft YaHei" w:eastAsia="Microsoft YaHei"/>
          <w:b w:val="0"/>
          <w:color w:val="172334"/>
          <w:sz w:val="20"/>
        </w:rPr>
        <w:t>可作为传统CAPP的前置草案生成器或智能插件。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17324D"/>
          <w:sz w:val="34"/>
        </w:rPr>
        <w:t>三、当前技术栈与行业实践匹配度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技术层</w:t>
            </w:r>
          </w:p>
        </w:tc>
        <w:tc>
          <w:tcPr>
            <w:tcW w:type="dxa" w:w="3855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当前实现</w:t>
            </w:r>
          </w:p>
        </w:tc>
        <w:tc>
          <w:tcPr>
            <w:tcW w:type="dxa" w:w="113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匹配度</w:t>
            </w:r>
          </w:p>
        </w:tc>
        <w:tc>
          <w:tcPr>
            <w:tcW w:type="dxa" w:w="2835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前端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React 18、TypeScript、Vite、Tailwind、Playwright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90%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符合现代工业Web应用实践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API层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Flask、Blueprint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75%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原型和单体部署合理，规模化需强化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实时反馈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SSE＋持久化事件回放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85%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场景匹配，设计优于纯内存SSE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长任务执行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Flask进程内线程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40%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不适合多Worker、重试和横向扩容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业务数据库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SQLite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55%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适合桌面单机，不适合多用户企业版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向量检索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SQLite BLOB＋应用层检索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45%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可验证概念，规模和治理能力不足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文件存储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本地目录＋JSON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45%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权威来源分散，缺版本和生命周期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AI管线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OCR＋VLM＋YOLO＋规则＋RAG＋LLM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85%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符合工业AI多模型融合方向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推理部署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PyTorch/Ultralytics优先、ONNX兜底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75%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方向正确，缺正式模型治理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人机协同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标注＋审阅＋重新生成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90%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高度符合Human-in-the-loop实践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工业标准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PDF/STEP，自定义JSON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45%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缺AP242、QIF、BOP资源模型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可观测性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日志＋局部耗时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40%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缺统一追踪、指标和模型成本监控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模型治理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本地权重路径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25%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缺版本、校验、精度、回滚和发布体系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企业集成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少量API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35%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缺PLM/MES/ERP/QMS标准适配器</w:t>
            </w:r>
          </w:p>
        </w:tc>
      </w:tr>
    </w:tbl>
    <w:p>
      <w:pPr>
        <w:spacing w:after="0"/>
      </w:pP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17324D"/>
          <w:sz w:val="26"/>
        </w:rPr>
        <w:t>3.1 符合行业实践的部分</w:t>
      </w:r>
    </w:p>
    <w:p>
      <w:pPr>
        <w:spacing w:line="324" w:lineRule="auto" w:after="100"/>
      </w:pPr>
      <w:r>
        <w:rPr>
          <w:rFonts w:ascii="Microsoft YaHei" w:hAnsi="Microsoft YaHei" w:eastAsia="Microsoft YaHei"/>
          <w:b/>
          <w:color w:val="172334"/>
          <w:sz w:val="21"/>
        </w:rPr>
        <w:t>React＋TypeScript：</w:t>
      </w:r>
      <w:r>
        <w:rPr>
          <w:rFonts w:ascii="Microsoft YaHei" w:hAnsi="Microsoft YaHei" w:eastAsia="Microsoft YaHei"/>
          <w:b w:val="0"/>
          <w:color w:val="172334"/>
          <w:sz w:val="21"/>
        </w:rPr>
        <w:t>技术选择合理，无需更换。适合复杂审阅、标注、历史回放和工艺编辑界面。</w:t>
      </w:r>
    </w:p>
    <w:p>
      <w:pPr>
        <w:spacing w:line="324" w:lineRule="auto" w:after="100"/>
      </w:pPr>
      <w:r>
        <w:rPr>
          <w:rFonts w:ascii="Microsoft YaHei" w:hAnsi="Microsoft YaHei" w:eastAsia="Microsoft YaHei"/>
          <w:b/>
          <w:color w:val="172334"/>
          <w:sz w:val="21"/>
        </w:rPr>
        <w:t>Python AI管线：</w:t>
      </w:r>
      <w:r>
        <w:rPr>
          <w:rFonts w:ascii="Microsoft YaHei" w:hAnsi="Microsoft YaHei" w:eastAsia="Microsoft YaHei"/>
          <w:b w:val="0"/>
          <w:color w:val="172334"/>
          <w:sz w:val="21"/>
        </w:rPr>
        <w:t>适合OCR、OpenCV、YOLO、ONNX、VLM/LLM和几何分析。企业级不等于必须改写为Java或C#。</w:t>
      </w:r>
    </w:p>
    <w:p>
      <w:pPr>
        <w:spacing w:line="324" w:lineRule="auto" w:after="100"/>
      </w:pPr>
      <w:r>
        <w:rPr>
          <w:rFonts w:ascii="Microsoft YaHei" w:hAnsi="Microsoft YaHei" w:eastAsia="Microsoft YaHei"/>
          <w:b/>
          <w:color w:val="172334"/>
          <w:sz w:val="21"/>
        </w:rPr>
        <w:t>SSE实时反馈：</w:t>
      </w:r>
      <w:r>
        <w:rPr>
          <w:rFonts w:ascii="Microsoft YaHei" w:hAnsi="Microsoft YaHei" w:eastAsia="Microsoft YaHei"/>
          <w:b w:val="0"/>
          <w:color w:val="172334"/>
          <w:sz w:val="21"/>
        </w:rPr>
        <w:t>工艺生成是服务端单向进度场景，SSE比WebSocket更简单；持久化事件支持断线回放。</w:t>
      </w:r>
    </w:p>
    <w:p>
      <w:pPr>
        <w:spacing w:line="324" w:lineRule="auto" w:after="100"/>
      </w:pPr>
      <w:r>
        <w:rPr>
          <w:rFonts w:ascii="Microsoft YaHei" w:hAnsi="Microsoft YaHei" w:eastAsia="Microsoft YaHei"/>
          <w:b/>
          <w:color w:val="172334"/>
          <w:sz w:val="21"/>
        </w:rPr>
        <w:t>多模型融合：</w:t>
      </w:r>
      <w:r>
        <w:rPr>
          <w:rFonts w:ascii="Microsoft YaHei" w:hAnsi="Microsoft YaHei" w:eastAsia="Microsoft YaHei"/>
          <w:b w:val="0"/>
          <w:color w:val="172334"/>
          <w:sz w:val="21"/>
        </w:rPr>
        <w:t>OCR、VLM、YOLO、几何规则、RAG、LLM、后置校验和人工审阅组合优于单模型端到端。</w:t>
      </w:r>
    </w:p>
    <w:p>
      <w:pPr>
        <w:spacing w:line="324" w:lineRule="auto" w:after="100"/>
      </w:pPr>
      <w:r>
        <w:rPr>
          <w:rFonts w:ascii="Microsoft YaHei" w:hAnsi="Microsoft YaHei" w:eastAsia="Microsoft YaHei"/>
          <w:b/>
          <w:color w:val="172334"/>
          <w:sz w:val="21"/>
        </w:rPr>
        <w:t>Human-in-the-loop：</w:t>
      </w:r>
      <w:r>
        <w:rPr>
          <w:rFonts w:ascii="Microsoft YaHei" w:hAnsi="Microsoft YaHei" w:eastAsia="Microsoft YaHei"/>
          <w:b w:val="0"/>
          <w:color w:val="172334"/>
          <w:sz w:val="21"/>
        </w:rPr>
        <w:t>制造领域强调机器辅助和工程师最终判断，当前状态机方向正确。</w:t>
      </w:r>
    </w:p>
    <w:p>
      <w:pPr>
        <w:spacing w:line="324" w:lineRule="auto" w:after="100"/>
      </w:pPr>
      <w:r>
        <w:rPr>
          <w:rFonts w:ascii="Microsoft YaHei" w:hAnsi="Microsoft YaHei" w:eastAsia="Microsoft YaHei"/>
          <w:b/>
          <w:color w:val="172334"/>
          <w:sz w:val="21"/>
        </w:rPr>
        <w:t>ONNX Runtime：</w:t>
      </w:r>
      <w:r>
        <w:rPr>
          <w:rFonts w:ascii="Microsoft YaHei" w:hAnsi="Microsoft YaHei" w:eastAsia="Microsoft YaHei"/>
          <w:b w:val="0"/>
          <w:color w:val="172334"/>
          <w:sz w:val="21"/>
        </w:rPr>
        <w:t>适合跨Windows、macOS和服务器部署，可降低对训练框架和CUDA环境的耦合。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17324D"/>
          <w:sz w:val="26"/>
        </w:rPr>
        <w:t>3.2 与企业级实践不匹配的部分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340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969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进程内线程承担长任务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重启中断、难以重试、无法安全横向扩容、GPU任务无法统一排队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近期采用Celery＋Redis/RabbitMQ；复杂持久工作流再评估Temporal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SQLite承担业务与向量检索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并发写、备份、权限、索引和多Worker能力有限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生产版采用PostgreSQL＋pgvector，SQLite保留为桌面离线版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结果散落于SQLite、JSON和目录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权威来源不唯一，恢复和版本治理复杂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元数据进PostgreSQL，大文件进S3/MinIO，数据库保存对象版本引用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运行期手写建表/迁移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结构漂移、重复SQL、无法回滚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采用SQLAlchemy＋Alembic，启动只校验schema版本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模型权重依赖本地路径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不可复现、不可回滚、跨平台交付失败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建立模型清单、语义版本、SHA-256、类别表、阈值、指标和支持硬件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缺工业数字线程标准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工艺结果仍以文本和自定义JSON为主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逐步支持STEP AP242、QIF、结构化BOP及PLM/MES适配器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缺端到端可观测性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无法量化VLM/LLM耗时、成本、RAG命中和人工修改率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7"/>
              </w:rPr>
              <w:t>引入OpenTelemetry，统一task_id、trace、metrics和结构化日志</w:t>
            </w:r>
          </w:p>
        </w:tc>
      </w:tr>
    </w:tbl>
    <w:p>
      <w:pPr>
        <w:spacing w:after="0"/>
      </w:pP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17324D"/>
          <w:sz w:val="34"/>
        </w:rPr>
        <w:t>四、与成熟CAPP的产品能力差距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515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能力域</w:t>
            </w:r>
          </w:p>
        </w:tc>
        <w:tc>
          <w:tcPr>
            <w:tcW w:type="dxa" w:w="425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当前状态</w:t>
            </w:r>
          </w:p>
        </w:tc>
        <w:tc>
          <w:tcPr>
            <w:tcW w:type="dxa" w:w="1417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图纸解析与工序生成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已具备，可形成产品核心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保持领先</w:t>
            </w:r>
          </w:p>
        </w:tc>
      </w:tr>
      <w:tr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人工标注与特征审阅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已具备，符合行业信任机制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持续优化</w:t>
            </w:r>
          </w:p>
        </w:tc>
      </w:tr>
      <w:tr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工艺知识库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初步具备，缺治理与版本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高</w:t>
            </w:r>
          </w:p>
        </w:tc>
      </w:tr>
      <w:tr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工艺版本管理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不完整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高</w:t>
            </w:r>
          </w:p>
        </w:tc>
      </w:tr>
      <w:tr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审批、签审与退回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缺正式工作流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高</w:t>
            </w:r>
          </w:p>
        </w:tc>
      </w:tr>
      <w:tr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设备、刀具、夹具资源库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缺少结构化模型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高</w:t>
            </w:r>
          </w:p>
        </w:tc>
      </w:tr>
      <w:tr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工时与成本估算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缺少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高</w:t>
            </w:r>
          </w:p>
        </w:tc>
      </w:tr>
      <w:tr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企业制造能力约束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主要依赖提示词、规则和历史工艺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高</w:t>
            </w:r>
          </w:p>
        </w:tc>
      </w:tr>
      <w:tr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EBOM、MBOM、BOP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缺少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中长期</w:t>
            </w:r>
          </w:p>
        </w:tc>
      </w:tr>
      <w:tr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变更影响分析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缺少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中长期</w:t>
            </w:r>
          </w:p>
        </w:tc>
      </w:tr>
      <w:tr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3D工艺仿真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缺少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中长期</w:t>
            </w:r>
          </w:p>
        </w:tc>
      </w:tr>
      <w:tr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MES下发与质量闭环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缺少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中长期</w:t>
            </w:r>
          </w:p>
        </w:tc>
      </w:tr>
    </w:tbl>
    <w:p>
      <w:pPr>
        <w:spacing w:after="0"/>
      </w:pP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17324D"/>
          <w:sz w:val="34"/>
        </w:rPr>
        <w:t>五、建议目标架构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737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交互层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React＋TypeScript；上传、标注、审阅、工艺编辑、审批与历史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API层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模块化后端API；认证、权限、租户、版本和集成接口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工作流层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持久任务队列/编排；重试、超时、暂停等待人工、恢复和幂等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AI Worker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图纸解析、OCR/VLM、YOLO、几何、RAG、工艺生成、规则验证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数据层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PostgreSQL＋pgvector；结构化工艺、版本、资源、审批、向量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对象存储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S3/MinIO；原图、模型、预览、标注、结果、模型权重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企业连接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PLM、MES、ERP、QMS、CAD/CAM和机床数据适配器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可观测性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OpenTelemetry；trace、metric、log、模型版本和成本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CEAF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22"/>
              </w:rPr>
              <w:t>架构原则</w:t>
              <w:br/>
            </w:r>
            <w:r>
              <w:rPr>
                <w:rFonts w:ascii="Microsoft YaHei" w:hAnsi="Microsoft YaHei" w:eastAsia="Microsoft YaHei"/>
                <w:b w:val="0"/>
                <w:color w:val="172334"/>
                <w:sz w:val="20"/>
              </w:rPr>
              <w:t>短期采用“模块化单体＋独立任务Worker”，不要立即拆成大量微服务。先解决任务可靠性、数据权威性、模型治理和企业数据模型。</w:t>
            </w:r>
          </w:p>
        </w:tc>
      </w:tr>
    </w:tbl>
    <w:p>
      <w:pPr>
        <w:spacing w:after="0"/>
      </w:pP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17324D"/>
          <w:sz w:val="34"/>
        </w:rPr>
        <w:t>六、优化路线图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17324D"/>
          <w:sz w:val="26"/>
        </w:rPr>
        <w:t>P0：工程稳定化（1—4周）</w:t>
      </w:r>
    </w:p>
    <w:p>
      <w:pPr>
        <w:pStyle w:val="ListNumber"/>
        <w:spacing w:after="80"/>
        <w:ind w:left="397"/>
      </w:pPr>
      <w:r>
        <w:rPr>
          <w:rFonts w:ascii="Microsoft YaHei" w:hAnsi="Microsoft YaHei" w:eastAsia="Microsoft YaHei"/>
          <w:b w:val="0"/>
          <w:color w:val="172334"/>
          <w:sz w:val="20"/>
        </w:rPr>
        <w:t>提交并推送现有macOS兼容代码，确保干净克隆可启动。</w:t>
      </w:r>
    </w:p>
    <w:p>
      <w:pPr>
        <w:pStyle w:val="ListNumber"/>
        <w:spacing w:after="80"/>
        <w:ind w:left="397"/>
      </w:pPr>
      <w:r>
        <w:rPr>
          <w:rFonts w:ascii="Microsoft YaHei" w:hAnsi="Microsoft YaHei" w:eastAsia="Microsoft YaHei"/>
          <w:b w:val="0"/>
          <w:color w:val="172334"/>
          <w:sz w:val="20"/>
        </w:rPr>
        <w:t>统一根目录与后端依赖文件，增加Windows/macOS平台条件。</w:t>
      </w:r>
    </w:p>
    <w:p>
      <w:pPr>
        <w:pStyle w:val="ListNumber"/>
        <w:spacing w:after="80"/>
        <w:ind w:left="397"/>
      </w:pPr>
      <w:r>
        <w:rPr>
          <w:rFonts w:ascii="Microsoft YaHei" w:hAnsi="Microsoft YaHei" w:eastAsia="Microsoft YaHei"/>
          <w:b w:val="0"/>
          <w:color w:val="172334"/>
          <w:sz w:val="20"/>
        </w:rPr>
        <w:t>建立YOLO模型manifest：版本、哈希、类别、输入尺寸、阈值和兼容硬件。</w:t>
      </w:r>
    </w:p>
    <w:p>
      <w:pPr>
        <w:pStyle w:val="ListNumber"/>
        <w:spacing w:after="80"/>
        <w:ind w:left="397"/>
      </w:pPr>
      <w:r>
        <w:rPr>
          <w:rFonts w:ascii="Microsoft YaHei" w:hAnsi="Microsoft YaHei" w:eastAsia="Microsoft YaHei"/>
          <w:b w:val="0"/>
          <w:color w:val="172334"/>
          <w:sz w:val="20"/>
        </w:rPr>
        <w:t>消除重复建表SQL，引入schema版本和迁移工具。</w:t>
      </w:r>
    </w:p>
    <w:p>
      <w:pPr>
        <w:pStyle w:val="ListNumber"/>
        <w:spacing w:after="80"/>
        <w:ind w:left="397"/>
      </w:pPr>
      <w:r>
        <w:rPr>
          <w:rFonts w:ascii="Microsoft YaHei" w:hAnsi="Microsoft YaHei" w:eastAsia="Microsoft YaHei"/>
          <w:b w:val="0"/>
          <w:color w:val="172334"/>
          <w:sz w:val="20"/>
        </w:rPr>
        <w:t>明确SQLite、JSON、任务结果文件和历史索引的权威边界。</w:t>
      </w:r>
    </w:p>
    <w:p>
      <w:pPr>
        <w:pStyle w:val="ListNumber"/>
        <w:spacing w:after="80"/>
        <w:ind w:left="397"/>
      </w:pPr>
      <w:r>
        <w:rPr>
          <w:rFonts w:ascii="Microsoft YaHei" w:hAnsi="Microsoft YaHei" w:eastAsia="Microsoft YaHei"/>
          <w:b w:val="0"/>
          <w:color w:val="172334"/>
          <w:sz w:val="20"/>
        </w:rPr>
        <w:t>建立真实图纸回归数据集，覆盖空库、上传、标注、审阅、生成、回放和入库。</w:t>
      </w:r>
    </w:p>
    <w:p>
      <w:pPr>
        <w:pStyle w:val="ListNumber"/>
        <w:spacing w:after="80"/>
        <w:ind w:left="397"/>
      </w:pPr>
      <w:r>
        <w:rPr>
          <w:rFonts w:ascii="Microsoft YaHei" w:hAnsi="Microsoft YaHei" w:eastAsia="Microsoft YaHei"/>
          <w:b w:val="0"/>
          <w:color w:val="172334"/>
          <w:sz w:val="20"/>
        </w:rPr>
        <w:t>建立CI：后端测试、React构建、空数据库启动和关键API冒烟。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17324D"/>
          <w:sz w:val="26"/>
        </w:rPr>
        <w:t>P1：企业试点产品化（1—3个月）</w:t>
      </w:r>
    </w:p>
    <w:p>
      <w:pPr>
        <w:pStyle w:val="ListNumber"/>
        <w:spacing w:after="80"/>
        <w:ind w:left="397"/>
      </w:pPr>
      <w:r>
        <w:rPr>
          <w:rFonts w:ascii="Microsoft YaHei" w:hAnsi="Microsoft YaHei" w:eastAsia="Microsoft YaHei"/>
          <w:b w:val="0"/>
          <w:color w:val="172334"/>
          <w:sz w:val="20"/>
        </w:rPr>
        <w:t>引入PostgreSQL＋pgvector，SQLite保留为桌面离线部署模式。</w:t>
      </w:r>
    </w:p>
    <w:p>
      <w:pPr>
        <w:pStyle w:val="ListNumber"/>
        <w:spacing w:after="80"/>
        <w:ind w:left="397"/>
      </w:pPr>
      <w:r>
        <w:rPr>
          <w:rFonts w:ascii="Microsoft YaHei" w:hAnsi="Microsoft YaHei" w:eastAsia="Microsoft YaHei"/>
          <w:b w:val="0"/>
          <w:color w:val="172334"/>
          <w:sz w:val="20"/>
        </w:rPr>
        <w:t>使用Celery＋Redis/RabbitMQ替代Flask进程内线程。</w:t>
      </w:r>
    </w:p>
    <w:p>
      <w:pPr>
        <w:pStyle w:val="ListNumber"/>
        <w:spacing w:after="80"/>
        <w:ind w:left="397"/>
      </w:pPr>
      <w:r>
        <w:rPr>
          <w:rFonts w:ascii="Microsoft YaHei" w:hAnsi="Microsoft YaHei" w:eastAsia="Microsoft YaHei"/>
          <w:b w:val="0"/>
          <w:color w:val="172334"/>
          <w:sz w:val="20"/>
        </w:rPr>
        <w:t>使用MinIO/S3存放图纸、预览、标注、结果和模型。</w:t>
      </w:r>
    </w:p>
    <w:p>
      <w:pPr>
        <w:pStyle w:val="ListNumber"/>
        <w:spacing w:after="80"/>
        <w:ind w:left="397"/>
      </w:pPr>
      <w:r>
        <w:rPr>
          <w:rFonts w:ascii="Microsoft YaHei" w:hAnsi="Microsoft YaHei" w:eastAsia="Microsoft YaHei"/>
          <w:b w:val="0"/>
          <w:color w:val="172334"/>
          <w:sz w:val="20"/>
        </w:rPr>
        <w:t>增加工艺版本、审批、退回、签审、审计日志。</w:t>
      </w:r>
    </w:p>
    <w:p>
      <w:pPr>
        <w:pStyle w:val="ListNumber"/>
        <w:spacing w:after="80"/>
        <w:ind w:left="397"/>
      </w:pPr>
      <w:r>
        <w:rPr>
          <w:rFonts w:ascii="Microsoft YaHei" w:hAnsi="Microsoft YaHei" w:eastAsia="Microsoft YaHei"/>
          <w:b w:val="0"/>
          <w:color w:val="172334"/>
          <w:sz w:val="20"/>
        </w:rPr>
        <w:t>建设设备、刀具、夹具、工种、材料、工时和质量标准资源库。</w:t>
      </w:r>
    </w:p>
    <w:p>
      <w:pPr>
        <w:pStyle w:val="ListNumber"/>
        <w:spacing w:after="80"/>
        <w:ind w:left="397"/>
      </w:pPr>
      <w:r>
        <w:rPr>
          <w:rFonts w:ascii="Microsoft YaHei" w:hAnsi="Microsoft YaHei" w:eastAsia="Microsoft YaHei"/>
          <w:b w:val="0"/>
          <w:color w:val="172334"/>
          <w:sz w:val="20"/>
        </w:rPr>
        <w:t>所有LLM结果通过结构化schema和确定性规则校验。</w:t>
      </w:r>
    </w:p>
    <w:p>
      <w:pPr>
        <w:pStyle w:val="ListNumber"/>
        <w:spacing w:after="80"/>
        <w:ind w:left="397"/>
      </w:pPr>
      <w:r>
        <w:rPr>
          <w:rFonts w:ascii="Microsoft YaHei" w:hAnsi="Microsoft YaHei" w:eastAsia="Microsoft YaHei"/>
          <w:b w:val="0"/>
          <w:color w:val="172334"/>
          <w:sz w:val="20"/>
        </w:rPr>
        <w:t>引入OpenTelemetry，统计任务耗时、模型耗时、token、成本、失败类型和人工修改率。</w:t>
      </w:r>
    </w:p>
    <w:p>
      <w:pPr>
        <w:pStyle w:val="ListNumber"/>
        <w:spacing w:after="80"/>
        <w:ind w:left="397"/>
      </w:pPr>
      <w:r>
        <w:rPr>
          <w:rFonts w:ascii="Microsoft YaHei" w:hAnsi="Microsoft YaHei" w:eastAsia="Microsoft YaHei"/>
          <w:b w:val="0"/>
          <w:color w:val="172334"/>
          <w:sz w:val="20"/>
        </w:rPr>
        <w:t>增加组织、项目、租户和RBAC权限模型。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17324D"/>
          <w:sz w:val="26"/>
        </w:rPr>
        <w:t>P2：形成产品壁垒（3—9个月）</w:t>
      </w:r>
    </w:p>
    <w:p>
      <w:pPr>
        <w:pStyle w:val="ListNumber"/>
        <w:spacing w:after="80"/>
        <w:ind w:left="397"/>
      </w:pPr>
      <w:r>
        <w:rPr>
          <w:rFonts w:ascii="Microsoft YaHei" w:hAnsi="Microsoft YaHei" w:eastAsia="Microsoft YaHei"/>
          <w:b w:val="0"/>
          <w:color w:val="172334"/>
          <w:sz w:val="20"/>
        </w:rPr>
        <w:t>从文本工艺升级为结构化BOP：Operation、Sequence、Resource、Tool、Fixture、Inspection、Time、Cost。</w:t>
      </w:r>
    </w:p>
    <w:p>
      <w:pPr>
        <w:pStyle w:val="ListNumber"/>
        <w:spacing w:after="80"/>
        <w:ind w:left="397"/>
      </w:pPr>
      <w:r>
        <w:rPr>
          <w:rFonts w:ascii="Microsoft YaHei" w:hAnsi="Microsoft YaHei" w:eastAsia="Microsoft YaHei"/>
          <w:b w:val="0"/>
          <w:color w:val="172334"/>
          <w:sz w:val="20"/>
        </w:rPr>
        <w:t>支持STEP AP242及PMI，减少对图像OCR的单一路径依赖。</w:t>
      </w:r>
    </w:p>
    <w:p>
      <w:pPr>
        <w:pStyle w:val="ListNumber"/>
        <w:spacing w:after="80"/>
        <w:ind w:left="397"/>
      </w:pPr>
      <w:r>
        <w:rPr>
          <w:rFonts w:ascii="Microsoft YaHei" w:hAnsi="Microsoft YaHei" w:eastAsia="Microsoft YaHei"/>
          <w:b w:val="0"/>
          <w:color w:val="172334"/>
          <w:sz w:val="20"/>
        </w:rPr>
        <w:t>建设PLM、MES、ERP、QMS适配器，成为企业系统中的AI工艺引擎。</w:t>
      </w:r>
    </w:p>
    <w:p>
      <w:pPr>
        <w:pStyle w:val="ListNumber"/>
        <w:spacing w:after="80"/>
        <w:ind w:left="397"/>
      </w:pPr>
      <w:r>
        <w:rPr>
          <w:rFonts w:ascii="Microsoft YaHei" w:hAnsi="Microsoft YaHei" w:eastAsia="Microsoft YaHei"/>
          <w:b w:val="0"/>
          <w:color w:val="172334"/>
          <w:sz w:val="20"/>
        </w:rPr>
        <w:t>引入企业制造能力约束：设备行程、精度、转速、材料、刀具、夹具和工序前置关系。</w:t>
      </w:r>
    </w:p>
    <w:p>
      <w:pPr>
        <w:pStyle w:val="ListNumber"/>
        <w:spacing w:after="80"/>
        <w:ind w:left="397"/>
      </w:pPr>
      <w:r>
        <w:rPr>
          <w:rFonts w:ascii="Microsoft YaHei" w:hAnsi="Microsoft YaHei" w:eastAsia="Microsoft YaHei"/>
          <w:b w:val="0"/>
          <w:color w:val="172334"/>
          <w:sz w:val="20"/>
        </w:rPr>
        <w:t>建立闭环学习：AI初稿、工程师修改差异、审批结果、实际工时和质量反馈。</w:t>
      </w:r>
    </w:p>
    <w:p>
      <w:pPr>
        <w:pStyle w:val="ListNumber"/>
        <w:spacing w:after="80"/>
        <w:ind w:left="397"/>
      </w:pPr>
      <w:r>
        <w:rPr>
          <w:rFonts w:ascii="Microsoft YaHei" w:hAnsi="Microsoft YaHei" w:eastAsia="Microsoft YaHei"/>
          <w:b w:val="0"/>
          <w:color w:val="172334"/>
          <w:sz w:val="20"/>
        </w:rPr>
        <w:t>用真实业务指标评估模型：首稿采用率、修改距离、退回率、生成时间和质量问题率。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17324D"/>
          <w:sz w:val="34"/>
        </w:rPr>
        <w:t>七、竞争壁垒建议</w:t>
      </w:r>
    </w:p>
    <w:p>
      <w:pPr>
        <w:spacing w:line="324" w:lineRule="auto" w:after="100"/>
      </w:pPr>
      <w:r>
        <w:rPr>
          <w:rFonts w:ascii="Microsoft YaHei" w:hAnsi="Microsoft YaHei" w:eastAsia="Microsoft YaHei"/>
          <w:b w:val="0"/>
          <w:color w:val="172334"/>
          <w:sz w:val="21"/>
        </w:rPr>
        <w:t>“LLM能够写出工序”本身容易复制，长期壁垒应集中在以下六项：</w:t>
      </w:r>
    </w:p>
    <w:p>
      <w:pPr>
        <w:pStyle w:val="ListBullet"/>
        <w:spacing w:after="60" w:line="288" w:lineRule="auto"/>
        <w:ind w:left="397"/>
      </w:pPr>
      <w:r>
        <w:rPr>
          <w:rFonts w:ascii="Microsoft YaHei" w:hAnsi="Microsoft YaHei" w:eastAsia="Microsoft YaHei"/>
          <w:b w:val="0"/>
          <w:color w:val="172334"/>
          <w:sz w:val="20"/>
        </w:rPr>
        <w:t>工程图结构化理解准确率，尤其是尺寸、公差、材料、技术要求和制造语义。</w:t>
      </w:r>
    </w:p>
    <w:p>
      <w:pPr>
        <w:pStyle w:val="ListBullet"/>
        <w:spacing w:after="60" w:line="288" w:lineRule="auto"/>
        <w:ind w:left="397"/>
      </w:pPr>
      <w:r>
        <w:rPr>
          <w:rFonts w:ascii="Microsoft YaHei" w:hAnsi="Microsoft YaHei" w:eastAsia="Microsoft YaHei"/>
          <w:b w:val="0"/>
          <w:color w:val="172334"/>
          <w:sz w:val="20"/>
        </w:rPr>
        <w:t>企业工艺知识、设备能力和资源约束的结构化沉淀。</w:t>
      </w:r>
    </w:p>
    <w:p>
      <w:pPr>
        <w:pStyle w:val="ListBullet"/>
        <w:spacing w:after="60" w:line="288" w:lineRule="auto"/>
        <w:ind w:left="397"/>
      </w:pPr>
      <w:r>
        <w:rPr>
          <w:rFonts w:ascii="Microsoft YaHei" w:hAnsi="Microsoft YaHei" w:eastAsia="Microsoft YaHei"/>
          <w:b w:val="0"/>
          <w:color w:val="172334"/>
          <w:sz w:val="20"/>
        </w:rPr>
        <w:t>工程师修改数据形成的可学习反馈闭环。</w:t>
      </w:r>
    </w:p>
    <w:p>
      <w:pPr>
        <w:pStyle w:val="ListBullet"/>
        <w:spacing w:after="60" w:line="288" w:lineRule="auto"/>
        <w:ind w:left="397"/>
      </w:pPr>
      <w:r>
        <w:rPr>
          <w:rFonts w:ascii="Microsoft YaHei" w:hAnsi="Microsoft YaHei" w:eastAsia="Microsoft YaHei"/>
          <w:b w:val="0"/>
          <w:color w:val="172334"/>
          <w:sz w:val="20"/>
        </w:rPr>
        <w:t>工艺结果可解释、可追溯、可审批、可版本化。</w:t>
      </w:r>
    </w:p>
    <w:p>
      <w:pPr>
        <w:pStyle w:val="ListBullet"/>
        <w:spacing w:after="60" w:line="288" w:lineRule="auto"/>
        <w:ind w:left="397"/>
      </w:pPr>
      <w:r>
        <w:rPr>
          <w:rFonts w:ascii="Microsoft YaHei" w:hAnsi="Microsoft YaHei" w:eastAsia="Microsoft YaHei"/>
          <w:b w:val="0"/>
          <w:color w:val="172334"/>
          <w:sz w:val="20"/>
        </w:rPr>
        <w:t>与PLM、MES、ERP和QMS的数据连接能力。</w:t>
      </w:r>
    </w:p>
    <w:p>
      <w:pPr>
        <w:pStyle w:val="ListBullet"/>
        <w:spacing w:after="60" w:line="288" w:lineRule="auto"/>
        <w:ind w:left="397"/>
      </w:pPr>
      <w:r>
        <w:rPr>
          <w:rFonts w:ascii="Microsoft YaHei" w:hAnsi="Microsoft YaHei" w:eastAsia="Microsoft YaHei"/>
          <w:b w:val="0"/>
          <w:color w:val="172334"/>
          <w:sz w:val="20"/>
        </w:rPr>
        <w:t>经过客户验证的行业数据集、评测体系和模型治理能力。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17324D"/>
          <w:sz w:val="34"/>
        </w:rPr>
        <w:t>八、综合结论与评分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1701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评分</w:t>
            </w:r>
          </w:p>
        </w:tc>
        <w:tc>
          <w:tcPr>
            <w:tcW w:type="dxa" w:w="5669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技术方向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8/10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符合生成式CAPP与工业AI发展方向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原型实现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7/10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闭环完整，已具备演示和试点价值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AI流程设计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8/10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多模型＋规则＋人工审阅设计合理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企业架构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4/10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任务、数据库、文件与权限体系需升级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工业数据模型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4/10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缺BOP、资源、版本和工业标准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商业差异化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7/10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存量2D图纸与生成式工艺结合具有差异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生产试点距离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1—3个月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完成P0和核心P1后可进入受控企业试点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平台级能力距离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9—18个月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334"/>
                <w:sz w:val="18"/>
              </w:rPr>
              <w:t>需要持续建设数据模型、集成和治理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8D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22"/>
              </w:rPr>
              <w:t>最终建议</w:t>
              <w:br/>
            </w:r>
            <w:r>
              <w:rPr>
                <w:rFonts w:ascii="Microsoft YaHei" w:hAnsi="Microsoft YaHei" w:eastAsia="Microsoft YaHei"/>
                <w:b w:val="0"/>
                <w:color w:val="172334"/>
                <w:sz w:val="20"/>
              </w:rPr>
              <w:t>产品应定位为“AI工艺工程师助手和生成引擎”，优先嵌入现有制造软件体系。近期目标不是复制完整PLM，而是把图纸理解、工艺草案生成、人机审阅和知识闭环做到可量化、可验证、可集成。</w:t>
            </w:r>
          </w:p>
        </w:tc>
      </w:tr>
    </w:tbl>
    <w:p>
      <w:pPr>
        <w:spacing w:after="0"/>
      </w:pP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17324D"/>
          <w:sz w:val="34"/>
        </w:rPr>
        <w:t>附录A：主要参考来源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72334"/>
          <w:sz w:val="18"/>
        </w:rPr>
        <w:t>1. Siemens Teamcenter Manufacturing Process Planning：</w:t>
      </w:r>
      <w:hyperlink r:id="rId10">
        <w:r>
          <w:rPr>
            <w:color w:val="2563A6"/>
            <w:u w:val="single"/>
          </w:rPr>
          <w:t>https://www.siemens.com/en-us/products/teamcenter/solutions/manufacturing-process-planning-data-management/</w:t>
        </w:r>
      </w:hyperlink>
    </w:p>
    <w:p>
      <w:pPr>
        <w:spacing w:after="60"/>
      </w:pPr>
      <w:r>
        <w:rPr>
          <w:rFonts w:ascii="Microsoft YaHei" w:hAnsi="Microsoft YaHei" w:eastAsia="Microsoft YaHei"/>
          <w:b w:val="0"/>
          <w:color w:val="172334"/>
          <w:sz w:val="18"/>
        </w:rPr>
        <w:t>2. Siemens Tecnomatix Manufacturing Process Planning：</w:t>
      </w:r>
      <w:hyperlink r:id="rId11">
        <w:r>
          <w:rPr>
            <w:color w:val="2563A6"/>
            <w:u w:val="single"/>
          </w:rPr>
          <w:t>https://www.siemens.com/en-us/products/tecnomatix/manufacturing-process-planning/</w:t>
        </w:r>
      </w:hyperlink>
    </w:p>
    <w:p>
      <w:pPr>
        <w:spacing w:after="60"/>
      </w:pPr>
      <w:r>
        <w:rPr>
          <w:rFonts w:ascii="Microsoft YaHei" w:hAnsi="Microsoft YaHei" w:eastAsia="Microsoft YaHei"/>
          <w:b w:val="0"/>
          <w:color w:val="172334"/>
          <w:sz w:val="18"/>
        </w:rPr>
        <w:t>3. Dassault Systèmes DELMIA Process Engineering：</w:t>
      </w:r>
      <w:hyperlink r:id="rId12">
        <w:r>
          <w:rPr>
            <w:color w:val="2563A6"/>
            <w:u w:val="single"/>
          </w:rPr>
          <w:t>https://www.3ds.com/products/delmia/industrial-engineering/process-engineering</w:t>
        </w:r>
      </w:hyperlink>
    </w:p>
    <w:p>
      <w:pPr>
        <w:spacing w:after="60"/>
      </w:pPr>
      <w:r>
        <w:rPr>
          <w:rFonts w:ascii="Microsoft YaHei" w:hAnsi="Microsoft YaHei" w:eastAsia="Microsoft YaHei"/>
          <w:b w:val="0"/>
          <w:color w:val="172334"/>
          <w:sz w:val="18"/>
        </w:rPr>
        <w:t>4. PTC Manufacturing Process Management：</w:t>
      </w:r>
      <w:hyperlink r:id="rId13">
        <w:r>
          <w:rPr>
            <w:color w:val="2563A6"/>
            <w:u w:val="single"/>
          </w:rPr>
          <w:t>https://support.ptc.com/help/windchill/cloud/r12.0.2.0/en/Windchill_Help_Center/ExpMPM_Oview.html</w:t>
        </w:r>
      </w:hyperlink>
    </w:p>
    <w:p>
      <w:pPr>
        <w:spacing w:after="60"/>
      </w:pPr>
      <w:r>
        <w:rPr>
          <w:rFonts w:ascii="Microsoft YaHei" w:hAnsi="Microsoft YaHei" w:eastAsia="Microsoft YaHei"/>
          <w:b w:val="0"/>
          <w:color w:val="172334"/>
          <w:sz w:val="18"/>
        </w:rPr>
        <w:t>5. CAXA CAPP工艺图表：</w:t>
      </w:r>
      <w:hyperlink r:id="rId14">
        <w:r>
          <w:rPr>
            <w:color w:val="2563A6"/>
            <w:u w:val="single"/>
          </w:rPr>
          <w:t>https://www.caxa.com/product/6.html</w:t>
        </w:r>
      </w:hyperlink>
    </w:p>
    <w:p>
      <w:pPr>
        <w:spacing w:after="60"/>
      </w:pPr>
      <w:r>
        <w:rPr>
          <w:rFonts w:ascii="Microsoft YaHei" w:hAnsi="Microsoft YaHei" w:eastAsia="Microsoft YaHei"/>
          <w:b w:val="0"/>
          <w:color w:val="172334"/>
          <w:sz w:val="18"/>
        </w:rPr>
        <w:t>6. 开目 MPM/CAPP：</w:t>
      </w:r>
      <w:hyperlink r:id="rId15">
        <w:r>
          <w:rPr>
            <w:color w:val="2563A6"/>
            <w:u w:val="single"/>
          </w:rPr>
          <w:t>https://www.kmsoft.com.cn/process-system/ecol_mpm.html</w:t>
        </w:r>
      </w:hyperlink>
    </w:p>
    <w:p>
      <w:pPr>
        <w:spacing w:after="60"/>
      </w:pPr>
      <w:r>
        <w:rPr>
          <w:rFonts w:ascii="Microsoft YaHei" w:hAnsi="Microsoft YaHei" w:eastAsia="Microsoft YaHei"/>
          <w:b w:val="0"/>
          <w:color w:val="172334"/>
          <w:sz w:val="18"/>
        </w:rPr>
        <w:t>7. 华天软件 CAPP：</w:t>
      </w:r>
      <w:hyperlink r:id="rId16">
        <w:r>
          <w:rPr>
            <w:color w:val="2563A6"/>
            <w:u w:val="single"/>
          </w:rPr>
          <w:t>https://www.hoteamsoft.com/capp</w:t>
        </w:r>
      </w:hyperlink>
    </w:p>
    <w:p>
      <w:pPr>
        <w:spacing w:after="60"/>
      </w:pPr>
      <w:r>
        <w:rPr>
          <w:rFonts w:ascii="Microsoft YaHei" w:hAnsi="Microsoft YaHei" w:eastAsia="Microsoft YaHei"/>
          <w:b w:val="0"/>
          <w:color w:val="172334"/>
          <w:sz w:val="18"/>
        </w:rPr>
        <w:t>8. Paperless Parts：</w:t>
      </w:r>
      <w:hyperlink r:id="rId17">
        <w:r>
          <w:rPr>
            <w:color w:val="2563A6"/>
            <w:u w:val="single"/>
          </w:rPr>
          <w:t>https://www.paperlessparts.com/</w:t>
        </w:r>
      </w:hyperlink>
    </w:p>
    <w:p>
      <w:pPr>
        <w:spacing w:after="60"/>
      </w:pPr>
      <w:r>
        <w:rPr>
          <w:rFonts w:ascii="Microsoft YaHei" w:hAnsi="Microsoft YaHei" w:eastAsia="Microsoft YaHei"/>
          <w:b w:val="0"/>
          <w:color w:val="172334"/>
          <w:sz w:val="18"/>
        </w:rPr>
        <w:t>9. Werk24 工业4.0案例：</w:t>
      </w:r>
      <w:hyperlink r:id="rId18">
        <w:r>
          <w:rPr>
            <w:color w:val="2563A6"/>
            <w:u w:val="single"/>
          </w:rPr>
          <w:t>https://www.plattform-i40.de/IP/Redaktion/EN/Use-Cases/544-werk24/article-werk24.html</w:t>
        </w:r>
      </w:hyperlink>
    </w:p>
    <w:p>
      <w:pPr>
        <w:spacing w:after="60"/>
      </w:pPr>
      <w:r>
        <w:rPr>
          <w:rFonts w:ascii="Microsoft YaHei" w:hAnsi="Microsoft YaHei" w:eastAsia="Microsoft YaHei"/>
          <w:b w:val="0"/>
          <w:color w:val="172334"/>
          <w:sz w:val="18"/>
        </w:rPr>
        <w:t>10. NIST Human-in-the-loop Manufacturing：</w:t>
      </w:r>
      <w:hyperlink r:id="rId19">
        <w:r>
          <w:rPr>
            <w:color w:val="2563A6"/>
            <w:u w:val="single"/>
          </w:rPr>
          <w:t>https://www.nist.gov/publications/conceptual-architecture-digital-twins-human-loop-based-smart-manufacturing</w:t>
        </w:r>
      </w:hyperlink>
    </w:p>
    <w:p>
      <w:pPr>
        <w:spacing w:after="60"/>
      </w:pPr>
      <w:r>
        <w:rPr>
          <w:rFonts w:ascii="Microsoft YaHei" w:hAnsi="Microsoft YaHei" w:eastAsia="Microsoft YaHei"/>
          <w:b w:val="0"/>
          <w:color w:val="172334"/>
          <w:sz w:val="18"/>
        </w:rPr>
        <w:t>11. Celery：</w:t>
      </w:r>
      <w:hyperlink r:id="rId20">
        <w:r>
          <w:rPr>
            <w:color w:val="2563A6"/>
            <w:u w:val="single"/>
          </w:rPr>
          <w:t>https://docs.celeryq.dev/</w:t>
        </w:r>
      </w:hyperlink>
    </w:p>
    <w:p>
      <w:pPr>
        <w:spacing w:after="60"/>
      </w:pPr>
      <w:r>
        <w:rPr>
          <w:rFonts w:ascii="Microsoft YaHei" w:hAnsi="Microsoft YaHei" w:eastAsia="Microsoft YaHei"/>
          <w:b w:val="0"/>
          <w:color w:val="172334"/>
          <w:sz w:val="18"/>
        </w:rPr>
        <w:t>12. Temporal Durable Execution：</w:t>
      </w:r>
      <w:hyperlink r:id="rId21">
        <w:r>
          <w:rPr>
            <w:color w:val="2563A6"/>
            <w:u w:val="single"/>
          </w:rPr>
          <w:t>https://docs.temporal.io/temporal</w:t>
        </w:r>
      </w:hyperlink>
    </w:p>
    <w:p>
      <w:pPr>
        <w:spacing w:after="60"/>
      </w:pPr>
      <w:r>
        <w:rPr>
          <w:rFonts w:ascii="Microsoft YaHei" w:hAnsi="Microsoft YaHei" w:eastAsia="Microsoft YaHei"/>
          <w:b w:val="0"/>
          <w:color w:val="172334"/>
          <w:sz w:val="18"/>
        </w:rPr>
        <w:t>13. PostgreSQL JSON Types：</w:t>
      </w:r>
      <w:hyperlink r:id="rId22">
        <w:r>
          <w:rPr>
            <w:color w:val="2563A6"/>
            <w:u w:val="single"/>
          </w:rPr>
          <w:t>https://www.postgresql.org/docs/current/datatype-json.html</w:t>
        </w:r>
      </w:hyperlink>
    </w:p>
    <w:p>
      <w:pPr>
        <w:spacing w:after="60"/>
      </w:pPr>
      <w:r>
        <w:rPr>
          <w:rFonts w:ascii="Microsoft YaHei" w:hAnsi="Microsoft YaHei" w:eastAsia="Microsoft YaHei"/>
          <w:b w:val="0"/>
          <w:color w:val="172334"/>
          <w:sz w:val="18"/>
        </w:rPr>
        <w:t>14. pgvector：</w:t>
      </w:r>
      <w:hyperlink r:id="rId23">
        <w:r>
          <w:rPr>
            <w:color w:val="2563A6"/>
            <w:u w:val="single"/>
          </w:rPr>
          <w:t>https://github.com/pgvector/pgvector</w:t>
        </w:r>
      </w:hyperlink>
    </w:p>
    <w:p>
      <w:pPr>
        <w:spacing w:after="60"/>
      </w:pPr>
      <w:r>
        <w:rPr>
          <w:rFonts w:ascii="Microsoft YaHei" w:hAnsi="Microsoft YaHei" w:eastAsia="Microsoft YaHei"/>
          <w:b w:val="0"/>
          <w:color w:val="172334"/>
          <w:sz w:val="18"/>
        </w:rPr>
        <w:t>15. ONNX Runtime：</w:t>
      </w:r>
      <w:hyperlink r:id="rId24">
        <w:r>
          <w:rPr>
            <w:color w:val="2563A6"/>
            <w:u w:val="single"/>
          </w:rPr>
          <w:t>https://onnxruntime.ai/docs/</w:t>
        </w:r>
      </w:hyperlink>
    </w:p>
    <w:p>
      <w:pPr>
        <w:spacing w:after="60"/>
      </w:pPr>
      <w:r>
        <w:rPr>
          <w:rFonts w:ascii="Microsoft YaHei" w:hAnsi="Microsoft YaHei" w:eastAsia="Microsoft YaHei"/>
          <w:b w:val="0"/>
          <w:color w:val="172334"/>
          <w:sz w:val="18"/>
        </w:rPr>
        <w:t>16. NVIDIA Triton Model Repository：</w:t>
      </w:r>
      <w:hyperlink r:id="rId25">
        <w:r>
          <w:rPr>
            <w:color w:val="2563A6"/>
            <w:u w:val="single"/>
          </w:rPr>
          <w:t>https://docs.nvidia.com/deeplearning/triton-inference-server/user-guide/docs/user_guide/model_repository.html</w:t>
        </w:r>
      </w:hyperlink>
    </w:p>
    <w:p>
      <w:pPr>
        <w:spacing w:after="60"/>
      </w:pPr>
      <w:r>
        <w:rPr>
          <w:rFonts w:ascii="Microsoft YaHei" w:hAnsi="Microsoft YaHei" w:eastAsia="Microsoft YaHei"/>
          <w:b w:val="0"/>
          <w:color w:val="172334"/>
          <w:sz w:val="18"/>
        </w:rPr>
        <w:t>17. OpenTelemetry Python：</w:t>
      </w:r>
      <w:hyperlink r:id="rId26">
        <w:r>
          <w:rPr>
            <w:color w:val="2563A6"/>
            <w:u w:val="single"/>
          </w:rPr>
          <w:t>https://opentelemetry.io/docs/languages/python/</w:t>
        </w:r>
      </w:hyperlink>
    </w:p>
    <w:p>
      <w:pPr>
        <w:spacing w:after="60"/>
      </w:pPr>
      <w:r>
        <w:rPr>
          <w:rFonts w:ascii="Microsoft YaHei" w:hAnsi="Microsoft YaHei" w:eastAsia="Microsoft YaHei"/>
          <w:b w:val="0"/>
          <w:color w:val="172334"/>
          <w:sz w:val="18"/>
        </w:rPr>
        <w:t>18. ISO STEP AP242：</w:t>
      </w:r>
      <w:hyperlink r:id="rId27">
        <w:r>
          <w:rPr>
            <w:color w:val="2563A6"/>
            <w:u w:val="single"/>
          </w:rPr>
          <w:t>https://www.iso.org/standard/66654.html</w:t>
        </w:r>
      </w:hyperlink>
    </w:p>
    <w:p>
      <w:pPr>
        <w:spacing w:after="60"/>
      </w:pPr>
      <w:r>
        <w:rPr>
          <w:rFonts w:ascii="Microsoft YaHei" w:hAnsi="Microsoft YaHei" w:eastAsia="Microsoft YaHei"/>
          <w:b w:val="0"/>
          <w:color w:val="172334"/>
          <w:sz w:val="18"/>
        </w:rPr>
        <w:t>19. QIF Standard：</w:t>
      </w:r>
      <w:hyperlink r:id="rId28">
        <w:r>
          <w:rPr>
            <w:color w:val="2563A6"/>
            <w:u w:val="single"/>
          </w:rPr>
          <w:t>https://qifstandards.org/overview/</w:t>
        </w:r>
      </w:hyperlink>
    </w:p>
    <w:p>
      <w:pPr>
        <w:spacing w:after="60"/>
      </w:pPr>
      <w:r>
        <w:rPr>
          <w:rFonts w:ascii="Microsoft YaHei" w:hAnsi="Microsoft YaHei" w:eastAsia="Microsoft YaHei"/>
          <w:b w:val="0"/>
          <w:color w:val="172334"/>
          <w:sz w:val="18"/>
        </w:rPr>
        <w:t>20. MTConnect：</w:t>
      </w:r>
      <w:hyperlink r:id="rId29">
        <w:r>
          <w:rPr>
            <w:color w:val="2563A6"/>
            <w:u w:val="single"/>
          </w:rPr>
          <w:t>https://www.mtconnect.org/</w:t>
        </w:r>
      </w:hyperlink>
    </w:p>
    <w:sectPr w:rsidR="00FC693F" w:rsidRPr="0006063C" w:rsidSect="00034616">
      <w:footerReference w:type="default" r:id="rId9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48B"/>
        <w:sz w:val="17"/>
      </w:rPr>
      <w:t>智能工艺规程生成系统 · 竞品与技术栈评估报告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723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siemens.com/en-us/products/teamcenter/solutions/manufacturing-process-planning-data-management/" TargetMode="External"/><Relationship Id="rId11" Type="http://schemas.openxmlformats.org/officeDocument/2006/relationships/hyperlink" Target="https://www.siemens.com/en-us/products/tecnomatix/manufacturing-process-planning/" TargetMode="External"/><Relationship Id="rId12" Type="http://schemas.openxmlformats.org/officeDocument/2006/relationships/hyperlink" Target="https://www.3ds.com/products/delmia/industrial-engineering/process-engineering" TargetMode="External"/><Relationship Id="rId13" Type="http://schemas.openxmlformats.org/officeDocument/2006/relationships/hyperlink" Target="https://support.ptc.com/help/windchill/cloud/r12.0.2.0/en/Windchill_Help_Center/ExpMPM_Oview.html" TargetMode="External"/><Relationship Id="rId14" Type="http://schemas.openxmlformats.org/officeDocument/2006/relationships/hyperlink" Target="https://www.caxa.com/product/6.html" TargetMode="External"/><Relationship Id="rId15" Type="http://schemas.openxmlformats.org/officeDocument/2006/relationships/hyperlink" Target="https://www.kmsoft.com.cn/process-system/ecol_mpm.html" TargetMode="External"/><Relationship Id="rId16" Type="http://schemas.openxmlformats.org/officeDocument/2006/relationships/hyperlink" Target="https://www.hoteamsoft.com/capp" TargetMode="External"/><Relationship Id="rId17" Type="http://schemas.openxmlformats.org/officeDocument/2006/relationships/hyperlink" Target="https://www.paperlessparts.com/" TargetMode="External"/><Relationship Id="rId18" Type="http://schemas.openxmlformats.org/officeDocument/2006/relationships/hyperlink" Target="https://www.plattform-i40.de/IP/Redaktion/EN/Use-Cases/544-werk24/article-werk24.html" TargetMode="External"/><Relationship Id="rId19" Type="http://schemas.openxmlformats.org/officeDocument/2006/relationships/hyperlink" Target="https://www.nist.gov/publications/conceptual-architecture-digital-twins-human-loop-based-smart-manufacturing" TargetMode="External"/><Relationship Id="rId20" Type="http://schemas.openxmlformats.org/officeDocument/2006/relationships/hyperlink" Target="https://docs.celeryq.dev/" TargetMode="External"/><Relationship Id="rId21" Type="http://schemas.openxmlformats.org/officeDocument/2006/relationships/hyperlink" Target="https://docs.temporal.io/temporal" TargetMode="External"/><Relationship Id="rId22" Type="http://schemas.openxmlformats.org/officeDocument/2006/relationships/hyperlink" Target="https://www.postgresql.org/docs/current/datatype-json.html" TargetMode="External"/><Relationship Id="rId23" Type="http://schemas.openxmlformats.org/officeDocument/2006/relationships/hyperlink" Target="https://github.com/pgvector/pgvector" TargetMode="External"/><Relationship Id="rId24" Type="http://schemas.openxmlformats.org/officeDocument/2006/relationships/hyperlink" Target="https://onnxruntime.ai/docs/" TargetMode="External"/><Relationship Id="rId25" Type="http://schemas.openxmlformats.org/officeDocument/2006/relationships/hyperlink" Target="https://docs.nvidia.com/deeplearning/triton-inference-server/user-guide/docs/user_guide/model_repository.html" TargetMode="External"/><Relationship Id="rId26" Type="http://schemas.openxmlformats.org/officeDocument/2006/relationships/hyperlink" Target="https://opentelemetry.io/docs/languages/python/" TargetMode="External"/><Relationship Id="rId27" Type="http://schemas.openxmlformats.org/officeDocument/2006/relationships/hyperlink" Target="https://www.iso.org/standard/66654.html" TargetMode="External"/><Relationship Id="rId28" Type="http://schemas.openxmlformats.org/officeDocument/2006/relationships/hyperlink" Target="https://qifstandards.org/overview/" TargetMode="External"/><Relationship Id="rId29" Type="http://schemas.openxmlformats.org/officeDocument/2006/relationships/hyperlink" Target="https://www.mtconnect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