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Strategic Management</w:t>
      </w:r>
    </w:p>
    <w:p>
      <w:pPr>
        <w:spacing w:after="60"/>
        <w:jc w:val="center"/>
      </w:pPr>
      <w:r>
        <w:rPr>
          <w:rFonts w:ascii="Arial" w:cs="Arial" w:eastAsia="Arial" w:hAnsi="Arial"/>
          <w:color w:val="444444"/>
          <w:sz w:val="26"/>
          <w:szCs w:val="26"/>
        </w:rPr>
        <w:t xml:space="preserve">Exam Study Sheet — Model Answers</w:t>
      </w:r>
    </w:p>
    <w:p>
      <w:pPr>
        <w:spacing w:after="400"/>
        <w:jc w:val="center"/>
      </w:pPr>
      <w:r>
        <w:rPr>
          <w:rFonts w:ascii="Arial" w:cs="Arial" w:eastAsia="Arial" w:hAnsi="Arial"/>
          <w:i/>
          <w:iCs/>
          <w:color w:val="888888"/>
          <w:sz w:val="20"/>
          <w:szCs w:val="20"/>
        </w:rPr>
        <w:t xml:space="preserve">Units 0–4  ·  For revision and exam preparation</w:t>
      </w:r>
    </w:p>
    <w:p>
      <w:pPr>
        <w:pBdr>
          <w:bottom w:val="single" w:color="CCCCCC" w:sz="4" w:space="1"/>
        </w:pBdr>
        <w:spacing w:after="240" w:before="120"/>
      </w:pPr>
      <w:r>
        <w:t xml:space="preserve"/>
      </w:r>
    </w:p>
    <w:p>
      <w:pPr>
        <w:pStyle w:val="Heading1"/>
        <w:spacing w:after="180" w:before="400"/>
      </w:pPr>
      <w:r>
        <w:rPr>
          <w:rFonts w:ascii="Arial" w:cs="Arial" w:eastAsia="Arial" w:hAnsi="Arial"/>
          <w:b/>
          <w:bCs/>
          <w:color w:val="1F3864"/>
          <w:sz w:val="30"/>
          <w:szCs w:val="30"/>
        </w:rPr>
        <w:t xml:space="preserve">The Formula — Use This Structure on Every Answer</w:t>
      </w:r>
    </w:p>
    <w:p>
      <w:pPr>
        <w:pBdr>
          <w:top w:val="single" w:color="2E5496" w:sz="4"/>
          <w:bottom w:val="single" w:color="2E5496" w:sz="4"/>
          <w:left w:val="single" w:color="2E5496" w:sz="4"/>
          <w:right w:val="single" w:color="2E5496" w:sz="4"/>
        </w:pBdr>
        <w:spacing w:after="180" w:before="180"/>
        <w:ind w:left="560" w:right="560"/>
      </w:pPr>
      <w:r>
        <w:rPr>
          <w:rFonts w:ascii="Arial" w:cs="Arial" w:eastAsia="Arial" w:hAnsi="Arial"/>
          <w:b/>
          <w:bCs/>
          <w:i/>
          <w:iCs/>
          <w:color w:val="1F3864"/>
          <w:sz w:val="22"/>
          <w:szCs w:val="22"/>
        </w:rPr>
        <w:t xml:space="preserve">[Force/concept] is [high/low] because [reason], which makes the industry [attractive/unattractive], therefore [strategic implication].</w:t>
      </w:r>
    </w:p>
    <w:p>
      <w:pPr>
        <w:spacing w:after="160"/>
      </w:pPr>
      <w:r>
        <w:rPr>
          <w:rFonts w:ascii="Arial" w:cs="Arial" w:eastAsia="Arial" w:hAnsi="Arial"/>
          <w:sz w:val="22"/>
          <w:szCs w:val="22"/>
        </w:rPr>
        <w:t xml:space="preserve">This structure is non-negotiable. Every analytical point must connect cause to consequence and consequence to strategic meaning. A force identified without a 'therefore' is an incomplete argument.</w:t>
      </w:r>
    </w:p>
    <w:p>
      <w:pPr>
        <w:pBdr>
          <w:bottom w:val="single" w:color="CCCCCC" w:sz="4" w:space="1"/>
        </w:pBdr>
        <w:spacing w:after="240" w:before="120"/>
      </w:pPr>
      <w:r>
        <w:t xml:space="preserve"/>
      </w:r>
    </w:p>
    <w:p>
      <w:pPr>
        <w:pStyle w:val="Heading1"/>
        <w:spacing w:after="180" w:before="400"/>
      </w:pPr>
      <w:r>
        <w:rPr>
          <w:rFonts w:ascii="Arial" w:cs="Arial" w:eastAsia="Arial" w:hAnsi="Arial"/>
          <w:b/>
          <w:bCs/>
          <w:color w:val="1F3864"/>
          <w:sz w:val="30"/>
          <w:szCs w:val="30"/>
        </w:rPr>
        <w:t xml:space="preserve">Question 1 — Human Capital &amp; Training Investment</w:t>
      </w:r>
    </w:p>
    <w:p>
      <w:pPr>
        <w:pStyle w:val="Heading2"/>
        <w:spacing w:after="120" w:before="260"/>
      </w:pPr>
      <w:r>
        <w:rPr>
          <w:rFonts w:ascii="Arial" w:cs="Arial" w:eastAsia="Arial" w:hAnsi="Arial"/>
          <w:b/>
          <w:bCs/>
          <w:color w:val="2E5496"/>
          <w:sz w:val="24"/>
          <w:szCs w:val="24"/>
        </w:rPr>
        <w:t xml:space="preserve">Why might firms be reluctant to invest in employee education or professional certification?</w:t>
      </w:r>
    </w:p>
    <w:p>
      <w:pPr>
        <w:spacing w:after="160"/>
      </w:pPr>
    </w:p>
    <w:p>
      <w:pPr>
        <w:spacing w:after="160"/>
      </w:pPr>
      <w:r>
        <w:rPr>
          <w:rFonts w:ascii="Arial" w:cs="Arial" w:eastAsia="Arial" w:hAnsi="Arial"/>
          <w:sz w:val="22"/>
          <w:szCs w:val="22"/>
        </w:rPr>
        <w:t xml:space="preserve">From a Resource-Based View, employees constitute human-based strategic resources. Unlike physical or financial assets, however, the firm does not own the individual — it holds only a contractual claim on their labour. This distinction has profound implications for the economics of training investment.</w:t>
      </w:r>
    </w:p>
    <w:p>
      <w:pPr>
        <w:spacing w:after="160"/>
      </w:pPr>
      <w:r>
        <w:rPr>
          <w:rFonts w:ascii="Arial" w:cs="Arial" w:eastAsia="Arial" w:hAnsi="Arial"/>
          <w:sz w:val="22"/>
          <w:szCs w:val="22"/>
        </w:rPr>
        <w:t xml:space="preserve">The fundamental disincentive is what the literature terms the double loss problem. Should an employer finance an employee's education or certification and that employee subsequently depart, the firm sustains a dual cost: it loses the individual and, critically, the knowledge and capabilities embodied in them. Unlike machinery or intellectual property, human capital cannot be retained on the balance sheet — it walks out of the door.</w:t>
      </w:r>
    </w:p>
    <w:p>
      <w:pPr>
        <w:spacing w:after="160"/>
      </w:pPr>
      <w:r>
        <w:rPr>
          <w:rFonts w:ascii="Arial" w:cs="Arial" w:eastAsia="Arial" w:hAnsi="Arial"/>
          <w:sz w:val="22"/>
          <w:szCs w:val="22"/>
        </w:rPr>
        <w:t xml:space="preserve">This risk is compounded when the qualifications in question are general rather than firm-specific. A professional certification is, by definition, transferable: it signals competence to the entire market, not merely to the investing firm, and therefore increases the employee's outside options. Rational employers will consequently underinvest in general training relative to what would be socially optimal, directing resources instead toward firm-specific capabilities that do not simultaneously strengthen a competitor's talent pipeline.</w:t>
      </w:r>
    </w:p>
    <w:p>
      <w:pPr>
        <w:spacing w:after="160"/>
      </w:pPr>
      <w:r>
        <w:rPr>
          <w:rFonts w:ascii="Arial" w:cs="Arial" w:eastAsia="Arial" w:hAnsi="Arial"/>
          <w:sz w:val="22"/>
          <w:szCs w:val="22"/>
        </w:rPr>
        <w:t xml:space="preserve">The agency dimension reinforces this reluctance. There exists a structural tension between the employer's objective — maximising return on human capital investment — and the employee's objective — maximising their own market value. Without binding retention mechanisms, the employer bears the cost while the employee captures the benefit.</w:t>
      </w:r>
    </w:p>
    <w:p>
      <w:pPr>
        <w:spacing w:after="160"/>
      </w:pPr>
      <w:r>
        <w:rPr>
          <w:rFonts w:ascii="Arial" w:cs="Arial" w:eastAsia="Arial" w:hAnsi="Arial"/>
          <w:sz w:val="22"/>
          <w:szCs w:val="22"/>
        </w:rPr>
        <w:t xml:space="preserve">Effective mitigation requires more than financial incentives. Organisational culture, professional identity, and a sense of institutional belonging are the conditions under which human capital becomes genuinely complementary to the firm's other resources and therefore difficult for rivals to replicate — the basis of sustained competitive advantage.</w:t>
      </w:r>
    </w:p>
    <w:p>
      <w:pPr>
        <w:pStyle w:val="Heading2"/>
        <w:spacing w:after="120" w:before="260"/>
      </w:pPr>
      <w:r>
        <w:rPr>
          <w:rFonts w:ascii="Arial" w:cs="Arial" w:eastAsia="Arial" w:hAnsi="Arial"/>
          <w:b/>
          <w:bCs/>
          <w:color w:val="2E5496"/>
          <w:sz w:val="24"/>
          <w:szCs w:val="24"/>
        </w:rPr>
        <w:t xml:space="preserve">Key Terminology</w:t>
      </w:r>
    </w:p>
    <w:p>
      <w:pPr>
        <w:pStyle w:val="ListParagraph"/>
        <w:numPr>
          <w:ilvl w:val="0"/>
          <w:numId w:val="2"/>
        </w:numPr>
      </w:pPr>
      <w:r>
        <w:rPr>
          <w:rFonts w:ascii="Arial" w:cs="Arial" w:eastAsia="Arial" w:hAnsi="Arial"/>
          <w:sz w:val="22"/>
          <w:szCs w:val="22"/>
        </w:rPr>
        <w:t xml:space="preserve">Human-based strategic resources / human capital</w:t>
      </w:r>
    </w:p>
    <w:p>
      <w:pPr>
        <w:pStyle w:val="ListParagraph"/>
        <w:numPr>
          <w:ilvl w:val="0"/>
          <w:numId w:val="2"/>
        </w:numPr>
      </w:pPr>
      <w:r>
        <w:rPr>
          <w:rFonts w:ascii="Arial" w:cs="Arial" w:eastAsia="Arial" w:hAnsi="Arial"/>
          <w:sz w:val="22"/>
          <w:szCs w:val="22"/>
        </w:rPr>
        <w:t xml:space="preserve">Double loss problem — person and knowledge depart simultaneously</w:t>
      </w:r>
    </w:p>
    <w:p>
      <w:pPr>
        <w:pStyle w:val="ListParagraph"/>
        <w:numPr>
          <w:ilvl w:val="0"/>
          <w:numId w:val="2"/>
        </w:numPr>
      </w:pPr>
      <w:r>
        <w:rPr>
          <w:rFonts w:ascii="Arial" w:cs="Arial" w:eastAsia="Arial" w:hAnsi="Arial"/>
          <w:sz w:val="22"/>
          <w:szCs w:val="22"/>
        </w:rPr>
        <w:t xml:space="preserve">General vs. firm-specific skills — transferability determines risk</w:t>
      </w:r>
    </w:p>
    <w:p>
      <w:pPr>
        <w:pStyle w:val="ListParagraph"/>
        <w:numPr>
          <w:ilvl w:val="0"/>
          <w:numId w:val="2"/>
        </w:numPr>
      </w:pPr>
      <w:r>
        <w:rPr>
          <w:rFonts w:ascii="Arial" w:cs="Arial" w:eastAsia="Arial" w:hAnsi="Arial"/>
          <w:sz w:val="22"/>
          <w:szCs w:val="22"/>
        </w:rPr>
        <w:t xml:space="preserve">Principal-agent problem — divergent incentives between employer and employee</w:t>
      </w:r>
    </w:p>
    <w:p>
      <w:pPr>
        <w:pStyle w:val="ListParagraph"/>
        <w:numPr>
          <w:ilvl w:val="0"/>
          <w:numId w:val="2"/>
        </w:numPr>
      </w:pPr>
      <w:r>
        <w:rPr>
          <w:rFonts w:ascii="Arial" w:cs="Arial" w:eastAsia="Arial" w:hAnsi="Arial"/>
          <w:sz w:val="22"/>
          <w:szCs w:val="22"/>
        </w:rPr>
        <w:t xml:space="preserve">Sustained competitive advantage — requires inimitable, complementary resources (VRIO)</w:t>
      </w:r>
    </w:p>
    <w:p>
      <w:pPr>
        <w:pBdr>
          <w:bottom w:val="single" w:color="CCCCCC" w:sz="4" w:space="1"/>
        </w:pBdr>
        <w:spacing w:after="240" w:before="120"/>
      </w:pPr>
      <w:r>
        <w:t xml:space="preserve"/>
      </w:r>
    </w:p>
    <w:p>
      <w:pPr>
        <w:pStyle w:val="Heading1"/>
        <w:spacing w:after="180" w:before="400"/>
      </w:pPr>
      <w:r>
        <w:rPr>
          <w:rFonts w:ascii="Arial" w:cs="Arial" w:eastAsia="Arial" w:hAnsi="Arial"/>
          <w:b/>
          <w:bCs/>
          <w:color w:val="1F3864"/>
          <w:sz w:val="30"/>
          <w:szCs w:val="30"/>
        </w:rPr>
        <w:t xml:space="preserve">Question 2 — Industry Attractiveness: EU Airlines</w:t>
      </w:r>
    </w:p>
    <w:p>
      <w:pPr>
        <w:pStyle w:val="Heading2"/>
        <w:spacing w:after="120" w:before="260"/>
      </w:pPr>
      <w:r>
        <w:rPr>
          <w:rFonts w:ascii="Arial" w:cs="Arial" w:eastAsia="Arial" w:hAnsi="Arial"/>
          <w:b/>
          <w:bCs/>
          <w:color w:val="2E5496"/>
          <w:sz w:val="24"/>
          <w:szCs w:val="24"/>
        </w:rPr>
        <w:t xml:space="preserve">Is the EU airline industry attractive? Analyse using the case (duopoly supply, China, government control, high-speed rail).</w:t>
      </w:r>
    </w:p>
    <w:p>
      <w:pPr>
        <w:spacing w:after="160"/>
      </w:pPr>
    </w:p>
    <w:p>
      <w:pPr>
        <w:spacing w:after="160"/>
      </w:pPr>
      <w:r>
        <w:rPr>
          <w:rFonts w:ascii="Arial" w:cs="Arial" w:eastAsia="Arial" w:hAnsi="Arial"/>
          <w:sz w:val="22"/>
          <w:szCs w:val="22"/>
        </w:rPr>
        <w:t xml:space="preserve">Applying Porter's Five Forces framework, the EU airline industry exhibits a structural configuration that severely constrains profit potential. The convergence of multiple strong forces renders the industry, on balance, unattractive.</w:t>
      </w:r>
    </w:p>
    <w:p>
      <w:pPr>
        <w:spacing w:after="160"/>
      </w:pPr>
      <w:r>
        <w:rPr>
          <w:rFonts w:ascii="Arial" w:cs="Arial" w:eastAsia="Arial" w:hAnsi="Arial"/>
          <w:b/>
          <w:bCs/>
          <w:sz w:val="22"/>
          <w:szCs w:val="22"/>
        </w:rPr>
        <w:t xml:space="preserve">Supplier power (HIGH — the dominant force): </w:t>
      </w:r>
      <w:r>
        <w:rPr>
          <w:rFonts w:ascii="Arial" w:cs="Arial" w:eastAsia="Arial" w:hAnsi="Arial"/>
          <w:sz w:val="22"/>
          <w:szCs w:val="22"/>
        </w:rPr>
        <w:t xml:space="preserve">The aircraft supply market constitutes an effective duopoly, controlled by Airbus and Boeing. This concentration confers substantial bargaining power to suppliers, who face no competitive pressure to moderate input prices. Critically, switching costs for airlines are prohibitive: fleet standardisation, pilot certification requirements, maintenance infrastructure, and long-term contractual obligations mean that airlines are structurally locked into their supplier relationships. The consequence is a persistent upward pressure on operating costs with limited capacity for airlines to respond.</w:t>
      </w:r>
    </w:p>
    <w:p>
      <w:pPr>
        <w:spacing w:after="160"/>
      </w:pPr>
      <w:r>
        <w:rPr>
          <w:rFonts w:ascii="Arial" w:cs="Arial" w:eastAsia="Arial" w:hAnsi="Arial"/>
          <w:b/>
          <w:bCs/>
          <w:sz w:val="22"/>
          <w:szCs w:val="22"/>
        </w:rPr>
        <w:t xml:space="preserve">Threat of new entrants to supply (COMPLICATED by geopolitics): </w:t>
      </w:r>
      <w:r>
        <w:rPr>
          <w:rFonts w:ascii="Arial" w:cs="Arial" w:eastAsia="Arial" w:hAnsi="Arial"/>
          <w:sz w:val="22"/>
          <w:szCs w:val="22"/>
        </w:rPr>
        <w:t xml:space="preserve">China's attempt to enter the aircraft supply market as a competitor to Airbus and Boeing represents a potential structural shift. In principle, a third major supplier would reduce concentration and erode supplier power — a development that would improve industry attractiveness for airlines. However, this entry is actively resisted by European and American governments through regulatory barriers, certification requirements, and geopolitical pressure. The state therefore functions as a force that preserves supplier power, compounding the unattractive structural dynamic.</w:t>
      </w:r>
    </w:p>
    <w:p>
      <w:pPr>
        <w:spacing w:after="160"/>
      </w:pPr>
      <w:r>
        <w:rPr>
          <w:rFonts w:ascii="Arial" w:cs="Arial" w:eastAsia="Arial" w:hAnsi="Arial"/>
          <w:b/>
          <w:bCs/>
          <w:sz w:val="22"/>
          <w:szCs w:val="22"/>
        </w:rPr>
        <w:t xml:space="preserve">Threat of substitutes (HIGH — short and medium haul): </w:t>
      </w:r>
      <w:r>
        <w:rPr>
          <w:rFonts w:ascii="Arial" w:cs="Arial" w:eastAsia="Arial" w:hAnsi="Arial"/>
          <w:sz w:val="22"/>
          <w:szCs w:val="22"/>
        </w:rPr>
        <w:t xml:space="preserve">High-speed rail networks across the EU satisfy the same consumer need as short-to-medium haul air travel, frequently at lower cost and greater convenience. As rail infrastructure expands, the substitution threat intensifies, placing further downward pressure on yields and constraining airlines' ability to price above the rail alternative.</w:t>
      </w:r>
    </w:p>
    <w:p>
      <w:pPr>
        <w:spacing w:after="160"/>
      </w:pPr>
      <w:r>
        <w:rPr>
          <w:rFonts w:ascii="Arial" w:cs="Arial" w:eastAsia="Arial" w:hAnsi="Arial"/>
          <w:b/>
          <w:bCs/>
          <w:sz w:val="22"/>
          <w:szCs w:val="22"/>
        </w:rPr>
        <w:t xml:space="preserve">Competitive rivalry (HIGH): </w:t>
      </w:r>
      <w:r>
        <w:rPr>
          <w:rFonts w:ascii="Arial" w:cs="Arial" w:eastAsia="Arial" w:hAnsi="Arial"/>
          <w:sz w:val="22"/>
          <w:szCs w:val="22"/>
        </w:rPr>
        <w:t xml:space="preserve">High fixed costs, low product differentiation on short-haul routes, and the coexistence of legacy carriers and low-cost operators produce endemic price competition. Margins are structurally compressed.</w:t>
      </w:r>
    </w:p>
    <w:p>
      <w:pPr>
        <w:spacing w:after="160"/>
      </w:pPr>
      <w:r>
        <w:rPr>
          <w:rFonts w:ascii="Arial" w:cs="Arial" w:eastAsia="Arial" w:hAnsi="Arial"/>
          <w:b/>
          <w:bCs/>
          <w:sz w:val="22"/>
          <w:szCs w:val="22"/>
        </w:rPr>
        <w:t xml:space="preserve">Buyer power (HIGH): </w:t>
      </w:r>
      <w:r>
        <w:rPr>
          <w:rFonts w:ascii="Arial" w:cs="Arial" w:eastAsia="Arial" w:hAnsi="Arial"/>
          <w:sz w:val="22"/>
          <w:szCs w:val="22"/>
        </w:rPr>
        <w:t xml:space="preserve">Digital aggregators provide passengers with full price transparency and near-zero switching costs, concentrating bargaining power with the consumer and further limiting airlines' pricing latitude.</w:t>
      </w:r>
    </w:p>
    <w:p>
      <w:pPr>
        <w:spacing w:after="160"/>
      </w:pPr>
      <w:r>
        <w:rPr>
          <w:rFonts w:ascii="Arial" w:cs="Arial" w:eastAsia="Arial" w:hAnsi="Arial"/>
          <w:sz w:val="22"/>
          <w:szCs w:val="22"/>
        </w:rPr>
        <w:t xml:space="preserve">Conclusion: The industry is structurally unattractive. Supplier power — entrenched by duopoly, switching costs, and government protection — is the dominant force. Combined with strong substitutes, intense rivalry, and high buyer power, threats materially exceed opportunities. The profit potential of the industry is severely constrained.</w:t>
      </w:r>
    </w:p>
    <w:p>
      <w:pPr>
        <w:pStyle w:val="Heading2"/>
        <w:spacing w:after="120" w:before="260"/>
      </w:pPr>
      <w:r>
        <w:rPr>
          <w:rFonts w:ascii="Arial" w:cs="Arial" w:eastAsia="Arial" w:hAnsi="Arial"/>
          <w:b/>
          <w:bCs/>
          <w:color w:val="2E5496"/>
          <w:sz w:val="24"/>
          <w:szCs w:val="24"/>
        </w:rPr>
        <w:t xml:space="preserve">Key Terminology</w:t>
      </w:r>
    </w:p>
    <w:p>
      <w:pPr>
        <w:pStyle w:val="ListParagraph"/>
        <w:numPr>
          <w:ilvl w:val="0"/>
          <w:numId w:val="2"/>
        </w:numPr>
      </w:pPr>
      <w:r>
        <w:rPr>
          <w:rFonts w:ascii="Arial" w:cs="Arial" w:eastAsia="Arial" w:hAnsi="Arial"/>
          <w:sz w:val="22"/>
          <w:szCs w:val="22"/>
        </w:rPr>
        <w:t xml:space="preserve">Profit potential — the central measure of industry attractiveness</w:t>
      </w:r>
    </w:p>
    <w:p>
      <w:pPr>
        <w:pStyle w:val="ListParagraph"/>
        <w:numPr>
          <w:ilvl w:val="0"/>
          <w:numId w:val="2"/>
        </w:numPr>
      </w:pPr>
      <w:r>
        <w:rPr>
          <w:rFonts w:ascii="Arial" w:cs="Arial" w:eastAsia="Arial" w:hAnsi="Arial"/>
          <w:sz w:val="22"/>
          <w:szCs w:val="22"/>
        </w:rPr>
        <w:t xml:space="preserve">Supplier power — duopoly + switching costs + government protection</w:t>
      </w:r>
    </w:p>
    <w:p>
      <w:pPr>
        <w:pStyle w:val="ListParagraph"/>
        <w:numPr>
          <w:ilvl w:val="0"/>
          <w:numId w:val="2"/>
        </w:numPr>
      </w:pPr>
      <w:r>
        <w:rPr>
          <w:rFonts w:ascii="Arial" w:cs="Arial" w:eastAsia="Arial" w:hAnsi="Arial"/>
          <w:sz w:val="22"/>
          <w:szCs w:val="22"/>
        </w:rPr>
        <w:t xml:space="preserve">Switching costs — technical, contractual, and operational lock-in</w:t>
      </w:r>
    </w:p>
    <w:p>
      <w:pPr>
        <w:pStyle w:val="ListParagraph"/>
        <w:numPr>
          <w:ilvl w:val="0"/>
          <w:numId w:val="2"/>
        </w:numPr>
      </w:pPr>
      <w:r>
        <w:rPr>
          <w:rFonts w:ascii="Arial" w:cs="Arial" w:eastAsia="Arial" w:hAnsi="Arial"/>
          <w:sz w:val="22"/>
          <w:szCs w:val="22"/>
        </w:rPr>
        <w:t xml:space="preserve">Barriers to entry — natural (capital, certification) and artificial (regulation, geopolitics)</w:t>
      </w:r>
    </w:p>
    <w:p>
      <w:pPr>
        <w:pStyle w:val="ListParagraph"/>
        <w:numPr>
          <w:ilvl w:val="0"/>
          <w:numId w:val="2"/>
        </w:numPr>
      </w:pPr>
      <w:r>
        <w:rPr>
          <w:rFonts w:ascii="Arial" w:cs="Arial" w:eastAsia="Arial" w:hAnsi="Arial"/>
          <w:sz w:val="22"/>
          <w:szCs w:val="22"/>
        </w:rPr>
        <w:t xml:space="preserve">Threats exceed opportunities — therefore unattractive</w:t>
      </w:r>
    </w:p>
    <w:p>
      <w:pPr>
        <w:pStyle w:val="ListParagraph"/>
        <w:numPr>
          <w:ilvl w:val="0"/>
          <w:numId w:val="2"/>
        </w:numPr>
      </w:pPr>
      <w:r>
        <w:rPr>
          <w:rFonts w:ascii="Arial" w:cs="Arial" w:eastAsia="Arial" w:hAnsi="Arial"/>
          <w:sz w:val="22"/>
          <w:szCs w:val="22"/>
        </w:rPr>
        <w:t xml:space="preserve">PESTEL — Political force: government preserving supplier duopoly</w:t>
      </w:r>
    </w:p>
    <w:p>
      <w:pPr>
        <w:pBdr>
          <w:bottom w:val="single" w:color="CCCCCC" w:sz="4" w:space="1"/>
        </w:pBdr>
        <w:spacing w:after="240" w:before="120"/>
      </w:pPr>
      <w:r>
        <w:t xml:space="preserve"/>
      </w:r>
    </w:p>
    <w:p>
      <w:pPr>
        <w:pStyle w:val="Heading1"/>
        <w:spacing w:after="180" w:before="400"/>
      </w:pPr>
      <w:r>
        <w:rPr>
          <w:rFonts w:ascii="Arial" w:cs="Arial" w:eastAsia="Arial" w:hAnsi="Arial"/>
          <w:b/>
          <w:bCs/>
          <w:color w:val="1F3864"/>
          <w:sz w:val="30"/>
          <w:szCs w:val="30"/>
        </w:rPr>
        <w:t xml:space="preserve">Question 3 — How to Improve Industry Attractiveness</w:t>
      </w:r>
    </w:p>
    <w:p>
      <w:pPr>
        <w:pStyle w:val="Heading2"/>
        <w:spacing w:after="120" w:before="260"/>
      </w:pPr>
      <w:r>
        <w:rPr>
          <w:rFonts w:ascii="Arial" w:cs="Arial" w:eastAsia="Arial" w:hAnsi="Arial"/>
          <w:b/>
          <w:bCs/>
          <w:color w:val="2E5496"/>
          <w:sz w:val="24"/>
          <w:szCs w:val="24"/>
        </w:rPr>
        <w:t xml:space="preserve">What strategic responses could improve the attractiveness of the EU airline industry?</w:t>
      </w:r>
    </w:p>
    <w:p>
      <w:pPr>
        <w:spacing w:after="160"/>
      </w:pPr>
    </w:p>
    <w:p>
      <w:pPr>
        <w:spacing w:after="160"/>
      </w:pPr>
      <w:r>
        <w:rPr>
          <w:rFonts w:ascii="Arial" w:cs="Arial" w:eastAsia="Arial" w:hAnsi="Arial"/>
          <w:sz w:val="22"/>
          <w:szCs w:val="22"/>
        </w:rPr>
        <w:t xml:space="preserve">Industry attractiveness is not fixed — it is a function of the relative strength of competitive forces, and those forces can be shaped by deliberate strategic action. For EU airlines, the most critical interventions target the forces identified as dominant: supplier power, rivalry, and the substitute threat.</w:t>
      </w:r>
    </w:p>
    <w:p>
      <w:pPr>
        <w:spacing w:after="160"/>
      </w:pPr>
      <w:r>
        <w:rPr>
          <w:rFonts w:ascii="Arial" w:cs="Arial" w:eastAsia="Arial" w:hAnsi="Arial"/>
          <w:b/>
          <w:bCs/>
          <w:sz w:val="22"/>
          <w:szCs w:val="22"/>
        </w:rPr>
        <w:t xml:space="preserve">Reducing supplier power through diversification and lobbying: </w:t>
      </w:r>
      <w:r>
        <w:rPr>
          <w:rFonts w:ascii="Arial" w:cs="Arial" w:eastAsia="Arial" w:hAnsi="Arial"/>
          <w:sz w:val="22"/>
          <w:szCs w:val="22"/>
        </w:rPr>
        <w:t xml:space="preserve">The most structurally significant intervention would be to reduce dependence on the Airbus-Boeing duopoly. Airlines can pursue this through two mechanisms. First, collective lobbying of regulatory bodies to facilitate the certification of alternative suppliers — including, eventually, Chinese manufacturers — would introduce competitive pressure into the supply market and erode supplier bargaining power. Second, longer-term fleet planning that creates optionality across suppliers reduces lock-in and improves negotiating position, even within the existing duopoly.</w:t>
      </w:r>
    </w:p>
    <w:p>
      <w:pPr>
        <w:spacing w:after="160"/>
      </w:pPr>
      <w:r>
        <w:rPr>
          <w:rFonts w:ascii="Arial" w:cs="Arial" w:eastAsia="Arial" w:hAnsi="Arial"/>
          <w:b/>
          <w:bCs/>
          <w:sz w:val="22"/>
          <w:szCs w:val="22"/>
        </w:rPr>
        <w:t xml:space="preserve">Consolidation to reduce rivalry: </w:t>
      </w:r>
      <w:r>
        <w:rPr>
          <w:rFonts w:ascii="Arial" w:cs="Arial" w:eastAsia="Arial" w:hAnsi="Arial"/>
          <w:sz w:val="22"/>
          <w:szCs w:val="22"/>
        </w:rPr>
        <w:t xml:space="preserve">Mergers and acquisitions among European carriers reduce the number of competitors, soften price competition, and improve collective pricing power across the industry. Consolidation also generates economies of scale that partially offset the cost pressures imposed by powerful suppliers. The strategic logic is straightforward: fewer competitors means less rivalry, which means higher margins.</w:t>
      </w:r>
    </w:p>
    <w:p>
      <w:pPr>
        <w:spacing w:after="160"/>
      </w:pPr>
      <w:r>
        <w:rPr>
          <w:rFonts w:ascii="Arial" w:cs="Arial" w:eastAsia="Arial" w:hAnsi="Arial"/>
          <w:b/>
          <w:bCs/>
          <w:sz w:val="22"/>
          <w:szCs w:val="22"/>
        </w:rPr>
        <w:t xml:space="preserve">Differentiation to neutralise the substitute threat: </w:t>
      </w:r>
      <w:r>
        <w:rPr>
          <w:rFonts w:ascii="Arial" w:cs="Arial" w:eastAsia="Arial" w:hAnsi="Arial"/>
          <w:sz w:val="22"/>
          <w:szCs w:val="22"/>
        </w:rPr>
        <w:t xml:space="preserve">On routes where high-speed rail is a credible alternative, competing on price alone is a losing strategy. Investment in loyalty programmes, premium cabin economics, and service differentiation generates inelastic demand — passengers who value the airline product sufficiently that rail is not a viable substitute. Differentiation does not eliminate the substitute threat, but it concentrates it among the most price-sensitive segment, protecting margin on the rest.</w:t>
      </w:r>
    </w:p>
    <w:p>
      <w:pPr>
        <w:spacing w:after="160"/>
      </w:pPr>
      <w:r>
        <w:rPr>
          <w:rFonts w:ascii="Arial" w:cs="Arial" w:eastAsia="Arial" w:hAnsi="Arial"/>
          <w:b/>
          <w:bCs/>
          <w:sz w:val="22"/>
          <w:szCs w:val="22"/>
        </w:rPr>
        <w:t xml:space="preserve">Political engagement to manage the geopolitical dimension: </w:t>
      </w:r>
      <w:r>
        <w:rPr>
          <w:rFonts w:ascii="Arial" w:cs="Arial" w:eastAsia="Arial" w:hAnsi="Arial"/>
          <w:sz w:val="22"/>
          <w:szCs w:val="22"/>
        </w:rPr>
        <w:t xml:space="preserve">Given the extent to which government action shapes supplier power in this industry, political strategy is inseparable from competitive strategy. Airlines that engage effectively with EU regulatory bodies — on certification standards, state aid rules, and trade policy toward China — can influence the structural conditions of their own industry. This is the PESTEL dimension of strategy: the terrain is partly political, and effective generals know the terrain.</w:t>
      </w:r>
    </w:p>
    <w:p>
      <w:pPr>
        <w:spacing w:after="160"/>
      </w:pPr>
      <w:r>
        <w:rPr>
          <w:rFonts w:ascii="Arial" w:cs="Arial" w:eastAsia="Arial" w:hAnsi="Arial"/>
          <w:sz w:val="22"/>
          <w:szCs w:val="22"/>
        </w:rPr>
        <w:t xml:space="preserve">In aggregate, these interventions do not promise to make the EU airline industry straightforwardly attractive. They do, however, represent the rational strategic response to an industry whose structural dynamics are largely unfavourable — weakening the forces that compress margins, differentiating where substitution pressure is highest, and engaging politically where the state is a structurally significant actor.</w:t>
      </w:r>
    </w:p>
    <w:p>
      <w:pPr>
        <w:pStyle w:val="Heading2"/>
        <w:spacing w:after="120" w:before="260"/>
      </w:pPr>
      <w:r>
        <w:rPr>
          <w:rFonts w:ascii="Arial" w:cs="Arial" w:eastAsia="Arial" w:hAnsi="Arial"/>
          <w:b/>
          <w:bCs/>
          <w:color w:val="2E5496"/>
          <w:sz w:val="24"/>
          <w:szCs w:val="24"/>
        </w:rPr>
        <w:t xml:space="preserve">Key Terminology</w:t>
      </w:r>
    </w:p>
    <w:p>
      <w:pPr>
        <w:pStyle w:val="ListParagraph"/>
        <w:numPr>
          <w:ilvl w:val="0"/>
          <w:numId w:val="2"/>
        </w:numPr>
      </w:pPr>
      <w:r>
        <w:rPr>
          <w:rFonts w:ascii="Arial" w:cs="Arial" w:eastAsia="Arial" w:hAnsi="Arial"/>
          <w:sz w:val="22"/>
          <w:szCs w:val="22"/>
        </w:rPr>
        <w:t xml:space="preserve">Supplier power reduction — diversification, certification of alternatives, collective lobbying</w:t>
      </w:r>
    </w:p>
    <w:p>
      <w:pPr>
        <w:pStyle w:val="ListParagraph"/>
        <w:numPr>
          <w:ilvl w:val="0"/>
          <w:numId w:val="2"/>
        </w:numPr>
      </w:pPr>
      <w:r>
        <w:rPr>
          <w:rFonts w:ascii="Arial" w:cs="Arial" w:eastAsia="Arial" w:hAnsi="Arial"/>
          <w:sz w:val="22"/>
          <w:szCs w:val="22"/>
        </w:rPr>
        <w:t xml:space="preserve">Consolidation — reduces rivalry, improves pricing power, generates scale economies</w:t>
      </w:r>
    </w:p>
    <w:p>
      <w:pPr>
        <w:pStyle w:val="ListParagraph"/>
        <w:numPr>
          <w:ilvl w:val="0"/>
          <w:numId w:val="2"/>
        </w:numPr>
      </w:pPr>
      <w:r>
        <w:rPr>
          <w:rFonts w:ascii="Arial" w:cs="Arial" w:eastAsia="Arial" w:hAnsi="Arial"/>
          <w:sz w:val="22"/>
          <w:szCs w:val="22"/>
        </w:rPr>
        <w:t xml:space="preserve">Differentiation — inelastic demand, protects margin from substitute threat</w:t>
      </w:r>
    </w:p>
    <w:p>
      <w:pPr>
        <w:pStyle w:val="ListParagraph"/>
        <w:numPr>
          <w:ilvl w:val="0"/>
          <w:numId w:val="2"/>
        </w:numPr>
      </w:pPr>
      <w:r>
        <w:rPr>
          <w:rFonts w:ascii="Arial" w:cs="Arial" w:eastAsia="Arial" w:hAnsi="Arial"/>
          <w:sz w:val="22"/>
          <w:szCs w:val="22"/>
        </w:rPr>
        <w:t xml:space="preserve">Political strategy as competitive strategy — PESTEL shapes Five Forces</w:t>
      </w:r>
    </w:p>
    <w:p>
      <w:pPr>
        <w:pStyle w:val="ListParagraph"/>
        <w:numPr>
          <w:ilvl w:val="0"/>
          <w:numId w:val="2"/>
        </w:numPr>
      </w:pPr>
      <w:r>
        <w:rPr>
          <w:rFonts w:ascii="Arial" w:cs="Arial" w:eastAsia="Arial" w:hAnsi="Arial"/>
          <w:sz w:val="22"/>
          <w:szCs w:val="22"/>
        </w:rPr>
        <w:t xml:space="preserve">Industry attractiveness is endogenous — firms can influence structural conditions</w:t>
      </w:r>
    </w:p>
    <w:p>
      <w:pPr>
        <w:pBdr>
          <w:bottom w:val="single" w:color="CCCCCC" w:sz="4" w:space="1"/>
        </w:pBdr>
        <w:spacing w:after="240" w:before="120"/>
      </w:pPr>
      <w:r>
        <w:t xml:space="preserve"/>
      </w:r>
    </w:p>
    <w:p>
      <w:pPr>
        <w:pStyle w:val="Heading1"/>
        <w:spacing w:after="180" w:before="400"/>
      </w:pPr>
      <w:r>
        <w:rPr>
          <w:rFonts w:ascii="Arial" w:cs="Arial" w:eastAsia="Arial" w:hAnsi="Arial"/>
          <w:b/>
          <w:bCs/>
          <w:color w:val="1F3864"/>
          <w:sz w:val="30"/>
          <w:szCs w:val="30"/>
        </w:rPr>
        <w:t xml:space="preserve">Quick Reference</w:t>
      </w:r>
    </w:p>
    <w:p>
      <w:pPr>
        <w:pStyle w:val="Heading2"/>
        <w:spacing w:after="120" w:before="260"/>
      </w:pPr>
      <w:r>
        <w:rPr>
          <w:rFonts w:ascii="Arial" w:cs="Arial" w:eastAsia="Arial" w:hAnsi="Arial"/>
          <w:b/>
          <w:bCs/>
          <w:color w:val="2E5496"/>
          <w:sz w:val="24"/>
          <w:szCs w:val="24"/>
        </w:rPr>
        <w:t xml:space="preserve">Grant's 4 Elements — Apply to Any Case</w:t>
      </w:r>
    </w:p>
    <w:p>
      <w:pPr>
        <w:pStyle w:val="ListParagraph"/>
        <w:numPr>
          <w:ilvl w:val="0"/>
          <w:numId w:val="2"/>
        </w:numPr>
      </w:pPr>
      <w:r>
        <w:rPr>
          <w:rFonts w:ascii="Arial" w:cs="Arial" w:eastAsia="Arial" w:hAnsi="Arial"/>
          <w:sz w:val="22"/>
          <w:szCs w:val="22"/>
        </w:rPr>
        <w:t xml:space="preserve">Simple, consistent, long-term goals</w:t>
      </w:r>
    </w:p>
    <w:p>
      <w:pPr>
        <w:pStyle w:val="ListParagraph"/>
        <w:numPr>
          <w:ilvl w:val="0"/>
          <w:numId w:val="2"/>
        </w:numPr>
      </w:pPr>
      <w:r>
        <w:rPr>
          <w:rFonts w:ascii="Arial" w:cs="Arial" w:eastAsia="Arial" w:hAnsi="Arial"/>
          <w:sz w:val="22"/>
          <w:szCs w:val="22"/>
        </w:rPr>
        <w:t xml:space="preserve">Profound understanding of the environment (PESTEL + Five Forces)</w:t>
      </w:r>
    </w:p>
    <w:p>
      <w:pPr>
        <w:pStyle w:val="ListParagraph"/>
        <w:numPr>
          <w:ilvl w:val="0"/>
          <w:numId w:val="2"/>
        </w:numPr>
      </w:pPr>
      <w:r>
        <w:rPr>
          <w:rFonts w:ascii="Arial" w:cs="Arial" w:eastAsia="Arial" w:hAnsi="Arial"/>
          <w:sz w:val="22"/>
          <w:szCs w:val="22"/>
        </w:rPr>
        <w:t xml:space="preserve">Objective appraisal of resources and capabilities (VRIO)</w:t>
      </w:r>
    </w:p>
    <w:p>
      <w:pPr>
        <w:pStyle w:val="ListParagraph"/>
        <w:numPr>
          <w:ilvl w:val="0"/>
          <w:numId w:val="2"/>
        </w:numPr>
      </w:pPr>
      <w:r>
        <w:rPr>
          <w:rFonts w:ascii="Arial" w:cs="Arial" w:eastAsia="Arial" w:hAnsi="Arial"/>
          <w:sz w:val="22"/>
          <w:szCs w:val="22"/>
        </w:rPr>
        <w:t xml:space="preserve">Effective implementation — organisation, choices, actions</w:t>
      </w:r>
    </w:p>
    <w:p>
      <w:pPr>
        <w:spacing w:after="160"/>
      </w:pPr>
    </w:p>
    <w:p>
      <w:pPr>
        <w:pStyle w:val="Heading2"/>
        <w:spacing w:after="120" w:before="260"/>
      </w:pPr>
      <w:r>
        <w:rPr>
          <w:rFonts w:ascii="Arial" w:cs="Arial" w:eastAsia="Arial" w:hAnsi="Arial"/>
          <w:b/>
          <w:bCs/>
          <w:color w:val="2E5496"/>
          <w:sz w:val="24"/>
          <w:szCs w:val="24"/>
        </w:rPr>
        <w:t xml:space="preserve">VRIO — Four Tests for Sustained Competitive Advantage</w:t>
      </w:r>
    </w:p>
    <w:p>
      <w:pPr>
        <w:pStyle w:val="ListParagraph"/>
        <w:numPr>
          <w:ilvl w:val="0"/>
          <w:numId w:val="2"/>
        </w:numPr>
      </w:pPr>
      <w:r>
        <w:rPr>
          <w:rFonts w:ascii="Arial" w:cs="Arial" w:eastAsia="Arial" w:hAnsi="Arial"/>
          <w:sz w:val="22"/>
          <w:szCs w:val="22"/>
        </w:rPr>
        <w:t xml:space="preserve">Valuable — exploits opportunities or neutralises threats</w:t>
      </w:r>
    </w:p>
    <w:p>
      <w:pPr>
        <w:pStyle w:val="ListParagraph"/>
        <w:numPr>
          <w:ilvl w:val="0"/>
          <w:numId w:val="2"/>
        </w:numPr>
      </w:pPr>
      <w:r>
        <w:rPr>
          <w:rFonts w:ascii="Arial" w:cs="Arial" w:eastAsia="Arial" w:hAnsi="Arial"/>
          <w:sz w:val="22"/>
          <w:szCs w:val="22"/>
        </w:rPr>
        <w:t xml:space="preserve">Rare — few or no competitors possess it</w:t>
      </w:r>
    </w:p>
    <w:p>
      <w:pPr>
        <w:pStyle w:val="ListParagraph"/>
        <w:numPr>
          <w:ilvl w:val="0"/>
          <w:numId w:val="2"/>
        </w:numPr>
      </w:pPr>
      <w:r>
        <w:rPr>
          <w:rFonts w:ascii="Arial" w:cs="Arial" w:eastAsia="Arial" w:hAnsi="Arial"/>
          <w:sz w:val="22"/>
          <w:szCs w:val="22"/>
        </w:rPr>
        <w:t xml:space="preserve">Inimitable — costly or difficult to copy (tacit knowledge, culture, history)</w:t>
      </w:r>
    </w:p>
    <w:p>
      <w:pPr>
        <w:pStyle w:val="ListParagraph"/>
        <w:numPr>
          <w:ilvl w:val="0"/>
          <w:numId w:val="2"/>
        </w:numPr>
      </w:pPr>
      <w:r>
        <w:rPr>
          <w:rFonts w:ascii="Arial" w:cs="Arial" w:eastAsia="Arial" w:hAnsi="Arial"/>
          <w:sz w:val="22"/>
          <w:szCs w:val="22"/>
        </w:rPr>
        <w:t xml:space="preserve">Organisation — structure and processes exist to exploit it</w:t>
      </w:r>
    </w:p>
    <w:p>
      <w:pPr>
        <w:spacing w:after="160"/>
      </w:pPr>
    </w:p>
    <w:p>
      <w:pPr>
        <w:pStyle w:val="Heading2"/>
        <w:spacing w:after="120" w:before="260"/>
      </w:pPr>
      <w:r>
        <w:rPr>
          <w:rFonts w:ascii="Arial" w:cs="Arial" w:eastAsia="Arial" w:hAnsi="Arial"/>
          <w:b/>
          <w:bCs/>
          <w:color w:val="2E5496"/>
          <w:sz w:val="24"/>
          <w:szCs w:val="24"/>
        </w:rPr>
        <w:t xml:space="preserve">Porter's Three Strategies — Never Get Stuck in the Middle</w:t>
      </w:r>
    </w:p>
    <w:p>
      <w:pPr>
        <w:pStyle w:val="ListParagraph"/>
        <w:numPr>
          <w:ilvl w:val="0"/>
          <w:numId w:val="2"/>
        </w:numPr>
      </w:pPr>
      <w:r>
        <w:rPr>
          <w:rFonts w:ascii="Arial" w:cs="Arial" w:eastAsia="Arial" w:hAnsi="Arial"/>
          <w:sz w:val="22"/>
          <w:szCs w:val="22"/>
        </w:rPr>
        <w:t xml:space="preserve">Cost leadership — win on price; customers are price-sensitive</w:t>
      </w:r>
    </w:p>
    <w:p>
      <w:pPr>
        <w:pStyle w:val="ListParagraph"/>
        <w:numPr>
          <w:ilvl w:val="0"/>
          <w:numId w:val="2"/>
        </w:numPr>
      </w:pPr>
      <w:r>
        <w:rPr>
          <w:rFonts w:ascii="Arial" w:cs="Arial" w:eastAsia="Arial" w:hAnsi="Arial"/>
          <w:sz w:val="22"/>
          <w:szCs w:val="22"/>
        </w:rPr>
        <w:t xml:space="preserve">Differentiation — customers strongly prefer your offer; demand is inelastic</w:t>
      </w:r>
    </w:p>
    <w:p>
      <w:pPr>
        <w:pStyle w:val="ListParagraph"/>
        <w:numPr>
          <w:ilvl w:val="0"/>
          <w:numId w:val="2"/>
        </w:numPr>
      </w:pPr>
      <w:r>
        <w:rPr>
          <w:rFonts w:ascii="Arial" w:cs="Arial" w:eastAsia="Arial" w:hAnsi="Arial"/>
          <w:sz w:val="22"/>
          <w:szCs w:val="22"/>
        </w:rPr>
        <w:t xml:space="preserve">Focus — narrow segment; combine with either of the above</w:t>
      </w:r>
    </w:p>
    <w:p>
      <w:pPr>
        <w:spacing w:after="160"/>
      </w:pPr>
    </w:p>
    <w:p>
      <w:pPr>
        <w:pStyle w:val="Heading2"/>
        <w:spacing w:after="120" w:before="260"/>
      </w:pPr>
      <w:r>
        <w:rPr>
          <w:rFonts w:ascii="Arial" w:cs="Arial" w:eastAsia="Arial" w:hAnsi="Arial"/>
          <w:b/>
          <w:bCs/>
          <w:color w:val="2E5496"/>
          <w:sz w:val="24"/>
          <w:szCs w:val="24"/>
        </w:rPr>
        <w:t xml:space="preserve">Phrases That Signal Economic Reasoning</w:t>
      </w:r>
    </w:p>
    <w:p>
      <w:pPr>
        <w:pStyle w:val="ListParagraph"/>
        <w:numPr>
          <w:ilvl w:val="0"/>
          <w:numId w:val="2"/>
        </w:numPr>
      </w:pPr>
      <w:r>
        <w:rPr>
          <w:rFonts w:ascii="Arial" w:cs="Arial" w:eastAsia="Arial" w:hAnsi="Arial"/>
          <w:sz w:val="22"/>
          <w:szCs w:val="22"/>
        </w:rPr>
        <w:t xml:space="preserve">"...which reduces the profit potential of the industry..."</w:t>
      </w:r>
    </w:p>
    <w:p>
      <w:pPr>
        <w:pStyle w:val="ListParagraph"/>
        <w:numPr>
          <w:ilvl w:val="0"/>
          <w:numId w:val="2"/>
        </w:numPr>
      </w:pPr>
      <w:r>
        <w:rPr>
          <w:rFonts w:ascii="Arial" w:cs="Arial" w:eastAsia="Arial" w:hAnsi="Arial"/>
          <w:sz w:val="22"/>
          <w:szCs w:val="22"/>
        </w:rPr>
        <w:t xml:space="preserve">"...threats materially exceed opportunities, therefore the industry is unattractive..."</w:t>
      </w:r>
    </w:p>
    <w:p>
      <w:pPr>
        <w:pStyle w:val="ListParagraph"/>
        <w:numPr>
          <w:ilvl w:val="0"/>
          <w:numId w:val="2"/>
        </w:numPr>
      </w:pPr>
      <w:r>
        <w:rPr>
          <w:rFonts w:ascii="Arial" w:cs="Arial" w:eastAsia="Arial" w:hAnsi="Arial"/>
          <w:sz w:val="22"/>
          <w:szCs w:val="22"/>
        </w:rPr>
        <w:t xml:space="preserve">"...switching costs entrench supplier dependency..."</w:t>
      </w:r>
    </w:p>
    <w:p>
      <w:pPr>
        <w:pStyle w:val="ListParagraph"/>
        <w:numPr>
          <w:ilvl w:val="0"/>
          <w:numId w:val="2"/>
        </w:numPr>
      </w:pPr>
      <w:r>
        <w:rPr>
          <w:rFonts w:ascii="Arial" w:cs="Arial" w:eastAsia="Arial" w:hAnsi="Arial"/>
          <w:sz w:val="22"/>
          <w:szCs w:val="22"/>
        </w:rPr>
        <w:t xml:space="preserve">"...demand becomes price inelastic, reducing the substitute threat..."</w:t>
      </w:r>
    </w:p>
    <w:p>
      <w:pPr>
        <w:pStyle w:val="ListParagraph"/>
        <w:numPr>
          <w:ilvl w:val="0"/>
          <w:numId w:val="2"/>
        </w:numPr>
      </w:pPr>
      <w:r>
        <w:rPr>
          <w:rFonts w:ascii="Arial" w:cs="Arial" w:eastAsia="Arial" w:hAnsi="Arial"/>
          <w:sz w:val="22"/>
          <w:szCs w:val="22"/>
        </w:rPr>
        <w:t xml:space="preserve">"...consolidation softens rivalry and improves collective pricing power..."</w:t>
      </w:r>
    </w:p>
    <w:p>
      <w:pPr>
        <w:pStyle w:val="ListParagraph"/>
        <w:numPr>
          <w:ilvl w:val="0"/>
          <w:numId w:val="2"/>
        </w:numPr>
      </w:pPr>
      <w:r>
        <w:rPr>
          <w:rFonts w:ascii="Arial" w:cs="Arial" w:eastAsia="Arial" w:hAnsi="Arial"/>
          <w:sz w:val="22"/>
          <w:szCs w:val="22"/>
        </w:rPr>
        <w:t xml:space="preserve">"...the double loss problem renders human capital investment structurally risky..."</w:t>
      </w:r>
    </w:p>
    <w:p>
      <w:pPr>
        <w:pStyle w:val="ListParagraph"/>
        <w:numPr>
          <w:ilvl w:val="0"/>
          <w:numId w:val="2"/>
        </w:numPr>
      </w:pPr>
      <w:r>
        <w:rPr>
          <w:rFonts w:ascii="Arial" w:cs="Arial" w:eastAsia="Arial" w:hAnsi="Arial"/>
          <w:sz w:val="22"/>
          <w:szCs w:val="22"/>
        </w:rPr>
        <w:t xml:space="preserve">"...the state functions as a structural actor, shaping the conditions of competition..."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2026-03-11T10:40:12.561Z</dcterms:created>
  <dcterms:modified xsi:type="dcterms:W3CDTF">2026-03-11T10:40:12.562Z</dcterms:modified>
</cp:coreProperties>
</file>

<file path=docProps/custom.xml><?xml version="1.0" encoding="utf-8"?>
<Properties xmlns="http://schemas.openxmlformats.org/officeDocument/2006/custom-properties" xmlns:vt="http://schemas.openxmlformats.org/officeDocument/2006/docPropsVTypes"/>
</file>