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DD1E8" w14:textId="77777777" w:rsidR="00F12783" w:rsidRDefault="00000000">
      <w:pPr>
        <w:spacing w:after="100"/>
        <w:jc w:val="center"/>
      </w:pPr>
      <w:r>
        <w:rPr>
          <w:rFonts w:ascii="Calibri" w:eastAsia="Calibri" w:hAnsi="Calibri" w:cs="Calibri"/>
          <w:b/>
          <w:bCs/>
          <w:sz w:val="32"/>
          <w:szCs w:val="32"/>
        </w:rPr>
        <w:t>Progress Report: Week 4</w:t>
      </w:r>
    </w:p>
    <w:p w14:paraId="4BEA8833" w14:textId="77777777" w:rsidR="00F12783" w:rsidRDefault="00000000">
      <w:pPr>
        <w:spacing w:after="320"/>
        <w:jc w:val="center"/>
      </w:pPr>
      <w:r>
        <w:rPr>
          <w:rFonts w:ascii="Calibri" w:eastAsia="Calibri" w:hAnsi="Calibri" w:cs="Calibri"/>
          <w:i/>
          <w:iCs/>
          <w:color w:val="444444"/>
          <w:sz w:val="22"/>
          <w:szCs w:val="22"/>
        </w:rPr>
        <w:t>Project Phase: Multi-Provider Decoupling and Real Data Collection</w:t>
      </w:r>
    </w:p>
    <w:p w14:paraId="7F77DAF9" w14:textId="77777777" w:rsidR="00F12783" w:rsidRDefault="00000000">
      <w:pPr>
        <w:pStyle w:val="Heading1"/>
        <w:spacing w:before="280" w:after="140"/>
      </w:pPr>
      <w:r>
        <w:rPr>
          <w:rFonts w:ascii="Calibri" w:eastAsia="Calibri" w:hAnsi="Calibri" w:cs="Calibri"/>
          <w:b/>
          <w:bCs/>
          <w:sz w:val="26"/>
          <w:szCs w:val="26"/>
        </w:rPr>
        <w:t>1. Goal</w:t>
      </w:r>
    </w:p>
    <w:p w14:paraId="3418897B" w14:textId="77777777" w:rsidR="00F12783" w:rsidRDefault="00000000">
      <w:pPr>
        <w:spacing w:after="160" w:line="276" w:lineRule="auto"/>
      </w:pPr>
      <w:r>
        <w:rPr>
          <w:rFonts w:ascii="Calibri" w:eastAsia="Calibri" w:hAnsi="Calibri" w:cs="Calibri"/>
          <w:sz w:val="22"/>
          <w:szCs w:val="22"/>
        </w:rPr>
        <w:t>The goal of Week 4 was to decouple the single-provider automation pipeline built in Week 2 into three independent, provider-specific runners, and to execute real data collection against the full curated 220-prompt dataset across all three providers. Each runner needed to operate safely within free-tier constraints and recover cleanly from interruptions, since a 220-prompt run against real APIs is long enough to realistically encounter rate limits, quota exhaustion, or provider-side changes mid-run.</w:t>
      </w:r>
    </w:p>
    <w:p w14:paraId="2C5EF373" w14:textId="77777777" w:rsidR="00F12783" w:rsidRDefault="00000000">
      <w:pPr>
        <w:pStyle w:val="Heading1"/>
        <w:spacing w:before="280" w:after="140"/>
      </w:pPr>
      <w:r>
        <w:rPr>
          <w:rFonts w:ascii="Calibri" w:eastAsia="Calibri" w:hAnsi="Calibri" w:cs="Calibri"/>
          <w:b/>
          <w:bCs/>
          <w:sz w:val="26"/>
          <w:szCs w:val="26"/>
        </w:rPr>
        <w:t>2. Method</w:t>
      </w:r>
    </w:p>
    <w:p w14:paraId="51AE4C5B" w14:textId="77777777" w:rsidR="00F12783" w:rsidRDefault="00000000">
      <w:pPr>
        <w:spacing w:after="160" w:line="276" w:lineRule="auto"/>
      </w:pPr>
      <w:r>
        <w:rPr>
          <w:rFonts w:ascii="Calibri" w:eastAsia="Calibri" w:hAnsi="Calibri" w:cs="Calibri"/>
          <w:sz w:val="22"/>
          <w:szCs w:val="22"/>
        </w:rPr>
        <w:t>Three self-contained runner scripts were built, one per provider, each following the same pattern established in Week 2: proactive throttling calibrated to that provider's specific rate limit, reactive exponential backoff with jitter on transient failures, and disk-based JSON caching with resume-by-cache-file logic. Two additional mechanisms were added in Week 4, motivated directly by real failures encountered during development: persistent-error detection, which stops an entire run early rather than retrying every remaining prompt uselessly once a quota, billing, or model-availability problem is detected; and atomic cache writes, which guarantee a hard interruption can never leave a corrupted response file behind.</w:t>
      </w:r>
    </w:p>
    <w:p w14:paraId="26B42723" w14:textId="77777777" w:rsidR="00F12783" w:rsidRDefault="00000000">
      <w:pPr>
        <w:pStyle w:val="Heading1"/>
        <w:spacing w:before="280" w:after="140"/>
      </w:pPr>
      <w:r>
        <w:rPr>
          <w:rFonts w:ascii="Calibri" w:eastAsia="Calibri" w:hAnsi="Calibri" w:cs="Calibri"/>
          <w:b/>
          <w:bCs/>
          <w:sz w:val="26"/>
          <w:szCs w:val="26"/>
        </w:rPr>
        <w:t>3. Process</w:t>
      </w:r>
    </w:p>
    <w:p w14:paraId="684E28A7" w14:textId="77777777" w:rsidR="00F12783" w:rsidRDefault="00000000">
      <w:pPr>
        <w:pStyle w:val="Heading2"/>
        <w:spacing w:before="200" w:after="100"/>
      </w:pPr>
      <w:r>
        <w:rPr>
          <w:rFonts w:ascii="Calibri" w:eastAsia="Calibri" w:hAnsi="Calibri" w:cs="Calibri"/>
          <w:b/>
          <w:bCs/>
          <w:sz w:val="23"/>
          <w:szCs w:val="23"/>
        </w:rPr>
        <w:t>3.1 Provider Selection and Two Real Incidents</w:t>
      </w:r>
    </w:p>
    <w:p w14:paraId="197A7EB0" w14:textId="77777777" w:rsidR="00F12783" w:rsidRDefault="00000000">
      <w:pPr>
        <w:spacing w:after="160" w:line="276" w:lineRule="auto"/>
      </w:pPr>
      <w:r>
        <w:rPr>
          <w:rFonts w:ascii="Calibri" w:eastAsia="Calibri" w:hAnsi="Calibri" w:cs="Calibri"/>
          <w:sz w:val="22"/>
          <w:szCs w:val="22"/>
        </w:rPr>
        <w:t>The three providers were originally planned as Gemini, Cerebras, and Groq. During live testing, two genuine, unplanned problems occurred and were resolved as part of this week's work rather than being avoided:</w:t>
      </w:r>
    </w:p>
    <w:p w14:paraId="0B5AEE9F" w14:textId="77777777" w:rsidR="00F12783" w:rsidRDefault="00000000">
      <w:pPr>
        <w:pStyle w:val="ListParagraph"/>
        <w:numPr>
          <w:ilvl w:val="0"/>
          <w:numId w:val="1"/>
        </w:numPr>
        <w:spacing w:after="100" w:line="276" w:lineRule="auto"/>
      </w:pPr>
      <w:r>
        <w:rPr>
          <w:rFonts w:ascii="Calibri" w:eastAsia="Calibri" w:hAnsi="Calibri" w:cs="Calibri"/>
          <w:sz w:val="22"/>
          <w:szCs w:val="22"/>
        </w:rPr>
        <w:t>Gemini: the initially selected model, gemini-2.5-flash, was found to be retired and no longer available to new API projects, returning a 404 error on every call. This was fixed by switching to gemini-3.5-flash, Google's current recommended free-tier model.</w:t>
      </w:r>
    </w:p>
    <w:p w14:paraId="3A810495" w14:textId="77777777" w:rsidR="00F12783" w:rsidRDefault="00000000">
      <w:pPr>
        <w:pStyle w:val="ListParagraph"/>
        <w:numPr>
          <w:ilvl w:val="0"/>
          <w:numId w:val="1"/>
        </w:numPr>
        <w:spacing w:after="100" w:line="276" w:lineRule="auto"/>
      </w:pPr>
      <w:r>
        <w:rPr>
          <w:rFonts w:ascii="Calibri" w:eastAsia="Calibri" w:hAnsi="Calibri" w:cs="Calibri"/>
          <w:sz w:val="22"/>
          <w:szCs w:val="22"/>
        </w:rPr>
        <w:t>Cerebras: the account required a payment method to be added before API access would activate at all, even to claim the advertised free credit. An available local debit card could not be authorized for this international transaction. Rather than continue troubleshooting local banking restrictions, the third provider was switched to Mistral AI, which offers a permanent free tier requiring no payment method.</w:t>
      </w:r>
    </w:p>
    <w:p w14:paraId="0299922A"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Both incidents are documented in the accompanying incident timeline diagram, and both directly motivated the persistent-error detection mechanism added to all three runners this week: a systemic problem (retired model, billing block, exhausted quota) is now detected after a single exhausted retry sequence and stops the run immediately, rather than being discovered only after wastefully retrying all 220 prompts.</w:t>
      </w:r>
    </w:p>
    <w:p w14:paraId="35FDBD46" w14:textId="77777777" w:rsidR="00356B36" w:rsidRDefault="00356B36">
      <w:pPr>
        <w:spacing w:after="160" w:line="276" w:lineRule="auto"/>
        <w:rPr>
          <w:rFonts w:ascii="Calibri" w:eastAsia="Calibri" w:hAnsi="Calibri" w:cs="Calibri"/>
          <w:sz w:val="22"/>
          <w:szCs w:val="22"/>
          <w:lang w:val="en-US"/>
        </w:rPr>
      </w:pPr>
    </w:p>
    <w:p w14:paraId="2588E561" w14:textId="77777777" w:rsidR="00356B36" w:rsidRDefault="00356B36">
      <w:pPr>
        <w:spacing w:after="160" w:line="276" w:lineRule="auto"/>
        <w:rPr>
          <w:rFonts w:ascii="Calibri" w:eastAsia="Calibri" w:hAnsi="Calibri" w:cs="Calibri"/>
          <w:sz w:val="22"/>
          <w:szCs w:val="22"/>
          <w:lang w:val="en-US"/>
        </w:rPr>
      </w:pPr>
    </w:p>
    <w:p w14:paraId="64A14A38" w14:textId="77777777" w:rsidR="00356B36" w:rsidRDefault="00356B36">
      <w:pPr>
        <w:spacing w:after="160" w:line="276" w:lineRule="auto"/>
        <w:rPr>
          <w:rFonts w:ascii="Calibri" w:eastAsia="Calibri" w:hAnsi="Calibri" w:cs="Calibri"/>
          <w:sz w:val="22"/>
          <w:szCs w:val="22"/>
          <w:lang w:val="en-US"/>
        </w:rPr>
      </w:pPr>
    </w:p>
    <w:p w14:paraId="66AEAC73" w14:textId="77777777" w:rsidR="00356B36" w:rsidRPr="00356B36" w:rsidRDefault="00356B36">
      <w:pPr>
        <w:spacing w:after="160" w:line="276" w:lineRule="auto"/>
        <w:rPr>
          <w:lang w:val="en-US"/>
        </w:rPr>
      </w:pPr>
    </w:p>
    <w:p w14:paraId="5888F40D" w14:textId="77777777" w:rsidR="00F12783" w:rsidRDefault="00000000">
      <w:pPr>
        <w:pStyle w:val="Heading2"/>
        <w:spacing w:before="200" w:after="100"/>
      </w:pPr>
      <w:r>
        <w:rPr>
          <w:rFonts w:ascii="Calibri" w:eastAsia="Calibri" w:hAnsi="Calibri" w:cs="Calibri"/>
          <w:b/>
          <w:bCs/>
          <w:sz w:val="23"/>
          <w:szCs w:val="23"/>
        </w:rPr>
        <w:lastRenderedPageBreak/>
        <w:t>3.2 Gemini Runner</w:t>
      </w:r>
    </w:p>
    <w:p w14:paraId="190789AB"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run_gemini_benchmark.py calling the google-genai SDK directly, throttled to stay under Gemini's approximately 15 requests/minute free-tier cap.</w:t>
      </w:r>
    </w:p>
    <w:p w14:paraId="67D08C05" w14:textId="02153908" w:rsidR="00356B36" w:rsidRPr="00356B36" w:rsidRDefault="00356B36">
      <w:pPr>
        <w:spacing w:after="160" w:line="276" w:lineRule="auto"/>
        <w:rPr>
          <w:lang w:val="en-US"/>
        </w:rPr>
      </w:pPr>
      <w:r>
        <w:rPr>
          <w:noProof/>
        </w:rPr>
        <w:drawing>
          <wp:inline distT="0" distB="0" distL="0" distR="0" wp14:anchorId="0339AA99" wp14:editId="1569CC4C">
            <wp:extent cx="6400800" cy="3600450"/>
            <wp:effectExtent l="0" t="0" r="0" b="0"/>
            <wp:docPr id="81395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50613" name=""/>
                    <pic:cNvPicPr/>
                  </pic:nvPicPr>
                  <pic:blipFill>
                    <a:blip r:embed="rId5"/>
                    <a:stretch>
                      <a:fillRect/>
                    </a:stretch>
                  </pic:blipFill>
                  <pic:spPr>
                    <a:xfrm>
                      <a:off x="0" y="0"/>
                      <a:ext cx="6400800" cy="3600450"/>
                    </a:xfrm>
                    <a:prstGeom prst="rect">
                      <a:avLst/>
                    </a:prstGeom>
                  </pic:spPr>
                </pic:pic>
              </a:graphicData>
            </a:graphic>
          </wp:inline>
        </w:drawing>
      </w:r>
    </w:p>
    <w:p w14:paraId="17CD479C" w14:textId="77777777" w:rsidR="00F12783" w:rsidRDefault="00000000">
      <w:pPr>
        <w:pStyle w:val="Heading2"/>
        <w:spacing w:before="200" w:after="100"/>
      </w:pPr>
      <w:r>
        <w:rPr>
          <w:rFonts w:ascii="Calibri" w:eastAsia="Calibri" w:hAnsi="Calibri" w:cs="Calibri"/>
          <w:b/>
          <w:bCs/>
          <w:sz w:val="23"/>
          <w:szCs w:val="23"/>
        </w:rPr>
        <w:t>3.3 Mistral Runner</w:t>
      </w:r>
    </w:p>
    <w:p w14:paraId="3940DEC6"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run_mistral_benchmark.py calling the mistralai SDK directly, using the open-mistral-nemo free-tier model.</w:t>
      </w:r>
    </w:p>
    <w:p w14:paraId="21FD0DC1" w14:textId="04057AC3" w:rsidR="001A2D2A" w:rsidRPr="001A2D2A" w:rsidRDefault="001A2D2A">
      <w:pPr>
        <w:spacing w:after="160" w:line="276" w:lineRule="auto"/>
        <w:rPr>
          <w:lang w:val="en-US"/>
        </w:rPr>
      </w:pPr>
      <w:r>
        <w:rPr>
          <w:noProof/>
        </w:rPr>
        <w:drawing>
          <wp:inline distT="0" distB="0" distL="0" distR="0" wp14:anchorId="61432F8E" wp14:editId="69843493">
            <wp:extent cx="5731510" cy="3223895"/>
            <wp:effectExtent l="0" t="0" r="2540" b="0"/>
            <wp:docPr id="9173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12511" name=""/>
                    <pic:cNvPicPr/>
                  </pic:nvPicPr>
                  <pic:blipFill>
                    <a:blip r:embed="rId6"/>
                    <a:stretch>
                      <a:fillRect/>
                    </a:stretch>
                  </pic:blipFill>
                  <pic:spPr>
                    <a:xfrm>
                      <a:off x="0" y="0"/>
                      <a:ext cx="5731510" cy="3223895"/>
                    </a:xfrm>
                    <a:prstGeom prst="rect">
                      <a:avLst/>
                    </a:prstGeom>
                  </pic:spPr>
                </pic:pic>
              </a:graphicData>
            </a:graphic>
          </wp:inline>
        </w:drawing>
      </w:r>
    </w:p>
    <w:p w14:paraId="427CBE42" w14:textId="77777777" w:rsidR="00F12783" w:rsidRDefault="00000000">
      <w:pPr>
        <w:pStyle w:val="Heading2"/>
        <w:spacing w:before="200" w:after="100"/>
      </w:pPr>
      <w:r>
        <w:rPr>
          <w:rFonts w:ascii="Calibri" w:eastAsia="Calibri" w:hAnsi="Calibri" w:cs="Calibri"/>
          <w:b/>
          <w:bCs/>
          <w:sz w:val="23"/>
          <w:szCs w:val="23"/>
        </w:rPr>
        <w:lastRenderedPageBreak/>
        <w:t>3.4 Groq Runner</w:t>
      </w:r>
    </w:p>
    <w:p w14:paraId="5EAE91E0" w14:textId="60AEBFCC" w:rsidR="00F12783" w:rsidRDefault="00000000" w:rsidP="003419E1">
      <w:pPr>
        <w:spacing w:after="160" w:line="276" w:lineRule="auto"/>
        <w:rPr>
          <w:rFonts w:ascii="Calibri" w:eastAsia="Calibri" w:hAnsi="Calibri" w:cs="Calibri"/>
          <w:i/>
          <w:iCs/>
          <w:color w:val="555555"/>
          <w:lang w:val="en-US"/>
        </w:rPr>
      </w:pPr>
      <w:r>
        <w:rPr>
          <w:rFonts w:ascii="Calibri" w:eastAsia="Calibri" w:hAnsi="Calibri" w:cs="Calibri"/>
          <w:sz w:val="22"/>
          <w:szCs w:val="22"/>
        </w:rPr>
        <w:t>Implemented run_groq_benchmark.py calling the groq SDK directly, reusing the pattern already verified in earlier weeks.</w:t>
      </w:r>
    </w:p>
    <w:p w14:paraId="5D1523A6" w14:textId="0F058587" w:rsidR="003419E1" w:rsidRDefault="003419E1" w:rsidP="003419E1">
      <w:pPr>
        <w:spacing w:after="160" w:line="276" w:lineRule="auto"/>
        <w:rPr>
          <w:lang w:val="en-US"/>
        </w:rPr>
      </w:pPr>
      <w:r>
        <w:rPr>
          <w:noProof/>
        </w:rPr>
        <w:drawing>
          <wp:inline distT="0" distB="0" distL="0" distR="0" wp14:anchorId="61E046EF" wp14:editId="740E362F">
            <wp:extent cx="5731510" cy="3223895"/>
            <wp:effectExtent l="0" t="0" r="2540" b="0"/>
            <wp:docPr id="137394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49198" name=""/>
                    <pic:cNvPicPr/>
                  </pic:nvPicPr>
                  <pic:blipFill>
                    <a:blip r:embed="rId7"/>
                    <a:stretch>
                      <a:fillRect/>
                    </a:stretch>
                  </pic:blipFill>
                  <pic:spPr>
                    <a:xfrm>
                      <a:off x="0" y="0"/>
                      <a:ext cx="5731510" cy="3223895"/>
                    </a:xfrm>
                    <a:prstGeom prst="rect">
                      <a:avLst/>
                    </a:prstGeom>
                  </pic:spPr>
                </pic:pic>
              </a:graphicData>
            </a:graphic>
          </wp:inline>
        </w:drawing>
      </w:r>
    </w:p>
    <w:p w14:paraId="54C81BA5" w14:textId="77777777" w:rsidR="006B09BD" w:rsidRDefault="006B09BD" w:rsidP="003419E1">
      <w:pPr>
        <w:spacing w:after="160" w:line="276" w:lineRule="auto"/>
        <w:rPr>
          <w:lang w:val="en-US"/>
        </w:rPr>
      </w:pPr>
    </w:p>
    <w:p w14:paraId="7F952E78" w14:textId="77777777" w:rsidR="006B09BD" w:rsidRPr="003419E1" w:rsidRDefault="006B09BD" w:rsidP="003419E1">
      <w:pPr>
        <w:spacing w:after="160" w:line="276" w:lineRule="auto"/>
        <w:rPr>
          <w:lang w:val="en-US"/>
        </w:rPr>
      </w:pPr>
    </w:p>
    <w:p w14:paraId="6A1F24A6" w14:textId="77777777" w:rsidR="00F12783" w:rsidRDefault="00000000">
      <w:pPr>
        <w:pStyle w:val="Heading2"/>
        <w:spacing w:before="200" w:after="100"/>
      </w:pPr>
      <w:r>
        <w:rPr>
          <w:rFonts w:ascii="Calibri" w:eastAsia="Calibri" w:hAnsi="Calibri" w:cs="Calibri"/>
          <w:b/>
          <w:bCs/>
          <w:sz w:val="23"/>
          <w:szCs w:val="23"/>
        </w:rPr>
        <w:t>3.5 Supervisor Compliance &amp; Validation</w:t>
      </w:r>
    </w:p>
    <w:p w14:paraId="47CDF22F"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Verification for Week 4 was performed through real execution against the live provider APIs rather than mocked unit tests, since the objective this week was genuine data collection, not isolated logic verification (that was already covered by the mocked test suites built in Weeks 2-3). Every response written to disk was produced by an actual API call, and the atomic write mechanism combined with the resume-by-cache-file logic was exercised for real: the Groq run was interrupted partway through (189 of 220 complete) and, on re-running the unmodified script later, correctly resumed and completed the remaining 31 prompts without repeating or losing any already-collected data.</w:t>
      </w:r>
    </w:p>
    <w:p w14:paraId="16D35812" w14:textId="5AAE3095" w:rsidR="00343571" w:rsidRDefault="00343571">
      <w:pPr>
        <w:spacing w:after="160" w:line="276" w:lineRule="auto"/>
        <w:rPr>
          <w:lang w:val="en-US"/>
        </w:rPr>
      </w:pPr>
    </w:p>
    <w:p w14:paraId="33232F50" w14:textId="77777777" w:rsidR="00343571" w:rsidRDefault="00343571">
      <w:pPr>
        <w:spacing w:after="160" w:line="276" w:lineRule="auto"/>
        <w:rPr>
          <w:lang w:val="en-US"/>
        </w:rPr>
      </w:pPr>
    </w:p>
    <w:p w14:paraId="51079A39" w14:textId="77777777" w:rsidR="00343571" w:rsidRDefault="00343571">
      <w:pPr>
        <w:spacing w:after="160" w:line="276" w:lineRule="auto"/>
        <w:rPr>
          <w:lang w:val="en-US"/>
        </w:rPr>
      </w:pPr>
    </w:p>
    <w:p w14:paraId="41D61A1B" w14:textId="77777777" w:rsidR="00343571" w:rsidRDefault="00343571">
      <w:pPr>
        <w:spacing w:after="160" w:line="276" w:lineRule="auto"/>
        <w:rPr>
          <w:lang w:val="en-US"/>
        </w:rPr>
      </w:pPr>
    </w:p>
    <w:p w14:paraId="436C0BC7" w14:textId="77777777" w:rsidR="00E038F1" w:rsidRDefault="00E038F1">
      <w:pPr>
        <w:spacing w:after="160" w:line="276" w:lineRule="auto"/>
        <w:rPr>
          <w:lang w:val="en-US"/>
        </w:rPr>
      </w:pPr>
    </w:p>
    <w:p w14:paraId="35D202C3" w14:textId="77777777" w:rsidR="00E038F1" w:rsidRDefault="00E038F1">
      <w:pPr>
        <w:spacing w:after="160" w:line="276" w:lineRule="auto"/>
        <w:rPr>
          <w:lang w:val="en-US"/>
        </w:rPr>
      </w:pPr>
    </w:p>
    <w:p w14:paraId="7FD2CAE9" w14:textId="77777777" w:rsidR="00E038F1" w:rsidRDefault="00E038F1">
      <w:pPr>
        <w:spacing w:after="160" w:line="276" w:lineRule="auto"/>
        <w:rPr>
          <w:lang w:val="en-US"/>
        </w:rPr>
      </w:pPr>
    </w:p>
    <w:p w14:paraId="49615919" w14:textId="77777777" w:rsidR="00E038F1" w:rsidRDefault="00E038F1">
      <w:pPr>
        <w:spacing w:after="160" w:line="276" w:lineRule="auto"/>
        <w:rPr>
          <w:lang w:val="en-US"/>
        </w:rPr>
      </w:pPr>
    </w:p>
    <w:p w14:paraId="1C901617" w14:textId="77777777" w:rsidR="00343571" w:rsidRPr="00343571" w:rsidRDefault="00343571">
      <w:pPr>
        <w:spacing w:after="160" w:line="276" w:lineRule="auto"/>
        <w:rPr>
          <w:lang w:val="en-US"/>
        </w:rPr>
      </w:pPr>
    </w:p>
    <w:p w14:paraId="42D0D4E8" w14:textId="77777777" w:rsidR="00F12783" w:rsidRDefault="00000000">
      <w:pPr>
        <w:pStyle w:val="Heading1"/>
        <w:spacing w:before="280" w:after="140"/>
      </w:pPr>
      <w:r>
        <w:rPr>
          <w:rFonts w:ascii="Calibri" w:eastAsia="Calibri" w:hAnsi="Calibri" w:cs="Calibri"/>
          <w:b/>
          <w:bCs/>
          <w:sz w:val="26"/>
          <w:szCs w:val="26"/>
        </w:rPr>
        <w:lastRenderedPageBreak/>
        <w:t>4. Results</w:t>
      </w:r>
    </w:p>
    <w:p w14:paraId="6084AE55"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Groq: data collection complete - 220/220 prompts, including a real interruption-and-resume cycle that validated the caching and resume logic under genuine conditions.</w:t>
      </w:r>
    </w:p>
    <w:p w14:paraId="0CC215BC" w14:textId="343D52CC" w:rsidR="00343571" w:rsidRPr="00343571" w:rsidRDefault="00343571" w:rsidP="00343571">
      <w:pPr>
        <w:pStyle w:val="ListParagraph"/>
        <w:spacing w:after="100" w:line="276" w:lineRule="auto"/>
        <w:ind w:left="720"/>
      </w:pPr>
      <w:r>
        <w:rPr>
          <w:noProof/>
        </w:rPr>
        <w:drawing>
          <wp:inline distT="0" distB="0" distL="0" distR="0" wp14:anchorId="2F9E276A" wp14:editId="1F275ECE">
            <wp:extent cx="3995738" cy="3492500"/>
            <wp:effectExtent l="0" t="0" r="0" b="0"/>
            <wp:docPr id="1633134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34652" name="Picture 16331346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3194" cy="3499017"/>
                    </a:xfrm>
                    <a:prstGeom prst="rect">
                      <a:avLst/>
                    </a:prstGeom>
                  </pic:spPr>
                </pic:pic>
              </a:graphicData>
            </a:graphic>
          </wp:inline>
        </w:drawing>
      </w:r>
    </w:p>
    <w:p w14:paraId="4A5F3DEF" w14:textId="632A8522" w:rsidR="00343571" w:rsidRDefault="00343571" w:rsidP="00343571">
      <w:pPr>
        <w:pStyle w:val="ListParagraph"/>
        <w:spacing w:after="100" w:line="276" w:lineRule="auto"/>
        <w:ind w:left="720"/>
        <w:rPr>
          <w:lang w:val="en-US"/>
        </w:rPr>
      </w:pPr>
    </w:p>
    <w:p w14:paraId="4251D996" w14:textId="77777777" w:rsidR="00343571" w:rsidRPr="00343571" w:rsidRDefault="00343571" w:rsidP="00343571">
      <w:pPr>
        <w:pStyle w:val="ListParagraph"/>
        <w:spacing w:after="100" w:line="276" w:lineRule="auto"/>
        <w:ind w:left="720"/>
        <w:rPr>
          <w:lang w:val="en-US"/>
        </w:rPr>
      </w:pPr>
    </w:p>
    <w:p w14:paraId="5D20DBDA"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Mistral: data collection complete - 220/220 prompts, using Mistral as a direct replacement for Cerebras after the billing blocker.</w:t>
      </w:r>
    </w:p>
    <w:p w14:paraId="0E61A808" w14:textId="39C4C580" w:rsidR="00343571" w:rsidRDefault="00343571" w:rsidP="00343571">
      <w:pPr>
        <w:pStyle w:val="ListParagraph"/>
        <w:spacing w:after="100" w:line="276" w:lineRule="auto"/>
        <w:ind w:left="720"/>
        <w:rPr>
          <w:lang w:val="en-US"/>
        </w:rPr>
      </w:pPr>
      <w:r>
        <w:rPr>
          <w:noProof/>
        </w:rPr>
        <w:drawing>
          <wp:inline distT="0" distB="0" distL="0" distR="0" wp14:anchorId="4CD991D9" wp14:editId="773DF686">
            <wp:extent cx="5295900" cy="3069273"/>
            <wp:effectExtent l="0" t="0" r="0" b="0"/>
            <wp:docPr id="498696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96635" name="Picture 4986966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03600" cy="3073735"/>
                    </a:xfrm>
                    <a:prstGeom prst="rect">
                      <a:avLst/>
                    </a:prstGeom>
                  </pic:spPr>
                </pic:pic>
              </a:graphicData>
            </a:graphic>
          </wp:inline>
        </w:drawing>
      </w:r>
    </w:p>
    <w:p w14:paraId="51243980" w14:textId="77777777" w:rsidR="00343571" w:rsidRPr="00343571" w:rsidRDefault="00343571" w:rsidP="00343571">
      <w:pPr>
        <w:pStyle w:val="ListParagraph"/>
        <w:spacing w:after="100" w:line="276" w:lineRule="auto"/>
        <w:ind w:left="720"/>
        <w:rPr>
          <w:lang w:val="en-US"/>
        </w:rPr>
      </w:pPr>
    </w:p>
    <w:p w14:paraId="509F2664" w14:textId="0C833638" w:rsidR="00F12783" w:rsidRDefault="00343571">
      <w:pPr>
        <w:pStyle w:val="ListParagraph"/>
        <w:numPr>
          <w:ilvl w:val="0"/>
          <w:numId w:val="1"/>
        </w:numPr>
        <w:spacing w:after="100" w:line="276" w:lineRule="auto"/>
      </w:pPr>
      <w:r w:rsidRPr="00343571">
        <w:rPr>
          <w:rFonts w:ascii="Calibri" w:eastAsia="Calibri" w:hAnsi="Calibri" w:cs="Calibri"/>
          <w:color w:val="555555"/>
          <w:sz w:val="22"/>
          <w:szCs w:val="22"/>
        </w:rPr>
        <w:lastRenderedPageBreak/>
        <w:t>Gemini_Logs, Mistral_Logs, and Groq_Logs</w:t>
      </w:r>
      <w:r>
        <w:rPr>
          <w:rFonts w:ascii="Calibri" w:eastAsia="Calibri" w:hAnsi="Calibri" w:cs="Calibri"/>
          <w:sz w:val="22"/>
          <w:szCs w:val="22"/>
        </w:rPr>
        <w:t xml:space="preserve"> data collection </w:t>
      </w:r>
    </w:p>
    <w:p w14:paraId="3DA04427"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Two genuine provider-side incidents (Gemini model retirement, Cerebras billing requirement) were encountered, diagnosed, and resolved, and both directly motivated a permanent reliability improvement (persistent-error detection) applied across all three runners.</w:t>
      </w:r>
    </w:p>
    <w:p w14:paraId="118464F0" w14:textId="5237F603" w:rsidR="00343571" w:rsidRDefault="00343571" w:rsidP="00343571">
      <w:pPr>
        <w:pStyle w:val="ListParagraph"/>
        <w:spacing w:after="100" w:line="276" w:lineRule="auto"/>
        <w:ind w:left="720"/>
      </w:pPr>
      <w:r>
        <w:rPr>
          <w:noProof/>
        </w:rPr>
        <w:drawing>
          <wp:inline distT="0" distB="0" distL="0" distR="0" wp14:anchorId="47E5B32C" wp14:editId="6D3DCF13">
            <wp:extent cx="4867275" cy="3371849"/>
            <wp:effectExtent l="0" t="0" r="0" b="0"/>
            <wp:docPr id="175542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4892" name="Picture 175542489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71761" cy="3374957"/>
                    </a:xfrm>
                    <a:prstGeom prst="rect">
                      <a:avLst/>
                    </a:prstGeom>
                  </pic:spPr>
                </pic:pic>
              </a:graphicData>
            </a:graphic>
          </wp:inline>
        </w:drawing>
      </w:r>
    </w:p>
    <w:p w14:paraId="28D16673" w14:textId="77777777" w:rsidR="00F12783" w:rsidRDefault="00000000">
      <w:pPr>
        <w:pStyle w:val="Heading2"/>
        <w:spacing w:before="200" w:after="100"/>
      </w:pPr>
      <w:r>
        <w:rPr>
          <w:rFonts w:ascii="Calibri" w:eastAsia="Calibri" w:hAnsi="Calibri" w:cs="Calibri"/>
          <w:b/>
          <w:bCs/>
          <w:sz w:val="23"/>
          <w:szCs w:val="23"/>
        </w:rPr>
        <w:t>Next Week Plan (Week 5)</w:t>
      </w:r>
    </w:p>
    <w:p w14:paraId="0454256B" w14:textId="1B3696C3" w:rsidR="00F12783" w:rsidRPr="00DC682F" w:rsidRDefault="00DC682F">
      <w:pPr>
        <w:spacing w:after="160" w:line="276" w:lineRule="auto"/>
        <w:rPr>
          <w:lang w:val="en-US"/>
        </w:rPr>
      </w:pPr>
      <w:r>
        <w:rPr>
          <w:rFonts w:ascii="Calibri" w:eastAsia="Calibri" w:hAnsi="Calibri" w:cs="Calibri"/>
          <w:sz w:val="22"/>
          <w:szCs w:val="22"/>
          <w:lang w:val="en-US"/>
        </w:rPr>
        <w:t xml:space="preserve">Beginning of </w:t>
      </w:r>
      <w:r w:rsidR="00000000">
        <w:rPr>
          <w:rFonts w:ascii="Calibri" w:eastAsia="Calibri" w:hAnsi="Calibri" w:cs="Calibri"/>
          <w:sz w:val="22"/>
          <w:szCs w:val="22"/>
        </w:rPr>
        <w:t>statistical aggregation of the collected responses: parsing all JSON logs, applying rubric scores, and computing mean and variance per rubric dimension per model</w:t>
      </w:r>
      <w:r w:rsidR="00B00589">
        <w:rPr>
          <w:rFonts w:ascii="Calibri" w:eastAsia="Calibri" w:hAnsi="Calibri" w:cs="Calibri"/>
          <w:sz w:val="22"/>
          <w:szCs w:val="22"/>
          <w:lang w:val="en-US"/>
        </w:rPr>
        <w:t xml:space="preserve">s </w:t>
      </w:r>
    </w:p>
    <w:sectPr w:rsidR="00F12783" w:rsidRPr="00DC682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16248"/>
    <w:multiLevelType w:val="hybridMultilevel"/>
    <w:tmpl w:val="143A70AA"/>
    <w:lvl w:ilvl="0" w:tplc="BC688566">
      <w:start w:val="1"/>
      <w:numFmt w:val="bullet"/>
      <w:lvlText w:val="●"/>
      <w:lvlJc w:val="left"/>
      <w:pPr>
        <w:ind w:left="720" w:hanging="360"/>
      </w:pPr>
    </w:lvl>
    <w:lvl w:ilvl="1" w:tplc="0A5CD564">
      <w:start w:val="1"/>
      <w:numFmt w:val="bullet"/>
      <w:lvlText w:val="○"/>
      <w:lvlJc w:val="left"/>
      <w:pPr>
        <w:ind w:left="1440" w:hanging="360"/>
      </w:pPr>
    </w:lvl>
    <w:lvl w:ilvl="2" w:tplc="F5B01534">
      <w:start w:val="1"/>
      <w:numFmt w:val="bullet"/>
      <w:lvlText w:val="■"/>
      <w:lvlJc w:val="left"/>
      <w:pPr>
        <w:ind w:left="2160" w:hanging="360"/>
      </w:pPr>
    </w:lvl>
    <w:lvl w:ilvl="3" w:tplc="AFEC7962">
      <w:start w:val="1"/>
      <w:numFmt w:val="bullet"/>
      <w:lvlText w:val="●"/>
      <w:lvlJc w:val="left"/>
      <w:pPr>
        <w:ind w:left="2880" w:hanging="360"/>
      </w:pPr>
    </w:lvl>
    <w:lvl w:ilvl="4" w:tplc="3EE8D614">
      <w:start w:val="1"/>
      <w:numFmt w:val="bullet"/>
      <w:lvlText w:val="○"/>
      <w:lvlJc w:val="left"/>
      <w:pPr>
        <w:ind w:left="3600" w:hanging="360"/>
      </w:pPr>
    </w:lvl>
    <w:lvl w:ilvl="5" w:tplc="7EEA78F8">
      <w:start w:val="1"/>
      <w:numFmt w:val="bullet"/>
      <w:lvlText w:val="■"/>
      <w:lvlJc w:val="left"/>
      <w:pPr>
        <w:ind w:left="4320" w:hanging="360"/>
      </w:pPr>
    </w:lvl>
    <w:lvl w:ilvl="6" w:tplc="41B8A87E">
      <w:start w:val="1"/>
      <w:numFmt w:val="bullet"/>
      <w:lvlText w:val="●"/>
      <w:lvlJc w:val="left"/>
      <w:pPr>
        <w:ind w:left="5040" w:hanging="360"/>
      </w:pPr>
    </w:lvl>
    <w:lvl w:ilvl="7" w:tplc="8B302D2A">
      <w:start w:val="1"/>
      <w:numFmt w:val="bullet"/>
      <w:lvlText w:val="●"/>
      <w:lvlJc w:val="left"/>
      <w:pPr>
        <w:ind w:left="5760" w:hanging="360"/>
      </w:pPr>
    </w:lvl>
    <w:lvl w:ilvl="8" w:tplc="30D85E4C">
      <w:start w:val="1"/>
      <w:numFmt w:val="bullet"/>
      <w:lvlText w:val="●"/>
      <w:lvlJc w:val="left"/>
      <w:pPr>
        <w:ind w:left="6480" w:hanging="360"/>
      </w:pPr>
    </w:lvl>
  </w:abstractNum>
  <w:num w:numId="1" w16cid:durableId="4781511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783"/>
    <w:rsid w:val="0000388F"/>
    <w:rsid w:val="001A2D2A"/>
    <w:rsid w:val="003419E1"/>
    <w:rsid w:val="00343571"/>
    <w:rsid w:val="00356B36"/>
    <w:rsid w:val="006B09BD"/>
    <w:rsid w:val="00842B2A"/>
    <w:rsid w:val="00A76437"/>
    <w:rsid w:val="00B00589"/>
    <w:rsid w:val="00DC682F"/>
    <w:rsid w:val="00E038F1"/>
    <w:rsid w:val="00F12783"/>
    <w:rsid w:val="00F649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E258C"/>
  <w15:docId w15:val="{055CACC7-A340-4F09-AF98-C97358106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703</Words>
  <Characters>4010</Characters>
  <Application>Microsoft Office Word</Application>
  <DocSecurity>0</DocSecurity>
  <Lines>33</Lines>
  <Paragraphs>9</Paragraphs>
  <ScaleCrop>false</ScaleCrop>
  <Company/>
  <LinksUpToDate>false</LinksUpToDate>
  <CharactersWithSpaces>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10</cp:revision>
  <dcterms:created xsi:type="dcterms:W3CDTF">2026-08-11T07:08:00Z</dcterms:created>
  <dcterms:modified xsi:type="dcterms:W3CDTF">2026-08-12T10:45:00Z</dcterms:modified>
</cp:coreProperties>
</file>