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Times New Roman" w:cs="Times New Roman" w:eastAsia="Times New Roman" w:hAnsi="Times New Roman"/>
          <w:b/>
          <w:bCs/>
          <w:sz w:val="34"/>
          <w:szCs w:val="34"/>
        </w:rPr>
        <w:t xml:space="preserve">A Reproducible Framework for Benchmarking Free-Tier Large Language Models: Multi-Dimensional Evaluation, Automated Scoring, and Human-Validated Statistical Analysis</w:t>
      </w:r>
    </w:p>
    <w:p>
      <w:pPr>
        <w:spacing w:after="200"/>
        <w:jc w:val="center"/>
      </w:pPr>
      <w:r>
        <w:rPr>
          <w:rFonts w:ascii="Times New Roman" w:cs="Times New Roman" w:eastAsia="Times New Roman" w:hAnsi="Times New Roman"/>
          <w:i/>
          <w:iCs/>
          <w:sz w:val="22"/>
          <w:szCs w:val="22"/>
        </w:rPr>
        <w:t xml:space="preserve">A Comparative Study of Gemini, Mistral, and Groq Across Ten Capability Dimensions</w:t>
      </w:r>
    </w:p>
    <w:p>
      <w:pPr>
        <w:spacing w:after="100" w:before="800"/>
        <w:jc w:val="center"/>
      </w:pPr>
      <w:r>
        <w:rPr>
          <w:rFonts w:ascii="Times New Roman" w:cs="Times New Roman" w:eastAsia="Times New Roman" w:hAnsi="Times New Roman"/>
          <w:b/>
          <w:bCs/>
          <w:sz w:val="24"/>
          <w:szCs w:val="24"/>
        </w:rPr>
        <w:t xml:space="preserve">Jazib Asad</w:t>
      </w:r>
    </w:p>
    <w:p>
      <w:pPr>
        <w:spacing w:after="200"/>
        <w:jc w:val="center"/>
      </w:pPr>
      <w:r>
        <w:rPr>
          <w:rFonts w:ascii="Times New Roman" w:cs="Times New Roman" w:eastAsia="Times New Roman" w:hAnsi="Times New Roman"/>
          <w:i w:val="false"/>
          <w:iCs w:val="false"/>
          <w:sz w:val="20"/>
          <w:szCs w:val="20"/>
        </w:rPr>
        <w:t xml:space="preserve">Computer Science Student, Institute of Space Technology (KICSIT)</w:t>
      </w:r>
    </w:p>
    <w:p>
      <w:pPr>
        <w:spacing w:after="100" w:before="600"/>
        <w:jc w:val="center"/>
      </w:pPr>
      <w:r>
        <w:rPr>
          <w:rFonts w:ascii="Times New Roman" w:cs="Times New Roman" w:eastAsia="Times New Roman" w:hAnsi="Times New Roman"/>
          <w:sz w:val="20"/>
          <w:szCs w:val="20"/>
        </w:rPr>
        <w:t xml:space="preserve">Submitted to</w:t>
      </w:r>
    </w:p>
    <w:p>
      <w:pPr>
        <w:spacing w:after="100"/>
        <w:jc w:val="center"/>
      </w:pPr>
      <w:r>
        <w:rPr>
          <w:rFonts w:ascii="Times New Roman" w:cs="Times New Roman" w:eastAsia="Times New Roman" w:hAnsi="Times New Roman"/>
          <w:b/>
          <w:bCs/>
          <w:sz w:val="22"/>
          <w:szCs w:val="22"/>
        </w:rPr>
        <w:t xml:space="preserve">Mr. Uzair</w:t>
      </w:r>
    </w:p>
    <w:p>
      <w:pPr>
        <w:spacing w:after="200"/>
        <w:jc w:val="center"/>
      </w:pPr>
      <w:r>
        <w:rPr>
          <w:rFonts w:ascii="Times New Roman" w:cs="Times New Roman" w:eastAsia="Times New Roman" w:hAnsi="Times New Roman"/>
          <w:i w:val="false"/>
          <w:iCs w:val="false"/>
          <w:sz w:val="20"/>
          <w:szCs w:val="20"/>
        </w:rPr>
        <w:t xml:space="preserve">Internship Supervisor, NESCOM (CENTech)</w:t>
      </w:r>
    </w:p>
    <w:p>
      <w:pPr>
        <w:spacing w:before="1600"/>
        <w:jc w:val="center"/>
      </w:pPr>
      <w:r>
        <w:rPr>
          <w:rFonts w:ascii="Times New Roman" w:cs="Times New Roman" w:eastAsia="Times New Roman" w:hAnsi="Times New Roman"/>
          <w:i/>
          <w:iCs/>
          <w:sz w:val="22"/>
          <w:szCs w:val="22"/>
        </w:rPr>
        <w:t xml:space="preserve">Final Research Report</w:t>
      </w:r>
    </w:p>
    <w:p>
      <w:r>
        <w:br w:type="page"/>
      </w:r>
    </w:p>
    <w:p>
      <w:pPr>
        <w:pStyle w:val="Heading1"/>
        <w:spacing w:after="240" w:before="480"/>
      </w:pPr>
      <w:r>
        <w:rPr>
          <w:rFonts w:ascii="Times New Roman" w:cs="Times New Roman" w:eastAsia="Times New Roman" w:hAnsi="Times New Roman"/>
          <w:b/>
          <w:bCs/>
          <w:color w:val="1F1F1F"/>
          <w:sz w:val="28"/>
          <w:szCs w:val="28"/>
        </w:rPr>
        <w:t xml:space="preserve">Abstract</w:t>
      </w:r>
    </w:p>
    <w:p>
      <w:pPr>
        <w:spacing w:after="200" w:line="300"/>
        <w:jc w:val="both"/>
      </w:pPr>
      <w:r>
        <w:rPr>
          <w:rFonts w:ascii="Times New Roman" w:cs="Times New Roman" w:eastAsia="Times New Roman" w:hAnsi="Times New Roman"/>
          <w:b w:val="false"/>
          <w:bCs w:val="false"/>
          <w:i w:val="false"/>
          <w:iCs w:val="false"/>
          <w:sz w:val="22"/>
          <w:szCs w:val="22"/>
        </w:rPr>
        <w:t xml:space="preserve">Large language models (LLMs) are increasingly evaluated using ad hoc, single-dimension benchmarks that provide limited insight into model behavior across the varied tasks practitioners actually encounter. This report presents a reproducible benchmarking framework that evaluates three freely accessible LLMs — Google's Gemini (gemini-3.5-flash-lite), Mistral AI's open-mistral-nemo, and Groq's hosted openai/gpt-oss-120b — across ten capability dimensions spanning knowledge retrieval, multi-step reasoning, instruction following, hallucination resistance, code generation, ambiguity handling, long-context retention, data transformation, summarization, and multilingual translation. A curated dataset of 220 original prompts, stratified across three difficulty tiers, was scored using an automated LLM-judge pipeline against explicit, per-criterion 0–5 rubric anchors, with success and failure classifications computed programmatically rather than inferred from judge text. The automated scoring pipeline's reliability was independently validated against three human raters scoring a stratified 30-prompt subsample, using Cohen's kappa — both unweighted and quadratic-weighted — alongside Pearson correlation and exact-match agreement rates. A dedicated stochastic reliability sample of twenty prompts, each executed five times per provider, enabled direct measurement of within-model score variance via coefficient of variation. Formal statistical analysis, including Welch's t-tests with exact Student's t-distribution p-values, Cohen's d effect sizes, and ordinary least squares regression, was applied to test three pre-registered research hypotheses concerning reasoning-versus-retrieval performance, instruction-following degradation under difficulty, and provider-specific hallucination patterns. Results indicate that the Groq-hosted model achieved the highest mean composite score (M = 11.16, 95% CI [10.62, 11.69]) and the lowest score variance (mean coefficient of variation = 0.161) among the three providers, with a statistically significant and large-effect advantage over Mistral specifically on hallucination resistance (p = 0.01, d = 0.84). Inter-rater agreement between human evaluators and the automated judge was modest (κ = 0.20–0.23), underscoring the value of human-in-the-loop validation as a standing methodological safeguard rather than a one-time formality. The complete framework, dataset, automation scripts, and reproducibility package are documented herein to support replication and extension by future researchers.</w:t>
      </w:r>
    </w:p>
    <w:p>
      <w:pPr>
        <w:spacing w:after="200" w:line="300"/>
        <w:jc w:val="both"/>
      </w:pPr>
      <w:r>
        <w:rPr>
          <w:rFonts w:ascii="Times New Roman" w:cs="Times New Roman" w:eastAsia="Times New Roman" w:hAnsi="Times New Roman"/>
          <w:b w:val="false"/>
          <w:bCs w:val="false"/>
          <w:i/>
          <w:iCs/>
          <w:sz w:val="22"/>
          <w:szCs w:val="22"/>
        </w:rPr>
        <w:t xml:space="preserve">Index Terms—large language models, benchmarking, automated evaluation, LLM-as-judge, inter-rater reliability, human-in-the-loop validation, reproducibility.</w:t>
      </w:r>
    </w:p>
    <w:p>
      <w:r>
        <w:br w:type="page"/>
      </w:r>
    </w:p>
    <w:p>
      <w:pPr>
        <w:pStyle w:val="Heading1"/>
        <w:spacing w:after="240" w:before="480"/>
      </w:pPr>
      <w:r>
        <w:rPr>
          <w:rFonts w:ascii="Times New Roman" w:cs="Times New Roman" w:eastAsia="Times New Roman" w:hAnsi="Times New Roman"/>
          <w:b/>
          <w:bCs/>
          <w:color w:val="1F1F1F"/>
          <w:sz w:val="28"/>
          <w:szCs w:val="28"/>
        </w:rPr>
        <w:t xml:space="preserve">Table of Contents</w:t>
      </w:r>
    </w:p>
    <w:p>
      <w:pPr>
        <w:tabs>
          <w:tab w:val="right" w:pos="9350" w:leader="dot"/>
        </w:tabs>
        <w:spacing w:after="120"/>
        <w:ind w:left="0"/>
      </w:pPr>
      <w:r>
        <w:rPr>
          <w:rFonts w:ascii="Times New Roman" w:cs="Times New Roman" w:eastAsia="Times New Roman" w:hAnsi="Times New Roman"/>
          <w:b/>
          <w:bCs/>
          <w:sz w:val="22"/>
          <w:szCs w:val="22"/>
        </w:rPr>
        <w:t xml:space="preserve">Abstract	2</w:t>
      </w:r>
    </w:p>
    <w:p>
      <w:pPr>
        <w:tabs>
          <w:tab w:val="right" w:pos="9350" w:leader="dot"/>
        </w:tabs>
        <w:spacing w:after="120"/>
        <w:ind w:left="0"/>
      </w:pPr>
      <w:r>
        <w:rPr>
          <w:rFonts w:ascii="Times New Roman" w:cs="Times New Roman" w:eastAsia="Times New Roman" w:hAnsi="Times New Roman"/>
          <w:b/>
          <w:bCs/>
          <w:sz w:val="22"/>
          <w:szCs w:val="22"/>
        </w:rPr>
        <w:t xml:space="preserve">1. Introduction	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1.1 Motivation	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1.2 Problem Statement	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1.3 Research Questions and Hypotheses	6</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1.4 Contributions	6</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1.5 Report Organization	7</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1.6 Scope and Delimitations	7</w:t>
      </w:r>
    </w:p>
    <w:p>
      <w:pPr>
        <w:tabs>
          <w:tab w:val="right" w:pos="9350" w:leader="dot"/>
        </w:tabs>
        <w:spacing w:after="120"/>
        <w:ind w:left="0"/>
      </w:pPr>
      <w:r>
        <w:rPr>
          <w:rFonts w:ascii="Times New Roman" w:cs="Times New Roman" w:eastAsia="Times New Roman" w:hAnsi="Times New Roman"/>
          <w:b/>
          <w:bCs/>
          <w:sz w:val="22"/>
          <w:szCs w:val="22"/>
        </w:rPr>
        <w:t xml:space="preserve">2. Related Work and Background	9</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2.1 The Evolution of LLM Evaluation Methodology	9</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2.2 LLM-as-Judge: Promise and Documented Limitations	9</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2.3 Inter-Rater Reliability Statistics	10</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2.4 Statistical Comparison of Groups Under Unequal Variance	10</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2.5 Free-Tier API Constraints as a Research Infrastructure Concern	11</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2.6 Dataset Design Principles: Stratification and Category Coverage	11</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2.7 Statistical Power and Effect Size in Small-Sample Model Comparisons	12</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2.8 Provider Architecture Diversity as an Evaluation Dimension	12</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2.9 Measurement Theory: Ordinal Scoring and Its Statistical Consequences	13</w:t>
      </w:r>
    </w:p>
    <w:p>
      <w:pPr>
        <w:tabs>
          <w:tab w:val="right" w:pos="9350" w:leader="dot"/>
        </w:tabs>
        <w:spacing w:after="120"/>
        <w:ind w:left="0"/>
      </w:pPr>
      <w:r>
        <w:rPr>
          <w:rFonts w:ascii="Times New Roman" w:cs="Times New Roman" w:eastAsia="Times New Roman" w:hAnsi="Times New Roman"/>
          <w:b/>
          <w:bCs/>
          <w:sz w:val="22"/>
          <w:szCs w:val="22"/>
        </w:rPr>
        <w:t xml:space="preserve">3. Methodology (Fig. 1: Pipeline Overview)	14</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3.1 Dataset Design and Curation	14</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3.2 Evaluation Rubric and Scoring Methodology	15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3.3 Experimental Design and Controlled Variables	16</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3.4 Automation Architecture (Fig. 2)	16</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3.5 Automated Scoring Pipeline	17</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3.6 Human-in-the-Loop Validation Design (Fig. 3)	18</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3.7 Statistical Methods (2 Worked Examples)	19</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3.8 Dataset Schema and Data Model	21</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3.9 Project Execution Timeline	22</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3.10 Prompt Authoring and Validation Process	22</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3.11 Prompt Wording Sensitivity and Consistency Controls	23</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3.12 Capability as a Theoretical Construct	23</w:t>
      </w:r>
    </w:p>
    <w:p>
      <w:pPr>
        <w:tabs>
          <w:tab w:val="right" w:pos="9350" w:leader="dot"/>
        </w:tabs>
        <w:spacing w:after="120"/>
        <w:ind w:left="0"/>
      </w:pPr>
      <w:r>
        <w:rPr>
          <w:rFonts w:ascii="Times New Roman" w:cs="Times New Roman" w:eastAsia="Times New Roman" w:hAnsi="Times New Roman"/>
          <w:b/>
          <w:bCs/>
          <w:sz w:val="22"/>
          <w:szCs w:val="22"/>
        </w:rPr>
        <w:t xml:space="preserve">4. Experimental Setup and Operational Findings (Fig. 4)	25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4.1 Environment and Reproducibility	25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4.2 Provider Selection and Incident History	25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4.3 Experimental Procedure	27</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4.4 Lessons Learned Across the Incident History	27</w:t>
      </w:r>
    </w:p>
    <w:p>
      <w:pPr>
        <w:tabs>
          <w:tab w:val="right" w:pos="9350" w:leader="dot"/>
        </w:tabs>
        <w:spacing w:after="120"/>
        <w:ind w:left="0"/>
      </w:pPr>
      <w:r>
        <w:rPr>
          <w:rFonts w:ascii="Times New Roman" w:cs="Times New Roman" w:eastAsia="Times New Roman" w:hAnsi="Times New Roman"/>
          <w:b/>
          <w:bCs/>
          <w:sz w:val="22"/>
          <w:szCs w:val="22"/>
        </w:rPr>
        <w:t xml:space="preserve">5. Results	29</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5.1 Reliability: Score Consistency Across Repeated Calls (Fig. 5)	29</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5.2 Confidence Intervals on Mean Composite Score (Fig. 6)	30</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5.3 Hypothesis Testing (Fig. 7)	30</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5.4 Correlation and Regression Analysis	32</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5.5 Inter-Rater Agreement	33</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5.6 Synthesis Across the Statistical Analyses	34</w:t>
      </w:r>
    </w:p>
    <w:p>
      <w:pPr>
        <w:tabs>
          <w:tab w:val="right" w:pos="9350" w:leader="dot"/>
        </w:tabs>
        <w:spacing w:after="120"/>
        <w:ind w:left="0"/>
      </w:pPr>
      <w:r>
        <w:rPr>
          <w:rFonts w:ascii="Times New Roman" w:cs="Times New Roman" w:eastAsia="Times New Roman" w:hAnsi="Times New Roman"/>
          <w:b/>
          <w:bCs/>
          <w:sz w:val="22"/>
          <w:szCs w:val="22"/>
        </w:rPr>
        <w:t xml:space="preserve">6. Discussion	35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6.1 Overall Provider Comparison	35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6.2 On the Confirmed Finding: Hallucination Resistance	35</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6.3 Threats to Validity (Fig. 8)	36</w:t>
      </w:r>
    </w:p>
    <w:p>
      <w:pPr>
        <w:tabs>
          <w:tab w:val="right" w:pos="9350" w:leader="dot"/>
        </w:tabs>
        <w:spacing w:after="80"/>
        <w:ind w:left="600"/>
      </w:pPr>
      <w:r>
        <w:rPr>
          <w:rFonts w:ascii="Times New Roman" w:cs="Times New Roman" w:eastAsia="Times New Roman" w:hAnsi="Times New Roman"/>
          <w:b w:val="false"/>
          <w:bCs w:val="false"/>
          <w:sz w:val="20"/>
          <w:szCs w:val="20"/>
        </w:rPr>
        <w:t xml:space="preserve">6.3.1 Construct Validity	36</w:t>
      </w:r>
    </w:p>
    <w:p>
      <w:pPr>
        <w:tabs>
          <w:tab w:val="right" w:pos="9350" w:leader="dot"/>
        </w:tabs>
        <w:spacing w:after="80"/>
        <w:ind w:left="600"/>
      </w:pPr>
      <w:r>
        <w:rPr>
          <w:rFonts w:ascii="Times New Roman" w:cs="Times New Roman" w:eastAsia="Times New Roman" w:hAnsi="Times New Roman"/>
          <w:b w:val="false"/>
          <w:bCs w:val="false"/>
          <w:sz w:val="20"/>
          <w:szCs w:val="20"/>
        </w:rPr>
        <w:t xml:space="preserve">6.3.2 Internal Validity	36</w:t>
      </w:r>
    </w:p>
    <w:p>
      <w:pPr>
        <w:tabs>
          <w:tab w:val="right" w:pos="9350" w:leader="dot"/>
        </w:tabs>
        <w:spacing w:after="80"/>
        <w:ind w:left="600"/>
      </w:pPr>
      <w:r>
        <w:rPr>
          <w:rFonts w:ascii="Times New Roman" w:cs="Times New Roman" w:eastAsia="Times New Roman" w:hAnsi="Times New Roman"/>
          <w:b w:val="false"/>
          <w:bCs w:val="false"/>
          <w:sz w:val="20"/>
          <w:szCs w:val="20"/>
        </w:rPr>
        <w:t xml:space="preserve">6.3.3 External Validity	37</w:t>
      </w:r>
    </w:p>
    <w:p>
      <w:pPr>
        <w:tabs>
          <w:tab w:val="right" w:pos="9350" w:leader="dot"/>
        </w:tabs>
        <w:spacing w:after="80"/>
        <w:ind w:left="600"/>
      </w:pPr>
      <w:r>
        <w:rPr>
          <w:rFonts w:ascii="Times New Roman" w:cs="Times New Roman" w:eastAsia="Times New Roman" w:hAnsi="Times New Roman"/>
          <w:b w:val="false"/>
          <w:bCs w:val="false"/>
          <w:sz w:val="20"/>
          <w:szCs w:val="20"/>
        </w:rPr>
        <w:t xml:space="preserve">6.3.4 Conclusion Validity	37</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6.4 Implications for LLM-as-Judge Methodology	37</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6.5 Practical Implications for Model Selection	38</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6.6 On the Equal-Category-Weighting Design Choice	38</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6.7 On the Value of Decomposed, Multi-Criterion Scoring	39</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6.8 Comparison Against Anticipated Outcomes	39</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6.9 A Bias–Variance Framing of the Reliability and Accuracy Findings	39</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6.10 Recommendations for Future Benchmarking Efforts	40</w:t>
      </w:r>
    </w:p>
    <w:p>
      <w:pPr>
        <w:tabs>
          <w:tab w:val="right" w:pos="9350" w:leader="dot"/>
        </w:tabs>
        <w:spacing w:after="120"/>
        <w:ind w:left="0"/>
      </w:pPr>
      <w:r>
        <w:rPr>
          <w:rFonts w:ascii="Times New Roman" w:cs="Times New Roman" w:eastAsia="Times New Roman" w:hAnsi="Times New Roman"/>
          <w:b/>
          <w:bCs/>
          <w:sz w:val="22"/>
          <w:szCs w:val="22"/>
        </w:rPr>
        <w:t xml:space="preserve">7. Ethical Considerations	41</w:t>
      </w:r>
    </w:p>
    <w:p>
      <w:pPr>
        <w:tabs>
          <w:tab w:val="right" w:pos="9350" w:leader="dot"/>
        </w:tabs>
        <w:spacing w:after="120"/>
        <w:ind w:left="0"/>
      </w:pPr>
      <w:r>
        <w:rPr>
          <w:rFonts w:ascii="Times New Roman" w:cs="Times New Roman" w:eastAsia="Times New Roman" w:hAnsi="Times New Roman"/>
          <w:b/>
          <w:bCs/>
          <w:sz w:val="22"/>
          <w:szCs w:val="22"/>
        </w:rPr>
        <w:t xml:space="preserve">8. Conclusion and Future Work	44</w:t>
      </w:r>
    </w:p>
    <w:p>
      <w:pPr>
        <w:tabs>
          <w:tab w:val="right" w:pos="9350" w:leader="dot"/>
        </w:tabs>
        <w:spacing w:after="80"/>
        <w:ind w:left="300"/>
      </w:pPr>
      <w:r>
        <w:rPr>
          <w:rFonts w:ascii="Times New Roman" w:cs="Times New Roman" w:eastAsia="Times New Roman" w:hAnsi="Times New Roman"/>
          <w:b w:val="false"/>
          <w:bCs w:val="false"/>
          <w:sz w:val="20"/>
          <w:szCs w:val="20"/>
        </w:rPr>
        <w:t xml:space="preserve">8.1 Future Work	44</w:t>
      </w:r>
    </w:p>
    <w:p>
      <w:pPr>
        <w:tabs>
          <w:tab w:val="right" w:pos="9350" w:leader="dot"/>
        </w:tabs>
        <w:spacing w:after="120"/>
        <w:ind w:left="0"/>
      </w:pPr>
      <w:r>
        <w:rPr>
          <w:rFonts w:ascii="Times New Roman" w:cs="Times New Roman" w:eastAsia="Times New Roman" w:hAnsi="Times New Roman"/>
          <w:b/>
          <w:bCs/>
          <w:sz w:val="22"/>
          <w:szCs w:val="22"/>
        </w:rPr>
        <w:t xml:space="preserve">References	46</w:t>
      </w:r>
    </w:p>
    <w:p>
      <w:pPr>
        <w:tabs>
          <w:tab w:val="right" w:pos="9350" w:leader="dot"/>
        </w:tabs>
        <w:spacing w:after="120"/>
        <w:ind w:left="0"/>
      </w:pPr>
      <w:r>
        <w:rPr>
          <w:rFonts w:ascii="Times New Roman" w:cs="Times New Roman" w:eastAsia="Times New Roman" w:hAnsi="Times New Roman"/>
          <w:b/>
          <w:bCs/>
          <w:sz w:val="22"/>
          <w:szCs w:val="22"/>
        </w:rPr>
        <w:t xml:space="preserve">Appendix A: Summary of Statistical Formulas	47</w:t>
      </w:r>
    </w:p>
    <w:p>
      <w:pPr>
        <w:tabs>
          <w:tab w:val="right" w:pos="9350" w:leader="dot"/>
        </w:tabs>
        <w:spacing w:after="120"/>
        <w:ind w:left="0"/>
      </w:pPr>
      <w:r>
        <w:rPr>
          <w:rFonts w:ascii="Times New Roman" w:cs="Times New Roman" w:eastAsia="Times New Roman" w:hAnsi="Times New Roman"/>
          <w:b/>
          <w:bCs/>
          <w:sz w:val="22"/>
          <w:szCs w:val="22"/>
        </w:rPr>
        <w:t xml:space="preserve">Appendix B: Reproducibility Package	48</w:t>
      </w:r>
    </w:p>
    <w:p>
      <w:pPr>
        <w:tabs>
          <w:tab w:val="right" w:pos="9350" w:leader="dot"/>
        </w:tabs>
        <w:spacing w:after="120"/>
        <w:ind w:left="0"/>
      </w:pPr>
      <w:r>
        <w:rPr>
          <w:rFonts w:ascii="Times New Roman" w:cs="Times New Roman" w:eastAsia="Times New Roman" w:hAnsi="Times New Roman"/>
          <w:b/>
          <w:bCs/>
          <w:sz w:val="22"/>
          <w:szCs w:val="22"/>
        </w:rPr>
        <w:t xml:space="preserve">Appendix C: Representative Dataset Examples	49</w:t>
      </w:r>
    </w:p>
    <w:p>
      <w:pPr>
        <w:tabs>
          <w:tab w:val="right" w:pos="9350" w:leader="dot"/>
        </w:tabs>
        <w:spacing w:after="120"/>
        <w:ind w:left="0"/>
      </w:pPr>
      <w:r>
        <w:rPr>
          <w:rFonts w:ascii="Times New Roman" w:cs="Times New Roman" w:eastAsia="Times New Roman" w:hAnsi="Times New Roman"/>
          <w:b/>
          <w:bCs/>
          <w:sz w:val="22"/>
          <w:szCs w:val="22"/>
        </w:rPr>
        <w:t xml:space="preserve">Appendix D: Extended Rubric Application Walkthrough	49</w:t>
      </w:r>
    </w:p>
    <w:p>
      <w:pPr>
        <w:tabs>
          <w:tab w:val="right" w:pos="9350" w:leader="dot"/>
        </w:tabs>
        <w:spacing w:after="120"/>
        <w:ind w:left="0"/>
      </w:pPr>
      <w:r>
        <w:rPr>
          <w:rFonts w:ascii="Times New Roman" w:cs="Times New Roman" w:eastAsia="Times New Roman" w:hAnsi="Times New Roman"/>
          <w:b/>
          <w:bCs/>
          <w:sz w:val="22"/>
          <w:szCs w:val="22"/>
        </w:rPr>
        <w:t xml:space="preserve">Appendix E: Glossary of Terms	51</w:t>
      </w:r>
    </w:p>
    <w:p>
      <w:pPr>
        <w:tabs>
          <w:tab w:val="right" w:pos="9350" w:leader="dot"/>
        </w:tabs>
        <w:spacing w:after="120"/>
        <w:ind w:left="0"/>
      </w:pPr>
      <w:r>
        <w:rPr>
          <w:rFonts w:ascii="Times New Roman" w:cs="Times New Roman" w:eastAsia="Times New Roman" w:hAnsi="Times New Roman"/>
          <w:b/>
          <w:bCs/>
          <w:sz w:val="22"/>
          <w:szCs w:val="22"/>
        </w:rPr>
        <w:t xml:space="preserve">Appendix F: Derivations of Key Statistical Formulas	52</w:t>
      </w:r>
    </w:p>
    <w:p>
      <w:r>
        <w:br w:type="page"/>
      </w:r>
    </w:p>
    <w:p>
      <w:pPr>
        <w:pStyle w:val="Heading1"/>
        <w:spacing w:after="240" w:before="480"/>
      </w:pPr>
      <w:r>
        <w:rPr>
          <w:rFonts w:ascii="Times New Roman" w:cs="Times New Roman" w:eastAsia="Times New Roman" w:hAnsi="Times New Roman"/>
          <w:b/>
          <w:bCs/>
          <w:color w:val="1F1F1F"/>
          <w:sz w:val="28"/>
          <w:szCs w:val="28"/>
        </w:rPr>
        <w:t xml:space="preserve">1. Introduction</w:t>
      </w:r>
    </w:p>
    <w:p>
      <w:pPr>
        <w:pStyle w:val="Heading2"/>
        <w:spacing w:after="160" w:before="320"/>
      </w:pPr>
      <w:r>
        <w:rPr>
          <w:rFonts w:ascii="Times New Roman" w:cs="Times New Roman" w:eastAsia="Times New Roman" w:hAnsi="Times New Roman"/>
          <w:b/>
          <w:bCs/>
          <w:color w:val="1F1F1F"/>
          <w:sz w:val="24"/>
          <w:szCs w:val="24"/>
        </w:rPr>
        <w:t xml:space="preserve">1.1 Motivation</w:t>
      </w:r>
    </w:p>
    <w:p>
      <w:pPr>
        <w:spacing w:after="200" w:line="300"/>
        <w:jc w:val="both"/>
      </w:pPr>
      <w:r>
        <w:rPr>
          <w:rFonts w:ascii="Times New Roman" w:cs="Times New Roman" w:eastAsia="Times New Roman" w:hAnsi="Times New Roman"/>
          <w:b w:val="false"/>
          <w:bCs w:val="false"/>
          <w:i w:val="false"/>
          <w:iCs w:val="false"/>
          <w:sz w:val="22"/>
          <w:szCs w:val="22"/>
        </w:rPr>
        <w:t xml:space="preserve">The proliferation of freely accessible large language models has created a practical need for evaluation methodologies that go beyond single-metric leaderboards. A developer choosing between Gemini, Mistral, and Groq's hosted offerings for a production application is rarely served by a single aggregate accuracy figure; the choice depends on how each model performs across qualitatively different task types — factual recall, multi-step arithmetic and logical reasoning, adherence to explicit formatting constraints, resistance to confidently fabricated information, code generation correctness, tolerance of underspecified instructions, retention of facts across long contexts, structured data transformation, summarization under tight constraints, and translation quality across languages and registers. Existing public benchmarks typically address one or two of these dimensions in isolation, using fixed prompt sets that are frequently included, deliberately or otherwise, in the training data of newer models, undermining the validity of reported scores over time.</w:t>
      </w:r>
    </w:p>
    <w:p>
      <w:pPr>
        <w:spacing w:after="200" w:line="300"/>
        <w:jc w:val="both"/>
      </w:pPr>
      <w:r>
        <w:rPr>
          <w:rFonts w:ascii="Times New Roman" w:cs="Times New Roman" w:eastAsia="Times New Roman" w:hAnsi="Times New Roman"/>
          <w:b w:val="false"/>
          <w:bCs w:val="false"/>
          <w:i w:val="false"/>
          <w:iCs w:val="false"/>
          <w:sz w:val="22"/>
          <w:szCs w:val="22"/>
        </w:rPr>
        <w:t xml:space="preserve">This project was undertaken as an eight-week applied research exercise to design, build, and execute an original, reproducible benchmarking framework addressing these gaps directly. Rather than relying on existing benchmark datasets, an entirely original 220-prompt dataset was authored specifically for this study, explicitly to mitigate the benchmark contamination risk described above. The framework was further designed to survive a resource constraint common to any researcher without institutional API budgets: every provider used operates on a free tier, with all the rate limits, quota resets, and silent model deprecations that constraint entails. Several such incidents were encountered over the course of this project and are documented in Section 4 as genuine findings about the operational reality of free-tier LLM benchmarking, rather than treated as mere implementation footnotes.</w:t>
      </w:r>
    </w:p>
    <w:p>
      <w:pPr>
        <w:spacing w:after="200" w:line="300"/>
        <w:jc w:val="both"/>
      </w:pPr>
      <w:r>
        <w:rPr>
          <w:rFonts w:ascii="Times New Roman" w:cs="Times New Roman" w:eastAsia="Times New Roman" w:hAnsi="Times New Roman"/>
          <w:b w:val="false"/>
          <w:bCs w:val="false"/>
          <w:i w:val="false"/>
          <w:iCs w:val="false"/>
          <w:sz w:val="22"/>
          <w:szCs w:val="22"/>
        </w:rPr>
        <w:t xml:space="preserve">The practical stakes of getting this evaluation right extend beyond academic interest. A developer or small organization selecting a free-tier LLM provider for a real application — a customer-support assistant, a code-review aid, a document-summarization tool — typically cannot afford the time or budget to run their own multi-week, multi-provider evaluation before committing to a provider. They are instead forced to rely on marketing claims, informal community sentiment, or a handful of anecdotal test prompts, none of which offer the statistical grounding needed to distinguish a genuine capability difference from noise. This study's methodology, and the reproducibility package described in Appendix B, are offered as a concrete, replicable alternative to that status quo: a framework that a similarly resource-constrained practitioner could adapt to their own specific task mix, rather than a one-off result to be taken purely on faith.</w:t>
      </w:r>
    </w:p>
    <w:p>
      <w:pPr>
        <w:pStyle w:val="Heading2"/>
        <w:spacing w:after="160" w:before="320"/>
      </w:pPr>
      <w:r>
        <w:rPr>
          <w:rFonts w:ascii="Times New Roman" w:cs="Times New Roman" w:eastAsia="Times New Roman" w:hAnsi="Times New Roman"/>
          <w:b/>
          <w:bCs/>
          <w:color w:val="1F1F1F"/>
          <w:sz w:val="24"/>
          <w:szCs w:val="24"/>
        </w:rPr>
        <w:t xml:space="preserve">1.2 Problem Statement</w:t>
      </w:r>
    </w:p>
    <w:p>
      <w:pPr>
        <w:spacing w:after="200" w:line="300"/>
        <w:jc w:val="both"/>
      </w:pPr>
      <w:r>
        <w:rPr>
          <w:rFonts w:ascii="Times New Roman" w:cs="Times New Roman" w:eastAsia="Times New Roman" w:hAnsi="Times New Roman"/>
          <w:b w:val="false"/>
          <w:bCs w:val="false"/>
          <w:i w:val="false"/>
          <w:iCs w:val="false"/>
          <w:sz w:val="22"/>
          <w:szCs w:val="22"/>
        </w:rPr>
        <w:t xml:space="preserve">Three specific problems motivate this work. First, automated LLM-as-judge scoring pipelines are widely used for their scalability but are rarely validated against independent human judgment within the same study; a judge's systematic biases, if uncorrected, propagate silently into every downstream conclusion the study draws. Second, a single evaluation run of a stochastic system conflates the model's underlying capability with the noise inherent in sampling from a probability distribution over token sequences; without repeated trials, an anomalously good or poor single response cannot be distinguished from typical behavior. Third, capability comparisons across models are frequently reported as raw score differences without accompanying significance testing or effect size estimation, leaving a reader unable to judge whether an observed gap reflects a genuine, reproducible difference in model capability or sampling noise within the evaluation itself.</w:t>
      </w:r>
    </w:p>
    <w:p>
      <w:pPr>
        <w:spacing w:after="200" w:line="300"/>
        <w:jc w:val="both"/>
      </w:pPr>
      <w:r>
        <w:rPr>
          <w:rFonts w:ascii="Times New Roman" w:cs="Times New Roman" w:eastAsia="Times New Roman" w:hAnsi="Times New Roman"/>
          <w:b w:val="false"/>
          <w:bCs w:val="false"/>
          <w:i w:val="false"/>
          <w:iCs w:val="false"/>
          <w:sz w:val="22"/>
          <w:szCs w:val="22"/>
        </w:rPr>
        <w:t xml:space="preserve">A fourth, more practical problem specific to independent and academic researchers, as opposed to industrial evaluation teams, is the near-total dependence on free-tier API access, which introduces its own methodological hazards distinct from the three above. A framework designed and validated against a single provider's stable, well-documented behavior may fail unpredictably when scaled to multiple providers whose free-tier offerings differ in rate limits, model lifecycle policies, and billing terms, each of which can and did, in the course of this study, change mid-project without advance notice. A benchmarking methodology that does not explicitly account for this instability as a first-class concern risks producing results that are not merely imprecise but silently incomplete — for instance, a run that halts partway through data collection due to an unanticipated quota change, with the resulting partial dataset mistaken for a complete one. This fourth problem is addressed throughout Section 3.4 and Appendix E, and its practical consequences are documented as concrete incidents in Section 4.2.</w:t>
      </w:r>
    </w:p>
    <w:p>
      <w:pPr>
        <w:pStyle w:val="Heading2"/>
        <w:spacing w:after="160" w:before="320"/>
      </w:pPr>
      <w:r>
        <w:rPr>
          <w:rFonts w:ascii="Times New Roman" w:cs="Times New Roman" w:eastAsia="Times New Roman" w:hAnsi="Times New Roman"/>
          <w:b/>
          <w:bCs/>
          <w:color w:val="1F1F1F"/>
          <w:sz w:val="24"/>
          <w:szCs w:val="24"/>
        </w:rPr>
        <w:t xml:space="preserve">1.3 Research Questions and Hypotheses</w:t>
      </w:r>
    </w:p>
    <w:p>
      <w:pPr>
        <w:spacing w:after="200" w:line="300"/>
        <w:jc w:val="both"/>
      </w:pPr>
      <w:r>
        <w:rPr>
          <w:rFonts w:ascii="Times New Roman" w:cs="Times New Roman" w:eastAsia="Times New Roman" w:hAnsi="Times New Roman"/>
          <w:b w:val="false"/>
          <w:bCs w:val="false"/>
          <w:i w:val="false"/>
          <w:iCs w:val="false"/>
          <w:sz w:val="22"/>
          <w:szCs w:val="22"/>
        </w:rPr>
        <w:t xml:space="preserve">Consistent with the project's originating proposal, three research hypotheses were formulated prior to data collection and tested against the resulting dataset without post hoc revision:</w:t>
      </w:r>
    </w:p>
    <w:p>
      <w:pPr>
        <w:spacing w:after="200" w:line="300"/>
        <w:ind w:firstLine="400"/>
        <w:jc w:val="both"/>
      </w:pPr>
      <w:r>
        <w:rPr>
          <w:rFonts w:ascii="Times New Roman" w:cs="Times New Roman" w:eastAsia="Times New Roman" w:hAnsi="Times New Roman"/>
          <w:b w:val="false"/>
          <w:bCs w:val="false"/>
          <w:i w:val="false"/>
          <w:iCs w:val="false"/>
          <w:sz w:val="22"/>
          <w:szCs w:val="22"/>
        </w:rPr>
        <w:t xml:space="preserve">H1: Model performance on multi-step reasoning tasks differs systematically from performance on knowledge retrieval tasks, within each provider.</w:t>
      </w:r>
    </w:p>
    <w:p>
      <w:pPr>
        <w:spacing w:after="200" w:line="300"/>
        <w:ind w:firstLine="400"/>
        <w:jc w:val="both"/>
      </w:pPr>
      <w:r>
        <w:rPr>
          <w:rFonts w:ascii="Times New Roman" w:cs="Times New Roman" w:eastAsia="Times New Roman" w:hAnsi="Times New Roman"/>
          <w:b w:val="false"/>
          <w:bCs w:val="false"/>
          <w:i w:val="false"/>
          <w:iCs w:val="false"/>
          <w:sz w:val="22"/>
          <w:szCs w:val="22"/>
        </w:rPr>
        <w:t xml:space="preserve">H2: Instruction-following accuracy correlates with prompt difficulty tier, reflecting a degradation in constraint adherence as task complexity increases.</w:t>
      </w:r>
    </w:p>
    <w:p>
      <w:pPr>
        <w:spacing w:after="200" w:line="300"/>
        <w:ind w:firstLine="400"/>
        <w:jc w:val="both"/>
      </w:pPr>
      <w:r>
        <w:rPr>
          <w:rFonts w:ascii="Times New Roman" w:cs="Times New Roman" w:eastAsia="Times New Roman" w:hAnsi="Times New Roman"/>
          <w:b w:val="false"/>
          <w:bCs w:val="false"/>
          <w:i w:val="false"/>
          <w:iCs w:val="false"/>
          <w:sz w:val="22"/>
          <w:szCs w:val="22"/>
        </w:rPr>
        <w:t xml:space="preserve">H3: Providers exhibit measurably different hallucination resistance, such that pairwise comparisons on the Hallucination Stress Test category reveal statistically significant differences for at least one provider pair.</w:t>
      </w:r>
    </w:p>
    <w:p>
      <w:pPr>
        <w:spacing w:after="200" w:line="300"/>
        <w:jc w:val="both"/>
      </w:pPr>
      <w:r>
        <w:rPr>
          <w:rFonts w:ascii="Times New Roman" w:cs="Times New Roman" w:eastAsia="Times New Roman" w:hAnsi="Times New Roman"/>
          <w:b w:val="false"/>
          <w:bCs w:val="false"/>
          <w:i w:val="false"/>
          <w:iCs w:val="false"/>
          <w:sz w:val="22"/>
          <w:szCs w:val="22"/>
        </w:rPr>
        <w:t xml:space="preserve">In addition to hypothesis testing, the study addresses a broader methodological research question: to what extent does automated LLM-judge scoring agree with independent human judgment, and does this agreement vary in a way that should inform confidence in the automated results overall?</w:t>
      </w:r>
    </w:p>
    <w:p>
      <w:pPr>
        <w:pStyle w:val="Heading2"/>
        <w:spacing w:after="160" w:before="320"/>
      </w:pPr>
      <w:r>
        <w:rPr>
          <w:rFonts w:ascii="Times New Roman" w:cs="Times New Roman" w:eastAsia="Times New Roman" w:hAnsi="Times New Roman"/>
          <w:b/>
          <w:bCs/>
          <w:color w:val="1F1F1F"/>
          <w:sz w:val="24"/>
          <w:szCs w:val="24"/>
        </w:rPr>
        <w:t xml:space="preserve">1.4 Contributions</w:t>
      </w:r>
    </w:p>
    <w:p>
      <w:pPr>
        <w:spacing w:after="200" w:line="300"/>
        <w:jc w:val="both"/>
      </w:pPr>
      <w:r>
        <w:rPr>
          <w:rFonts w:ascii="Times New Roman" w:cs="Times New Roman" w:eastAsia="Times New Roman" w:hAnsi="Times New Roman"/>
          <w:b w:val="false"/>
          <w:bCs w:val="false"/>
          <w:i w:val="false"/>
          <w:iCs w:val="false"/>
          <w:sz w:val="22"/>
          <w:szCs w:val="22"/>
        </w:rPr>
        <w:t xml:space="preserve">This work makes the following contributions:</w:t>
      </w:r>
    </w:p>
    <w:p>
      <w:pPr>
        <w:pStyle w:val="ListParagraph"/>
        <w:numPr>
          <w:ilvl w:val="0"/>
          <w:numId w:val="1"/>
        </w:numPr>
        <w:spacing w:after="100" w:line="300"/>
      </w:pPr>
      <w:r>
        <w:rPr>
          <w:rFonts w:ascii="Times New Roman" w:cs="Times New Roman" w:eastAsia="Times New Roman" w:hAnsi="Times New Roman"/>
          <w:sz w:val="22"/>
          <w:szCs w:val="22"/>
        </w:rPr>
        <w:t xml:space="preserve">An original, ten-category, 220-prompt evaluation dataset explicitly designed to mitigate benchmark contamination, with per-prompt evaluation criteria and explicit multi-module scoring for compound system-design tasks.</w:t>
      </w:r>
    </w:p>
    <w:p>
      <w:pPr>
        <w:pStyle w:val="ListParagraph"/>
        <w:numPr>
          <w:ilvl w:val="0"/>
          <w:numId w:val="1"/>
        </w:numPr>
        <w:spacing w:after="100" w:line="300"/>
      </w:pPr>
      <w:r>
        <w:rPr>
          <w:rFonts w:ascii="Times New Roman" w:cs="Times New Roman" w:eastAsia="Times New Roman" w:hAnsi="Times New Roman"/>
          <w:sz w:val="22"/>
          <w:szCs w:val="22"/>
        </w:rPr>
        <w:t xml:space="preserve">A decoupled, fault-tolerant data collection architecture supporting three independent LLM providers, with proactive rate-limit throttling, reactive exponential backoff, persistent-error detection, and per-response temperature and latency instrumentation.</w:t>
      </w:r>
    </w:p>
    <w:p>
      <w:pPr>
        <w:pStyle w:val="ListParagraph"/>
        <w:numPr>
          <w:ilvl w:val="0"/>
          <w:numId w:val="1"/>
        </w:numPr>
        <w:spacing w:after="100" w:line="300"/>
      </w:pPr>
      <w:r>
        <w:rPr>
          <w:rFonts w:ascii="Times New Roman" w:cs="Times New Roman" w:eastAsia="Times New Roman" w:hAnsi="Times New Roman"/>
          <w:sz w:val="22"/>
          <w:szCs w:val="22"/>
        </w:rPr>
        <w:t xml:space="preserve">An automated LLM-judge scoring pipeline using explicit, standardized 0–5 rubric anchors, with success/failure classification computed programmatically from numeric scores rather than inferred from judge-generated text.</w:t>
      </w:r>
    </w:p>
    <w:p>
      <w:pPr>
        <w:pStyle w:val="ListParagraph"/>
        <w:numPr>
          <w:ilvl w:val="0"/>
          <w:numId w:val="1"/>
        </w:numPr>
        <w:spacing w:after="100" w:line="300"/>
      </w:pPr>
      <w:r>
        <w:rPr>
          <w:rFonts w:ascii="Times New Roman" w:cs="Times New Roman" w:eastAsia="Times New Roman" w:hAnsi="Times New Roman"/>
          <w:sz w:val="22"/>
          <w:szCs w:val="22"/>
        </w:rPr>
        <w:t xml:space="preserve">A stratified, two-dimensional (category × difficulty) human validation protocol using three independent raters, evaluated against the automated judge and against one another using Cohen's kappa, correlation, and exact-match statistics.</w:t>
      </w:r>
    </w:p>
    <w:p>
      <w:pPr>
        <w:pStyle w:val="ListParagraph"/>
        <w:numPr>
          <w:ilvl w:val="0"/>
          <w:numId w:val="1"/>
        </w:numPr>
        <w:spacing w:after="100" w:line="300"/>
      </w:pPr>
      <w:r>
        <w:rPr>
          <w:rFonts w:ascii="Times New Roman" w:cs="Times New Roman" w:eastAsia="Times New Roman" w:hAnsi="Times New Roman"/>
          <w:sz w:val="22"/>
          <w:szCs w:val="22"/>
        </w:rPr>
        <w:t xml:space="preserve">A formal statistical analysis pipeline supporting confidence intervals, Welch's t-tests with exact p-values, Cohen's d effect sizes, Pearson correlation, and ordinary least squares regression, applied to test the three pre-registered hypotheses above.</w:t>
      </w:r>
    </w:p>
    <w:p>
      <w:pPr>
        <w:pStyle w:val="ListParagraph"/>
        <w:numPr>
          <w:ilvl w:val="0"/>
          <w:numId w:val="1"/>
        </w:numPr>
        <w:spacing w:after="100" w:line="300"/>
      </w:pPr>
      <w:r>
        <w:rPr>
          <w:rFonts w:ascii="Times New Roman" w:cs="Times New Roman" w:eastAsia="Times New Roman" w:hAnsi="Times New Roman"/>
          <w:sz w:val="22"/>
          <w:szCs w:val="22"/>
        </w:rPr>
        <w:t xml:space="preserve">A documented record of real operational incidents — provider model deprecations, authentication failures, and free-tier quota constraints — encountered during data collection, presented as substantive findings about free-tier LLM research infrastructure rather than incidental errata.</w:t>
      </w:r>
    </w:p>
    <w:p>
      <w:pPr>
        <w:pStyle w:val="Heading2"/>
        <w:spacing w:after="160" w:before="320"/>
      </w:pPr>
      <w:r>
        <w:rPr>
          <w:rFonts w:ascii="Times New Roman" w:cs="Times New Roman" w:eastAsia="Times New Roman" w:hAnsi="Times New Roman"/>
          <w:b/>
          <w:bCs/>
          <w:color w:val="1F1F1F"/>
          <w:sz w:val="24"/>
          <w:szCs w:val="24"/>
        </w:rPr>
        <w:t xml:space="preserve">1.5 Report Organization</w:t>
      </w:r>
    </w:p>
    <w:p>
      <w:pPr>
        <w:spacing w:after="200" w:line="300"/>
        <w:jc w:val="both"/>
      </w:pPr>
      <w:r>
        <w:rPr>
          <w:rFonts w:ascii="Times New Roman" w:cs="Times New Roman" w:eastAsia="Times New Roman" w:hAnsi="Times New Roman"/>
          <w:b w:val="false"/>
          <w:bCs w:val="false"/>
          <w:i w:val="false"/>
          <w:iCs w:val="false"/>
          <w:sz w:val="22"/>
          <w:szCs w:val="22"/>
        </w:rPr>
        <w:t xml:space="preserve">The remainder of this report is organized as follows. Section 2 situates this work against related research in LLM evaluation methodology, LLM-as-judge reliability, and inter-rater statistics. Section 3 describes the complete methodology: dataset construction, rubric design, experimental controls, automation architecture, the scoring pipeline, the human validation protocol, the statistical methods applied, and the underlying data schema. Section 4 documents the experimental setup and the real operational incidents encountered during execution. Section 5 reports empirical results across reliability, confidence intervals, hypothesis testing, correlation and regression, and inter-rater agreement. Section 6 discusses these results, including a formal treatment of validity threats and practical implications for model selection. Section 7 addresses ethical considerations, and Section 8 concludes with a summary of findings and directions for future work. Six appendices follow, providing formula references, the reproducibility package inventory, worked dataset examples, extended rubric walkthroughs, a glossary, and mathematical derivations.</w:t>
      </w:r>
    </w:p>
    <w:p>
      <w:pPr>
        <w:pStyle w:val="Heading2"/>
        <w:spacing w:after="160" w:before="320"/>
      </w:pPr>
      <w:r>
        <w:rPr>
          <w:rFonts w:ascii="Times New Roman" w:cs="Times New Roman" w:eastAsia="Times New Roman" w:hAnsi="Times New Roman"/>
          <w:b/>
          <w:bCs/>
          <w:color w:val="1F1F1F"/>
          <w:sz w:val="24"/>
          <w:szCs w:val="24"/>
        </w:rPr>
        <w:t xml:space="preserve">1.6 Scope and Delimitations</w:t>
      </w:r>
    </w:p>
    <w:p>
      <w:pPr>
        <w:spacing w:after="200" w:line="300"/>
        <w:jc w:val="both"/>
      </w:pPr>
      <w:r>
        <w:rPr>
          <w:rFonts w:ascii="Times New Roman" w:cs="Times New Roman" w:eastAsia="Times New Roman" w:hAnsi="Times New Roman"/>
          <w:b w:val="false"/>
          <w:bCs w:val="false"/>
          <w:i w:val="false"/>
          <w:iCs w:val="false"/>
          <w:sz w:val="22"/>
          <w:szCs w:val="22"/>
        </w:rPr>
        <w:t xml:space="preserve">This study is explicitly scoped to compare three specific free-tier model configurations — not the full range of offerings from Google, Mistral AI, or Groq, and not any provider's flagship commercial-tier product. The findings in Section 5 and Section 6 should be read as characterizing gemini-3.5-flash-lite, open-mistral-nemo, and openai/gpt-oss-120b specifically, under the exact conditions described in Section 3.3, rather than as a general statement about "Gemini," "Mistral," or "Groq" as brands. This delimitation matters because a provider's flagship paid model may differ substantially in capability from the free-tier offering evaluated here, and a reader seeking guidance on a paid-tier deployment decision should not extrapolate this study's specific numerical findings to that different context, even though the qualitative methodology — stratified evaluation, human validation, formal hypothesis testing — would transfer directly to such a follow-up study.</w:t>
      </w:r>
    </w:p>
    <w:p>
      <w:pPr>
        <w:spacing w:after="200" w:line="300"/>
        <w:jc w:val="both"/>
      </w:pPr>
      <w:r>
        <w:rPr>
          <w:rFonts w:ascii="Times New Roman" w:cs="Times New Roman" w:eastAsia="Times New Roman" w:hAnsi="Times New Roman"/>
          <w:b w:val="false"/>
          <w:bCs w:val="false"/>
          <w:i w:val="false"/>
          <w:iCs w:val="false"/>
          <w:sz w:val="22"/>
          <w:szCs w:val="22"/>
        </w:rPr>
        <w:t xml:space="preserve">Similarly, this study does not attempt to evaluate every dimension along which LLMs might reasonably be compared. Dimensions explicitly outside this study's scope include multi-turn conversational coherence, tool-use and function-calling accuracy, vision or multimodal capability, safety alignment against adversarial jailbreak attempts, and cost-per-token efficiency. The ten categories evaluated here were selected to span a broad range of single-turn textual capabilities relevant to general-purpose use, consistent with the originating project proposal's specification, but a reader whose application depends primarily on one of the excluded dimensions above should treat this study as informative context rather than a sufficient basis for that specific decision.</w:t>
      </w:r>
    </w:p>
    <w:p>
      <w:r>
        <w:br w:type="page"/>
      </w:r>
    </w:p>
    <w:p>
      <w:pPr>
        <w:pStyle w:val="Heading1"/>
        <w:spacing w:after="240" w:before="480"/>
      </w:pPr>
      <w:r>
        <w:rPr>
          <w:rFonts w:ascii="Times New Roman" w:cs="Times New Roman" w:eastAsia="Times New Roman" w:hAnsi="Times New Roman"/>
          <w:b/>
          <w:bCs/>
          <w:color w:val="1F1F1F"/>
          <w:sz w:val="28"/>
          <w:szCs w:val="28"/>
        </w:rPr>
        <w:t xml:space="preserve">2. Related Work and Background</w:t>
      </w:r>
    </w:p>
    <w:p>
      <w:pPr>
        <w:pStyle w:val="Heading2"/>
        <w:spacing w:after="160" w:before="320"/>
      </w:pPr>
      <w:r>
        <w:rPr>
          <w:rFonts w:ascii="Times New Roman" w:cs="Times New Roman" w:eastAsia="Times New Roman" w:hAnsi="Times New Roman"/>
          <w:b/>
          <w:bCs/>
          <w:color w:val="1F1F1F"/>
          <w:sz w:val="24"/>
          <w:szCs w:val="24"/>
        </w:rPr>
        <w:t xml:space="preserve">2.1 The Evolution of LLM Evaluation Methodology</w:t>
      </w:r>
    </w:p>
    <w:p>
      <w:pPr>
        <w:spacing w:after="200" w:line="300"/>
        <w:jc w:val="both"/>
      </w:pPr>
      <w:r>
        <w:rPr>
          <w:rFonts w:ascii="Times New Roman" w:cs="Times New Roman" w:eastAsia="Times New Roman" w:hAnsi="Times New Roman"/>
          <w:b w:val="false"/>
          <w:bCs w:val="false"/>
          <w:i w:val="false"/>
          <w:iCs w:val="false"/>
          <w:sz w:val="22"/>
          <w:szCs w:val="22"/>
        </w:rPr>
        <w:t xml:space="preserve">LLM evaluation methodology has evolved considerably from early static benchmarks toward more dynamic and multi-faceted approaches. Static academic benchmarks measuring narrow capabilities — reading comprehension, arithmetic, or closed-domain question answering — provide reproducible, easily-compared scores but are vulnerable to the contamination problem: as benchmark datasets circulate publicly, their content risks inclusion in the training corpora of subsequently released models, inflating scores in a manner unrelated to genuine capability improvement. A model that has memorized a benchmark's exact question-answer pairs during training will score well on that benchmark regardless of whether it possesses the underlying reasoning capability the benchmark was designed to measure, and this risk grows more acute, not less, as benchmarks age and circulate more widely across the web text that subsequent models are trained on. This risk directly motivated the decision, in the present study, to author an entirely original prompt set rather than draw from any existing public benchmark, and is discussed further as a residual, only partially mitigable risk in Section 7.</w:t>
      </w:r>
    </w:p>
    <w:p>
      <w:pPr>
        <w:spacing w:after="200" w:line="300"/>
        <w:jc w:val="both"/>
      </w:pPr>
      <w:r>
        <w:rPr>
          <w:rFonts w:ascii="Times New Roman" w:cs="Times New Roman" w:eastAsia="Times New Roman" w:hAnsi="Times New Roman"/>
          <w:b w:val="false"/>
          <w:bCs w:val="false"/>
          <w:i w:val="false"/>
          <w:iCs w:val="false"/>
          <w:sz w:val="22"/>
          <w:szCs w:val="22"/>
        </w:rPr>
        <w:t xml:space="preserve">A second methodological shift has been the move from single-score aggregate benchmarks toward multi-dimensional capability profiles. A single leaderboard score, however carefully constructed, necessarily compresses a model's behavior across many qualitatively distinct task types into one number, discarding information a practitioner may need: a model excelling at creative writing but weak at precise instruction-following, or vice versa, is poorly served by either extreme of a single blended score. The present study's ten-category design is a direct response to this concern, deliberately preserving category-level granularity throughout the reporting in Section 5 rather than collapsing results into a single overall ranking.</w:t>
      </w:r>
    </w:p>
    <w:p>
      <w:pPr>
        <w:pStyle w:val="Heading2"/>
        <w:spacing w:after="160" w:before="320"/>
      </w:pPr>
      <w:r>
        <w:rPr>
          <w:rFonts w:ascii="Times New Roman" w:cs="Times New Roman" w:eastAsia="Times New Roman" w:hAnsi="Times New Roman"/>
          <w:b/>
          <w:bCs/>
          <w:color w:val="1F1F1F"/>
          <w:sz w:val="24"/>
          <w:szCs w:val="24"/>
        </w:rPr>
        <w:t xml:space="preserve">2.2 LLM-as-Judge: Promise and Documented Limitations</w:t>
      </w:r>
    </w:p>
    <w:p>
      <w:pPr>
        <w:spacing w:after="200" w:line="300"/>
        <w:jc w:val="both"/>
      </w:pPr>
      <w:r>
        <w:rPr>
          <w:rFonts w:ascii="Times New Roman" w:cs="Times New Roman" w:eastAsia="Times New Roman" w:hAnsi="Times New Roman"/>
          <w:b w:val="false"/>
          <w:bCs w:val="false"/>
          <w:i w:val="false"/>
          <w:iCs w:val="false"/>
          <w:sz w:val="22"/>
          <w:szCs w:val="22"/>
        </w:rPr>
        <w:t xml:space="preserve">The use of a large language model itself as an evaluator — commonly termed LLM-as-judge — has become a popular scaling strategy for evaluation, since human evaluation of model outputs at scale is costly and slow. A judge model can, in principle, apply a nuanced qualitative rubric to thousands of responses in the time a human evaluator would need for a small fraction of that volume, and this scaling advantage is what makes evaluating 900 individual responses feasible within the scope of a single academic project such as this one.</w:t>
      </w:r>
    </w:p>
    <w:p>
      <w:pPr>
        <w:spacing w:after="200" w:line="300"/>
        <w:jc w:val="both"/>
      </w:pPr>
      <w:r>
        <w:rPr>
          <w:rFonts w:ascii="Times New Roman" w:cs="Times New Roman" w:eastAsia="Times New Roman" w:hAnsi="Times New Roman"/>
          <w:b w:val="false"/>
          <w:bCs w:val="false"/>
          <w:i w:val="false"/>
          <w:iCs w:val="false"/>
          <w:sz w:val="22"/>
          <w:szCs w:val="22"/>
        </w:rPr>
        <w:t xml:space="preserve">However, judge models are themselves subject to several systematic biases documented in the broader evaluation literature. A verbosity bias, in which a judge model favors longer responses independent of their actual correctness or relevance, has been observed across multiple judge models and evaluation settings. A position bias has been documented in pairwise comparison settings, where the order in which two candidate responses are presented to the judge influences the outcome independent of content — though this specific bias is less directly applicable to the present study's design, which scores each response independently against fixed criteria rather than in pairwise comparison. A self-preference bias, in which a judge model rates outputs from its own model family more favorably, is a further documented concern; this study's design, in which none of the three evaluated providers' models also served as the judge model, was chosen specifically to avoid this particular failure mode. Finally, judge models have been observed to exhibit measurable score drift when the identical response is presented for scoring on separate occasions, absent any change in the underlying rubric or prompt — a concern directly addressed by this study's decision to score every one of the five stochastic-sample repetitions independently rather than treating a single scoring pass as representative.</w:t>
      </w:r>
    </w:p>
    <w:p>
      <w:pPr>
        <w:spacing w:after="200" w:line="300"/>
        <w:jc w:val="both"/>
      </w:pPr>
      <w:r>
        <w:rPr>
          <w:rFonts w:ascii="Times New Roman" w:cs="Times New Roman" w:eastAsia="Times New Roman" w:hAnsi="Times New Roman"/>
          <w:b w:val="false"/>
          <w:bCs w:val="false"/>
          <w:i w:val="false"/>
          <w:iCs w:val="false"/>
          <w:sz w:val="22"/>
          <w:szCs w:val="22"/>
        </w:rPr>
        <w:t xml:space="preserve">The methodological response adopted in this study is not to abandon LLM-as-judge scoring, which remains necessary for evaluating responses at the scale this project required, but to treat its output as a hypothesis requiring independent verification, following the human-in-the-loop validation design described in Section 3.6. This treats the judge not as an infallible oracle but as a fast, scalable, imperfect instrument whose degree of imperfection is itself measured and reported, rather than assumed away.</w:t>
      </w:r>
    </w:p>
    <w:p>
      <w:pPr>
        <w:pStyle w:val="Heading2"/>
        <w:spacing w:after="160" w:before="320"/>
      </w:pPr>
      <w:r>
        <w:rPr>
          <w:rFonts w:ascii="Times New Roman" w:cs="Times New Roman" w:eastAsia="Times New Roman" w:hAnsi="Times New Roman"/>
          <w:b/>
          <w:bCs/>
          <w:color w:val="1F1F1F"/>
          <w:sz w:val="24"/>
          <w:szCs w:val="24"/>
        </w:rPr>
        <w:t xml:space="preserve">2.3 Inter-Rater Reliability Statistics</w:t>
      </w:r>
    </w:p>
    <w:p>
      <w:pPr>
        <w:spacing w:after="200" w:line="300"/>
        <w:jc w:val="both"/>
      </w:pPr>
      <w:r>
        <w:rPr>
          <w:rFonts w:ascii="Times New Roman" w:cs="Times New Roman" w:eastAsia="Times New Roman" w:hAnsi="Times New Roman"/>
          <w:b w:val="false"/>
          <w:bCs w:val="false"/>
          <w:i w:val="false"/>
          <w:iCs w:val="false"/>
          <w:sz w:val="22"/>
          <w:szCs w:val="22"/>
        </w:rPr>
        <w:t xml:space="preserve">Inter-rater reliability statistics, most notably Cohen's kappa [1], originate in psychometric and content-analysis research concerned with quantifying agreement between human coders beyond the level expected by chance alone. The core insight motivating kappa's design is that raw percentage agreement between two raters is an inadequate reliability measure on its own, because two raters could agree quite often purely by chance if their individual score distributions are both concentrated on a narrow range of the available scale — precisely the situation this study encountered, where scores cluster toward the upper half of the 0–5 range for the generally competent model responses evaluated throughout. Kappa corrects for this by explicitly computing the agreement rate expected under the null hypothesis that each rater's scores are assigned independently according to their own observed marginal distribution, then measuring the observed agreement as a proportion of the room for improvement above that chance baseline.</w:t>
      </w:r>
    </w:p>
    <w:p>
      <w:pPr>
        <w:spacing w:after="200" w:line="300"/>
        <w:jc w:val="both"/>
      </w:pPr>
      <w:r>
        <w:rPr>
          <w:rFonts w:ascii="Times New Roman" w:cs="Times New Roman" w:eastAsia="Times New Roman" w:hAnsi="Times New Roman"/>
          <w:b w:val="false"/>
          <w:bCs w:val="false"/>
          <w:i w:val="false"/>
          <w:iCs w:val="false"/>
          <w:sz w:val="22"/>
          <w:szCs w:val="22"/>
        </w:rPr>
        <w:t xml:space="preserve">Their application to LLM-judge validation, as in the present study, is a natural extension of this original psychometric use case: the automated judge is treated as an additional rater whose agreement with human raters can be quantified using the same apparatus developed for human-human agreement, allowing this study to report both human-versus-judge and human-versus-human agreement using a single, consistent statistical framework, presented together in Section 5.5 for direct comparison.</w:t>
      </w:r>
    </w:p>
    <w:p>
      <w:pPr>
        <w:pStyle w:val="Heading2"/>
        <w:spacing w:after="160" w:before="320"/>
      </w:pPr>
      <w:r>
        <w:rPr>
          <w:rFonts w:ascii="Times New Roman" w:cs="Times New Roman" w:eastAsia="Times New Roman" w:hAnsi="Times New Roman"/>
          <w:b/>
          <w:bCs/>
          <w:color w:val="1F1F1F"/>
          <w:sz w:val="24"/>
          <w:szCs w:val="24"/>
        </w:rPr>
        <w:t xml:space="preserve">2.4 Statistical Comparison of Groups Under Unequal Variance</w:t>
      </w:r>
    </w:p>
    <w:p>
      <w:pPr>
        <w:spacing w:after="200" w:line="300"/>
        <w:jc w:val="both"/>
      </w:pPr>
      <w:r>
        <w:rPr>
          <w:rFonts w:ascii="Times New Roman" w:cs="Times New Roman" w:eastAsia="Times New Roman" w:hAnsi="Times New Roman"/>
          <w:b w:val="false"/>
          <w:bCs w:val="false"/>
          <w:i w:val="false"/>
          <w:iCs w:val="false"/>
          <w:sz w:val="22"/>
          <w:szCs w:val="22"/>
        </w:rPr>
        <w:t xml:space="preserve">Hypothesis testing between provider groups draws on Welch's classical treatment of the two-sample problem under unequal variances [2]. The more commonly taught Student's independent-samples t-test assumes that the two populations being compared share a common variance, an assumption that, if violated, can distort both the computed test statistic and its associated p-value, particularly when the two groups' sample sizes are unequal. Welch's variant relaxes this assumption, estimating the standard error separately from each group's own sample variance and adjusting the degrees of freedom accordingly via the Welch–Satterthwaite equation. Given that this study's category-level and provider-level comparisons offer no a priori reason to assume equal variance — indeed, the reliability analysis in Section 5.1 explicitly demonstrates that providers differ in their score variance, not only their score mean — Welch's test was adopted throughout as the more defensible choice, consistent with modern statistical practice, which increasingly recommends Welch's test as the safer default even when equal variance cannot be ruled out.</w:t>
      </w:r>
    </w:p>
    <w:p>
      <w:pPr>
        <w:spacing w:after="200" w:line="300"/>
        <w:jc w:val="both"/>
      </w:pPr>
      <w:r>
        <w:rPr>
          <w:rFonts w:ascii="Times New Roman" w:cs="Times New Roman" w:eastAsia="Times New Roman" w:hAnsi="Times New Roman"/>
          <w:b w:val="false"/>
          <w:bCs w:val="false"/>
          <w:i w:val="false"/>
          <w:iCs w:val="false"/>
          <w:sz w:val="22"/>
          <w:szCs w:val="22"/>
        </w:rPr>
        <w:t xml:space="preserve">Effect-size reporting throughout this study follows the standardized-mean-difference convention established by Cohen [3], expressing a difference between two group means in units of pooled standard deviation rather than in the raw units of the outcome measure. This standardization serves two purposes relevant to the present study: it allows a difference in mean score to be interpreted independent of the particular scale on which that score happens to be measured, and it provides a conventional vocabulary — small, medium, and large effects at the 0.2, 0.5, and 0.8 thresholds respectively — for communicating practical, as opposed to merely statistical, significance. A statistically significant difference with a negligible effect size is of limited practical consequence; the H3 finding reported in Section 5.3, by contrast, is significant with a large effect size, and it is this combination that grounds the finding's emphasis in the Discussion.</w:t>
      </w:r>
    </w:p>
    <w:p>
      <w:pPr>
        <w:pStyle w:val="Heading2"/>
        <w:spacing w:after="160" w:before="320"/>
      </w:pPr>
      <w:r>
        <w:rPr>
          <w:rFonts w:ascii="Times New Roman" w:cs="Times New Roman" w:eastAsia="Times New Roman" w:hAnsi="Times New Roman"/>
          <w:b/>
          <w:bCs/>
          <w:color w:val="1F1F1F"/>
          <w:sz w:val="24"/>
          <w:szCs w:val="24"/>
        </w:rPr>
        <w:t xml:space="preserve">2.5 Free-Tier API Constraints as a Research Infrastructure Concern</w:t>
      </w:r>
    </w:p>
    <w:p>
      <w:pPr>
        <w:spacing w:after="200" w:line="300"/>
        <w:jc w:val="both"/>
      </w:pPr>
      <w:r>
        <w:rPr>
          <w:rFonts w:ascii="Times New Roman" w:cs="Times New Roman" w:eastAsia="Times New Roman" w:hAnsi="Times New Roman"/>
          <w:b w:val="false"/>
          <w:bCs w:val="false"/>
          <w:i w:val="false"/>
          <w:iCs w:val="false"/>
          <w:sz w:val="22"/>
          <w:szCs w:val="22"/>
        </w:rPr>
        <w:t xml:space="preserve">A less frequently discussed but practically significant dimension of LLM benchmarking research concerns the operational constraints imposed by free-tier API access, which is the only form of access available to researchers, such as this study's author, without an institutional or commercial API budget. Free-tier rate limits are typically an order of magnitude more restrictive than paid-tier limits, published rate-limit documentation does not always accurately reflect the limits actually enforced on a specific account (as directly encountered in this study's Gemini-related incidents, detailed in Section 4.2), and free-tier model catalogs are subject to more frequent and less-well-communicated deprecation than flagship paid offerings, since providers have less commercial incentive to maintain long-term stability guarantees for models offered at no cost. This study's automation architecture, described in Section 3.4, was designed from the outset with these constraints as first-class requirements rather than incidental obstacles, and the incident history in Section 4.2 is presented as a direct empirical contribution documenting the practical reality of this research infrastructure constraint, which is rarely reported in comparable detail in published LLM evaluation studies.</w:t>
      </w:r>
    </w:p>
    <w:p>
      <w:pPr>
        <w:pStyle w:val="Heading2"/>
        <w:spacing w:after="160" w:before="320"/>
      </w:pPr>
      <w:r>
        <w:rPr>
          <w:rFonts w:ascii="Times New Roman" w:cs="Times New Roman" w:eastAsia="Times New Roman" w:hAnsi="Times New Roman"/>
          <w:b/>
          <w:bCs/>
          <w:color w:val="1F1F1F"/>
          <w:sz w:val="24"/>
          <w:szCs w:val="24"/>
        </w:rPr>
        <w:t xml:space="preserve">2.6 Dataset Design Principles: Stratification and Category Coverage</w:t>
      </w:r>
    </w:p>
    <w:p>
      <w:pPr>
        <w:spacing w:after="200" w:line="300"/>
        <w:jc w:val="both"/>
      </w:pPr>
      <w:r>
        <w:rPr>
          <w:rFonts w:ascii="Times New Roman" w:cs="Times New Roman" w:eastAsia="Times New Roman" w:hAnsi="Times New Roman"/>
          <w:b w:val="false"/>
          <w:bCs w:val="false"/>
          <w:i w:val="false"/>
          <w:iCs w:val="false"/>
          <w:sz w:val="22"/>
          <w:szCs w:val="22"/>
        </w:rPr>
        <w:t xml:space="preserve">The decision to structure this study's dataset along two orthogonal stratification axes — capability category and difficulty tier — follows a general principle in benchmark construction: a dataset intended to support fine-grained capability comparisons should be deliberately stratified along the dimensions the researcher intends to analyze, rather than assembled as an unstructured pool of tasks from which such comparisons are attempted post hoc. An unstratified collection of prompts risks confounding a provider's apparent overall strength with an accidental over-representation of tasks that happen to favor that provider's particular capabilities, a risk this study's equal per-category, per-difficulty allocation (Sections 3.1 and 3.6) is explicitly designed to avoid. This same stratification principle recurs at a smaller scale in the human-validation sampling design (Section 3.6), where the two-dimensional category-by-difficulty stratification was adopted specifically to guarantee representative coverage rather than leaving difficulty balance to chance, illustrating that the stratification principle applied at the full-dataset level was carried through consistently to the smaller validation subsample as well.</w:t>
      </w:r>
    </w:p>
    <w:p>
      <w:pPr>
        <w:pStyle w:val="Heading2"/>
        <w:spacing w:after="160" w:before="320"/>
      </w:pPr>
      <w:r>
        <w:rPr>
          <w:rFonts w:ascii="Times New Roman" w:cs="Times New Roman" w:eastAsia="Times New Roman" w:hAnsi="Times New Roman"/>
          <w:b/>
          <w:bCs/>
          <w:color w:val="1F1F1F"/>
          <w:sz w:val="24"/>
          <w:szCs w:val="24"/>
        </w:rPr>
        <w:t xml:space="preserve">2.7 Statistical Power and Effect Size in Small-Sample Model Comparisons</w:t>
      </w:r>
    </w:p>
    <w:p>
      <w:pPr>
        <w:spacing w:after="200" w:line="300"/>
        <w:jc w:val="both"/>
      </w:pPr>
      <w:r>
        <w:rPr>
          <w:rFonts w:ascii="Times New Roman" w:cs="Times New Roman" w:eastAsia="Times New Roman" w:hAnsi="Times New Roman"/>
          <w:b w:val="false"/>
          <w:bCs w:val="false"/>
          <w:i w:val="false"/>
          <w:iCs w:val="false"/>
          <w:sz w:val="22"/>
          <w:szCs w:val="22"/>
        </w:rPr>
        <w:t xml:space="preserve">A recurring methodological tension in LLM evaluation research, directly relevant to the hypothesis tests reported in Section 5.3, concerns the tradeoff between dataset breadth and statistical power. A benchmark seeking to cover many distinct capability categories, as this study does across ten categories, necessarily allocates a comparatively small number of prompts to any single category-provider combination — twenty-two prompts per category, per provider, in this study's design — which limits the statistical power available to detect anything short of a large effect within that specific category. This is a direct, unavoidable consequence of breadth: a study could instead concentrate its entire prompt budget on a single category to maximize power for that one comparison, but only at the cost of the multi-dimensional capability profile that motivated this study's design in the first place, as discussed in Section 2.1.</w:t>
      </w:r>
    </w:p>
    <w:p>
      <w:pPr>
        <w:spacing w:after="200" w:line="300"/>
        <w:jc w:val="both"/>
      </w:pPr>
      <w:r>
        <w:rPr>
          <w:rFonts w:ascii="Times New Roman" w:cs="Times New Roman" w:eastAsia="Times New Roman" w:hAnsi="Times New Roman"/>
          <w:b w:val="false"/>
          <w:bCs w:val="false"/>
          <w:i w:val="false"/>
          <w:iCs w:val="false"/>
          <w:sz w:val="22"/>
          <w:szCs w:val="22"/>
        </w:rPr>
        <w:t xml:space="preserve">The practical implication, made explicit in this study's own limitations discussion (Section 6.3.4), is that a non-significant result at this sample size is properly interpreted as inconclusive rather than as evidence of no true effect — a distinction frequently elided in less careful reporting of model comparison studies, where an author may be tempted to read a non-significant p-value as license to claim two models perform equivalently. This study deliberately avoids that inferential error throughout Section 5.3: the non-significant H1 and H2 findings are reported and discussed as underpowered rather than as confirmed null results, and only the H3 finding, which did reach significance with a large effect size, is treated as a confirmed, actionable conclusion in Section 6.1.</w:t>
      </w:r>
    </w:p>
    <w:p>
      <w:pPr>
        <w:pStyle w:val="Heading2"/>
        <w:spacing w:after="160" w:before="320"/>
      </w:pPr>
      <w:r>
        <w:rPr>
          <w:rFonts w:ascii="Times New Roman" w:cs="Times New Roman" w:eastAsia="Times New Roman" w:hAnsi="Times New Roman"/>
          <w:b/>
          <w:bCs/>
          <w:color w:val="1F1F1F"/>
          <w:sz w:val="24"/>
          <w:szCs w:val="24"/>
        </w:rPr>
        <w:t xml:space="preserve">2.8 Provider Architecture Diversity as an Evaluation Dimension</w:t>
      </w:r>
    </w:p>
    <w:p>
      <w:pPr>
        <w:spacing w:after="200" w:line="300"/>
        <w:jc w:val="both"/>
      </w:pPr>
      <w:r>
        <w:rPr>
          <w:rFonts w:ascii="Times New Roman" w:cs="Times New Roman" w:eastAsia="Times New Roman" w:hAnsi="Times New Roman"/>
          <w:b w:val="false"/>
          <w:bCs w:val="false"/>
          <w:i w:val="false"/>
          <w:iCs w:val="false"/>
          <w:sz w:val="22"/>
          <w:szCs w:val="22"/>
        </w:rPr>
        <w:t xml:space="preserve">A dimension of provider comparison less frequently made explicit in published LLM evaluation studies concerns the structural diversity of how a "provider" relates to the model it serves. The three providers evaluated in this study occupy meaningfully different positions along this dimension, a distinction elaborated further in the Discussion (Section 6.1) once the empirical results are available to interpret against it: Gemini and Mistral AI both develop and serve their own proprietary models end to end, while Groq serves an openly-licensed model developed by a separate organization, differentiating itself commercially and technically through inference infrastructure rather than model development. This structural difference means that a comparison across these three providers is not a clean, single-factor comparison of "model capability" in isolation, but a comparison that necessarily conflates model capability with serving-infrastructure characteristics for at least one of the three providers evaluated.</w:t>
      </w:r>
    </w:p>
    <w:p>
      <w:pPr>
        <w:spacing w:after="200" w:line="300"/>
        <w:jc w:val="both"/>
      </w:pPr>
      <w:r>
        <w:rPr>
          <w:rFonts w:ascii="Times New Roman" w:cs="Times New Roman" w:eastAsia="Times New Roman" w:hAnsi="Times New Roman"/>
          <w:b w:val="false"/>
          <w:bCs w:val="false"/>
          <w:i w:val="false"/>
          <w:iCs w:val="false"/>
          <w:sz w:val="22"/>
          <w:szCs w:val="22"/>
        </w:rPr>
        <w:t xml:space="preserve">This conflation is not unique to this study; it is a structural feature of the current commercial LLM API landscape, in which the boundary between "model provider" and "inference infrastructure provider" is increasingly blurred as third-party inference hosts compete on serving efficiency, latency, and cost for openly-licensed models originally developed elsewhere. A methodologically careful evaluation study should acknowledge this conflation explicitly rather than treating all evaluated "providers" as though they occupied a directly comparable position in this respect, and this study does so directly in Section 6.1 when interpreting Groq's measured advantages.</w:t>
      </w:r>
    </w:p>
    <w:p>
      <w:pPr>
        <w:pStyle w:val="Heading2"/>
        <w:spacing w:after="160" w:before="320"/>
      </w:pPr>
      <w:r>
        <w:rPr>
          <w:rFonts w:ascii="Times New Roman" w:cs="Times New Roman" w:eastAsia="Times New Roman" w:hAnsi="Times New Roman"/>
          <w:b/>
          <w:bCs/>
          <w:color w:val="1F1F1F"/>
          <w:sz w:val="24"/>
          <w:szCs w:val="24"/>
        </w:rPr>
        <w:t xml:space="preserve">2.9 Measurement Theory: Ordinal Scoring and Its Statistical Consequences</w:t>
      </w:r>
    </w:p>
    <w:p>
      <w:pPr>
        <w:spacing w:after="200" w:line="300"/>
        <w:jc w:val="both"/>
      </w:pPr>
      <w:r>
        <w:rPr>
          <w:rFonts w:ascii="Times New Roman" w:cs="Times New Roman" w:eastAsia="Times New Roman" w:hAnsi="Times New Roman"/>
          <w:b w:val="false"/>
          <w:bCs w:val="false"/>
          <w:i w:val="false"/>
          <w:iCs w:val="false"/>
          <w:sz w:val="22"/>
          <w:szCs w:val="22"/>
        </w:rPr>
        <w:t xml:space="preserve">The 0–5 rubric scale underlying every score reported in this study is, in the formal measurement-theoretic sense established by Stevens' classical typology of scales [5], an ordinal scale: the scores are ranked in a meaningful order (a 4 reflects stronger performance than a 3), but the numeric distance between adjacent scores is not guaranteed to represent an equal underlying increment of the qualitative construct being measured. The gap between a 3 (Minimum Success) and a 4 (Strong Success) is not asserted to be quantitatively identical to the gap between a 4 and a 5 (Complete Success), even though both differences are numerically equal to one point. This distinction matters because many of the statistical procedures used throughout Section 5 — computing a mean, a standard deviation, or a Pearson correlation — are formally defined for interval or ratio-scale data, where equal numeric differences do represent equal underlying differences, not for purely ordinal data.</w:t>
      </w:r>
    </w:p>
    <w:p>
      <w:pPr>
        <w:spacing w:after="200" w:line="300"/>
        <w:jc w:val="both"/>
      </w:pPr>
      <w:r>
        <w:rPr>
          <w:rFonts w:ascii="Times New Roman" w:cs="Times New Roman" w:eastAsia="Times New Roman" w:hAnsi="Times New Roman"/>
          <w:b w:val="false"/>
          <w:bCs w:val="false"/>
          <w:i w:val="false"/>
          <w:iCs w:val="false"/>
          <w:sz w:val="22"/>
          <w:szCs w:val="22"/>
        </w:rPr>
        <w:t xml:space="preserve">This study follows the widely-adopted and methodologically defensible practice, common throughout the social and behavioral sciences, of treating a sufficiently fine-grained ordinal scale (six categories in this case, further aggregated into multi-criterion composite scores ranging up to twenty points) as an approximate interval scale for the purpose of parametric statistical analysis, on the grounds that the resulting analyses are robust to modest violations of strict interval-scale assumptions, particularly once several ordinal criteria are summed into a composite score, a process that tends to smooth out the coarseness of any single ordinal item. This is a pragmatic compromise rather than a theoretically unimpeachable position: a purist measurement-theoretic treatment would restrict analysis to non-parametric, rank-based statistics (median, Spearman's rank correlation, the Mann-Whitney U test) throughout. This study reports parametric statistics as its primary analysis, consistent with the proposal's explicit specification of confidence intervals, t-tests, and Pearson correlation, while acknowledging here that a fully rank-based reanalysis, using only order-preserving statistics, would be a legitimate and informative robustness check for future work extending this study.</w:t>
      </w:r>
    </w:p>
    <w:p>
      <w:r>
        <w:br w:type="page"/>
      </w:r>
    </w:p>
    <w:p>
      <w:pPr>
        <w:pStyle w:val="Heading1"/>
        <w:spacing w:after="240" w:before="480"/>
      </w:pPr>
      <w:r>
        <w:rPr>
          <w:rFonts w:ascii="Times New Roman" w:cs="Times New Roman" w:eastAsia="Times New Roman" w:hAnsi="Times New Roman"/>
          <w:b/>
          <w:bCs/>
          <w:color w:val="1F1F1F"/>
          <w:sz w:val="28"/>
          <w:szCs w:val="28"/>
        </w:rPr>
        <w:t xml:space="preserve">3. Methodology</w:t>
      </w:r>
    </w:p>
    <w:p>
      <w:pPr>
        <w:spacing w:after="200" w:line="300"/>
        <w:jc w:val="both"/>
      </w:pPr>
      <w:r>
        <w:rPr>
          <w:rFonts w:ascii="Times New Roman" w:cs="Times New Roman" w:eastAsia="Times New Roman" w:hAnsi="Times New Roman"/>
          <w:b w:val="false"/>
          <w:bCs w:val="false"/>
          <w:i w:val="false"/>
          <w:iCs w:val="false"/>
          <w:sz w:val="22"/>
          <w:szCs w:val="22"/>
        </w:rPr>
        <w:t xml:space="preserve">Figure 1 provides an overview of the complete pipeline described across this section, before the detailed per-component treatment in Sections 3.1 through 3.10.</w:t>
      </w:r>
    </w:p>
    <w:p>
      <w:pPr>
        <w:spacing w:after="100" w:before="200"/>
        <w:jc w:val="center"/>
      </w:pPr>
      <w:r>
        <w:drawing>
          <wp:inline distT="0" distB="0" distL="0" distR="0">
            <wp:extent cx="5524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29000"/>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1. Overall pipeline architecture: dataset flows through three independent provider runners, consolidated raw responses are scored by the LLM judge, and scored results feed both human validation and formal statistical analysis.</w:t>
      </w:r>
    </w:p>
    <w:p>
      <w:pPr>
        <w:pStyle w:val="Heading2"/>
        <w:spacing w:after="160" w:before="320"/>
      </w:pPr>
      <w:r>
        <w:rPr>
          <w:rFonts w:ascii="Times New Roman" w:cs="Times New Roman" w:eastAsia="Times New Roman" w:hAnsi="Times New Roman"/>
          <w:b/>
          <w:bCs/>
          <w:color w:val="1F1F1F"/>
          <w:sz w:val="24"/>
          <w:szCs w:val="24"/>
        </w:rPr>
        <w:t xml:space="preserve">3.1 Dataset Design and Curation</w:t>
      </w:r>
    </w:p>
    <w:p>
      <w:pPr>
        <w:spacing w:after="200" w:line="300"/>
        <w:jc w:val="both"/>
      </w:pPr>
      <w:r>
        <w:rPr>
          <w:rFonts w:ascii="Times New Roman" w:cs="Times New Roman" w:eastAsia="Times New Roman" w:hAnsi="Times New Roman"/>
          <w:b w:val="false"/>
          <w:bCs w:val="false"/>
          <w:i w:val="false"/>
          <w:iCs w:val="false"/>
          <w:sz w:val="22"/>
          <w:szCs w:val="22"/>
        </w:rPr>
        <w:t xml:space="preserve">The evaluation dataset comprises 220 original prompts distributed evenly across ten capability categories — Knowledge Retrieval, Multi-step Reasoning, Instruction Following, Hallucination Stress Test, Coding and System Architecture, Ambiguity Handling, Long-context Retention, Data Transformation, Summarization, and Multilingual Tasks — with twenty-two prompts per category. This equal-weighting design was adopted in place of the originating proposal's category weighting, which summed inconsistently to 230 rather than 220 prompts; treating all ten research dimensions as equally represented avoids privileging any subset of capabilities and satisfies the requirement, confirmed directly with the project supervisor, that no category fall below twenty prompts.</w:t>
      </w:r>
    </w:p>
    <w:p>
      <w:pPr>
        <w:spacing w:after="200" w:line="300"/>
        <w:jc w:val="both"/>
      </w:pPr>
      <w:r>
        <w:rPr>
          <w:rFonts w:ascii="Times New Roman" w:cs="Times New Roman" w:eastAsia="Times New Roman" w:hAnsi="Times New Roman"/>
          <w:b w:val="false"/>
          <w:bCs w:val="false"/>
          <w:i w:val="false"/>
          <w:iCs w:val="false"/>
          <w:sz w:val="22"/>
          <w:szCs w:val="22"/>
        </w:rPr>
        <w:t xml:space="preserve">Each prompt is tagged with one of three difficulty tiers — Easy, Medium, or Hard — with Hard-tier prompts in compound categories such as Coding and System Architecture, and Ambiguity Handling explicitly requiring multi-module system designs. For these compound prompts, the evaluation criteria decompose into one scoring criterion per architectural module plus a dedicated System Integration criterion, so that both the correctness of each individual component and the coherence of the assembled system are scored independently rather than conflated into a single holistic judgment.</w:t>
      </w:r>
    </w:p>
    <w:p>
      <w:pPr>
        <w:spacing w:after="200" w:line="300"/>
        <w:jc w:val="both"/>
      </w:pPr>
      <w:r>
        <w:rPr>
          <w:rFonts w:ascii="Times New Roman" w:cs="Times New Roman" w:eastAsia="Times New Roman" w:hAnsi="Times New Roman"/>
          <w:b w:val="false"/>
          <w:bCs w:val="false"/>
          <w:i w:val="false"/>
          <w:iCs w:val="false"/>
          <w:sz w:val="22"/>
          <w:szCs w:val="22"/>
        </w:rPr>
        <w:t xml:space="preserve">Five of the ten categories were originally supervisor-provided and were subsequently trimmed to twenty-two prompts each while preserving their original proportional difficulty distribution. The remaining five categories were newly authored to close a gap identified against the project proposal's dataset specification, following the same schema, per-prompt evaluation-criteria format, and difficulty-tier structure as the original five.</w:t>
      </w:r>
    </w:p>
    <w:p>
      <w:pPr>
        <w:pStyle w:val="Heading2"/>
        <w:spacing w:after="160" w:before="320"/>
      </w:pPr>
      <w:r>
        <w:rPr>
          <w:rFonts w:ascii="Times New Roman" w:cs="Times New Roman" w:eastAsia="Times New Roman" w:hAnsi="Times New Roman"/>
          <w:b/>
          <w:bCs/>
          <w:color w:val="1F1F1F"/>
          <w:sz w:val="24"/>
          <w:szCs w:val="24"/>
        </w:rPr>
        <w:t xml:space="preserve">3.2 Evaluation Rubric and Scoring Methodology</w:t>
      </w:r>
    </w:p>
    <w:p>
      <w:pPr>
        <w:spacing w:after="200" w:line="300"/>
        <w:jc w:val="both"/>
      </w:pPr>
      <w:r>
        <w:rPr>
          <w:rFonts w:ascii="Times New Roman" w:cs="Times New Roman" w:eastAsia="Times New Roman" w:hAnsi="Times New Roman"/>
          <w:b w:val="false"/>
          <w:bCs w:val="false"/>
          <w:i w:val="false"/>
          <w:iCs w:val="false"/>
          <w:sz w:val="22"/>
          <w:szCs w:val="22"/>
        </w:rPr>
        <w:t xml:space="preserve">Rather than applying a single generic rubric uniformly across all 220 prompts, each prompt carries its own specific evaluation criteria, tailored to what that exact prompt is testing. A single scoring scale, however, is applied consistently across every criterion for every prompt, ensuring that a score of a given value carries the same qualitative meaning regardless of which specific criterion or prompt is being evaluated. Table I presents this scale.</w:t>
      </w:r>
    </w:p>
    <w:p>
      <w:pPr>
        <w:spacing w:after="240" w:before="80"/>
        <w:jc w:val="center"/>
      </w:pPr>
      <w:r>
        <w:rPr>
          <w:rFonts w:ascii="Times New Roman" w:cs="Times New Roman" w:eastAsia="Times New Roman" w:hAnsi="Times New Roman"/>
          <w:i/>
          <w:iCs/>
          <w:color w:val="444444"/>
          <w:sz w:val="20"/>
          <w:szCs w:val="20"/>
        </w:rPr>
        <w:t xml:space="preserve">TABLE I. STANDARDIZED SCORE ANCHOR DEFINITIONS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5900"/>
      </w:tblGrid>
      <w:tr>
        <w:trPr>
          <w:tblHeader/>
        </w:trPr>
        <w:tc>
          <w:tcPr>
            <w:tcW w:type="dxa" w:w="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Score</w:t>
            </w:r>
          </w:p>
        </w:tc>
        <w:tc>
          <w:tcPr>
            <w:tcW w:type="dxa" w:w="2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Label</w:t>
            </w:r>
          </w:p>
        </w:tc>
        <w:tc>
          <w:tcPr>
            <w:tcW w:type="dxa" w:w="5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Definition</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Complete Failure</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does not attempt the criterion, or is entirely incorrect.</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Major Failure</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attempts the criterion but fails on most key aspects.</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Partial Failure</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meets some minimal aspects but falls below an acceptable standard.</w:t>
            </w:r>
          </w:p>
        </w:tc>
      </w:tr>
      <w:tr>
        <w:tc>
          <w:tcPr>
            <w:tcW w:type="dxa" w:w="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3</w:t>
            </w:r>
          </w:p>
        </w:tc>
        <w:tc>
          <w:tcPr>
            <w:tcW w:type="dxa" w:w="26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Minimum Success</w:t>
            </w:r>
          </w:p>
        </w:tc>
        <w:tc>
          <w:tcPr>
            <w:tcW w:type="dxa" w:w="5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Adequately meets the core requirement, minor gaps. (Success threshold.)</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4</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Strong Success</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meets the requirement well, with only trivial gaps.</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5</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Complete Success</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fully and excellently meets the requirement.</w:t>
            </w:r>
          </w:p>
        </w:tc>
      </w:tr>
    </w:tbl>
    <w:p>
      <w:pPr>
        <w:spacing w:after="200" w:line="300"/>
        <w:jc w:val="both"/>
      </w:pPr>
      <w:r>
        <w:rPr>
          <w:rFonts w:ascii="Times New Roman" w:cs="Times New Roman" w:eastAsia="Times New Roman" w:hAnsi="Times New Roman"/>
          <w:b w:val="false"/>
          <w:bCs w:val="false"/>
          <w:i w:val="false"/>
          <w:iCs w:val="false"/>
          <w:sz w:val="22"/>
          <w:szCs w:val="22"/>
        </w:rPr>
        <w:t xml:space="preserve">A criterion-level outcome of Success or Failure is computed programmatically from the numeric score using the threshold in Table I, rather than inferred from the judge's own success/failure labeling. This design choice mirrors the treatment of the total score itself, which is computed by summing individual criterion scores in code rather than trusting any total the judge reports directly, since large language models are known to be unreliable at consistent arithmetic even when the underlying component judgments are sound. A prompt's overall outcome is classified Success only when every one of its criteria individually succeeds; this deliberately strict aggregation rule avoids obscuring a specific, genuine weakness behind a strong majority of passing criteria.</w:t>
      </w:r>
    </w:p>
    <w:p>
      <w:pPr>
        <w:spacing w:after="200" w:line="300"/>
        <w:jc w:val="both"/>
      </w:pPr>
      <w:r>
        <w:rPr>
          <w:rFonts w:ascii="Times New Roman" w:cs="Times New Roman" w:eastAsia="Times New Roman" w:hAnsi="Times New Roman"/>
          <w:b w:val="false"/>
          <w:bCs w:val="false"/>
          <w:i w:val="false"/>
          <w:iCs w:val="false"/>
          <w:sz w:val="22"/>
          <w:szCs w:val="22"/>
        </w:rPr>
        <w:t xml:space="preserve">To make this decomposition concrete: a Hard-tier Coding and System Architecture prompt requiring a three-module Transport Management System (a Fleet Telemetry Tracker, a Route Optimization Engine, and an Automated Billing Subsystem) is scored on four independent criteria — one per module plus a dedicated System Integration criterion — rather than a single holistic judgment. A response that implements all three modules correctly but does not demonstrate how data flows between them would score well on the three module-level criteria yet poorly on System Integration, surfacing a specific, genuine gap that a single aggregate score would obscure behind the three well-executed components. (This response pattern is a hypothetical illustration of the scoring mechanics, not a transcript of an actual observed response; the real scored results for this and every other prompt are reported in aggregate throughout Section 5 and are available individually in the reproducibility package described in Appendix B.)</w:t>
      </w:r>
    </w:p>
    <w:p>
      <w:pPr>
        <w:pStyle w:val="Heading2"/>
        <w:spacing w:after="160" w:before="320"/>
      </w:pPr>
      <w:r>
        <w:rPr>
          <w:rFonts w:ascii="Times New Roman" w:cs="Times New Roman" w:eastAsia="Times New Roman" w:hAnsi="Times New Roman"/>
          <w:b/>
          <w:bCs/>
          <w:color w:val="1F1F1F"/>
          <w:sz w:val="24"/>
          <w:szCs w:val="24"/>
        </w:rPr>
        <w:t xml:space="preserve">3.3 Experimental Design and Controlled Variables</w:t>
      </w:r>
    </w:p>
    <w:p>
      <w:pPr>
        <w:spacing w:after="200" w:line="300"/>
        <w:jc w:val="both"/>
      </w:pPr>
      <w:r>
        <w:rPr>
          <w:rFonts w:ascii="Times New Roman" w:cs="Times New Roman" w:eastAsia="Times New Roman" w:hAnsi="Times New Roman"/>
          <w:b w:val="false"/>
          <w:bCs w:val="false"/>
          <w:i w:val="false"/>
          <w:iCs w:val="false"/>
          <w:sz w:val="22"/>
          <w:szCs w:val="22"/>
        </w:rPr>
        <w:t xml:space="preserve">Three model providers were evaluated: Google's Gemini (gemini-3.5-flash-lite), Mistral AI's open-mistral-nemo, and Groq's hosted openai/gpt-oss-120b. Temperature was fixed at 0.7 across all three providers as a controlled independent variable, ensuring that observed score differences reflect genuine model capability differences rather than differing sampling entropy. Response latency was measured and recorded for every individual API call, isolating network and inference time from any throttling delay imposed by the automation layer.</w:t>
      </w:r>
    </w:p>
    <w:p>
      <w:pPr>
        <w:spacing w:after="200" w:line="300"/>
        <w:jc w:val="both"/>
      </w:pPr>
      <w:r>
        <w:rPr>
          <w:rFonts w:ascii="Times New Roman" w:cs="Times New Roman" w:eastAsia="Times New Roman" w:hAnsi="Times New Roman"/>
          <w:b w:val="false"/>
          <w:bCs w:val="false"/>
          <w:i w:val="false"/>
          <w:iCs w:val="false"/>
          <w:sz w:val="22"/>
          <w:szCs w:val="22"/>
        </w:rPr>
        <w:t xml:space="preserve">The specific value of 0.7 was selected as a moderate operating point rather than either extreme of the available range. A temperature near zero would minimize response variance but would also suppress exactly the kind of genuinely varied output the stochastic reliability sample (Section 3.9) is designed to measure, since a near-deterministic model would trivially show low variance regardless of its underlying consistency characteristics, making the reliability comparison in Section 5.1 uninformative. Conversely, a temperature near the top of the typical range would inflate variance to a degree unrepresentative of how these models are commonly deployed in practice, where moderate temperatures are the prevailing default across production use cases. The value 0.7 was chosen as a widely-used default across all three providers' own documentation and client libraries at the time of this study, making it a reasonable proxy for typical deployed behavior rather than an artificially extreme operating condition chosen to maximize or minimize any particular study outcome.</w:t>
      </w:r>
    </w:p>
    <w:p>
      <w:pPr>
        <w:spacing w:after="200" w:line="300"/>
        <w:jc w:val="both"/>
      </w:pPr>
      <w:r>
        <w:rPr>
          <w:rFonts w:ascii="Times New Roman" w:cs="Times New Roman" w:eastAsia="Times New Roman" w:hAnsi="Times New Roman"/>
          <w:b w:val="false"/>
          <w:bCs w:val="false"/>
          <w:i w:val="false"/>
          <w:iCs w:val="false"/>
          <w:sz w:val="22"/>
          <w:szCs w:val="22"/>
        </w:rPr>
        <w:t xml:space="preserve">The three providers themselves were selected to represent distinct infrastructure approaches within the free-tier landscape rather than three arbitrary choices: Gemini represents a major cloud provider's first-party hosted offering, Mistral AI represents an independent model developer offering direct API access to its own models, and Groq represents a third-party inference infrastructure provider hosting an openly-licensed model rather than one it developed itself. This diversity of provider type, alongside the diversity of underlying model architecture and training approach it entails, was a deliberate design choice intended to make this study's findings more broadly informative about the free-tier LLM landscape as a whole, rather than narrowly informative about three arbitrarily similar offerings.</w:t>
      </w:r>
    </w:p>
    <w:p>
      <w:pPr>
        <w:spacing w:after="200" w:line="300"/>
        <w:jc w:val="both"/>
      </w:pPr>
      <w:r>
        <w:rPr>
          <w:rFonts w:ascii="Times New Roman" w:cs="Times New Roman" w:eastAsia="Times New Roman" w:hAnsi="Times New Roman"/>
          <w:b w:val="false"/>
          <w:bCs w:val="false"/>
          <w:i w:val="false"/>
          <w:iCs w:val="false"/>
          <w:sz w:val="22"/>
          <w:szCs w:val="22"/>
        </w:rPr>
        <w:t xml:space="preserve">Each of the 220 prompts was submitted once per provider under standard conditions. A subset of twenty prompts — two per category, selected for genuinely open-ended or interpretive characteristics where model output would plausibly vary between independent calls — was instead submitted five times per provider, fulfilling the proposal's Reliability requirement that stochastic prompts be repeated to permit variance estimation. This yields 300 total API calls per provider, and 900 individually scored responses across the three providers.</w:t>
      </w:r>
    </w:p>
    <w:p>
      <w:pPr>
        <w:pStyle w:val="Heading2"/>
        <w:spacing w:after="160" w:before="320"/>
      </w:pPr>
      <w:r>
        <w:rPr>
          <w:rFonts w:ascii="Times New Roman" w:cs="Times New Roman" w:eastAsia="Times New Roman" w:hAnsi="Times New Roman"/>
          <w:b/>
          <w:bCs/>
          <w:color w:val="1F1F1F"/>
          <w:sz w:val="24"/>
          <w:szCs w:val="24"/>
        </w:rPr>
        <w:t xml:space="preserve">3.4 Automation Architecture</w:t>
      </w:r>
    </w:p>
    <w:p>
      <w:pPr>
        <w:spacing w:after="200" w:line="300"/>
        <w:jc w:val="both"/>
      </w:pPr>
      <w:r>
        <w:rPr>
          <w:rFonts w:ascii="Times New Roman" w:cs="Times New Roman" w:eastAsia="Times New Roman" w:hAnsi="Times New Roman"/>
          <w:b w:val="false"/>
          <w:bCs w:val="false"/>
          <w:i w:val="false"/>
          <w:iCs w:val="false"/>
          <w:sz w:val="22"/>
          <w:szCs w:val="22"/>
        </w:rPr>
        <w:t xml:space="preserve">Each provider is served by an independently executable runner sharing a common architectural pattern but no shared abstract base class, so that a defect in one runner cannot silently propagate into another. Each runner implements five safety mechanisms: proactive throttling, enforcing a minimum inter-call delay specific to each provider's documented rate limit; reactive exponential backoff with randomized jitter, applied only after a call fails; persistent-error detection, distinguishing a systemic failure — quota exhaustion, model deprecation, authentication failure — from an isolated transient error and halting the entire run cleanly on the former; atomic cache writes, in which each response is written to a temporary file and renamed only upon successful completion; and resume-by-cache-file logic, allowing an interrupted run to continue exactly where it stopped, including correct behavior when interrupted partway through a five-repetition stochastic-sample prompt.</w:t>
      </w:r>
    </w:p>
    <w:p>
      <w:pPr>
        <w:spacing w:after="100" w:before="200"/>
        <w:jc w:val="center"/>
      </w:pPr>
      <w:r>
        <w:drawing>
          <wp:inline distT="0" distB="0" distL="0" distR="0">
            <wp:extent cx="55245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409825"/>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2. Per-prompt execution logic within each provider runner, showing the persistent-error/transient-error branch and the atomic-write, resume-by-cache safety mechanisms described in Section 3.4.</w:t>
      </w:r>
    </w:p>
    <w:p>
      <w:pPr>
        <w:pStyle w:val="Heading2"/>
        <w:spacing w:after="160" w:before="320"/>
      </w:pPr>
      <w:r>
        <w:rPr>
          <w:rFonts w:ascii="Times New Roman" w:cs="Times New Roman" w:eastAsia="Times New Roman" w:hAnsi="Times New Roman"/>
          <w:b/>
          <w:bCs/>
          <w:color w:val="1F1F1F"/>
          <w:sz w:val="24"/>
          <w:szCs w:val="24"/>
        </w:rPr>
        <w:t xml:space="preserve">3.5 Automated Scoring Pipeline</w:t>
      </w:r>
    </w:p>
    <w:p>
      <w:pPr>
        <w:spacing w:after="200" w:line="300"/>
        <w:jc w:val="both"/>
      </w:pPr>
      <w:r>
        <w:rPr>
          <w:rFonts w:ascii="Times New Roman" w:cs="Times New Roman" w:eastAsia="Times New Roman" w:hAnsi="Times New Roman"/>
          <w:b w:val="false"/>
          <w:bCs w:val="false"/>
          <w:i w:val="false"/>
          <w:iCs w:val="false"/>
          <w:sz w:val="22"/>
          <w:szCs w:val="22"/>
        </w:rPr>
        <w:t xml:space="preserve">Each of the 900 collected responses is scored independently by a free-tier LLM judge accessed via OpenRouter, using the per-prompt evaluation criteria described in Section 3.2. Each of the five repetitions of a stochastic-sample prompt is scored as an independent unit rather than only the first being treated as representative; this design decision is what makes the reliability analysis in Section 5.1 possible, producing five separate score values per stochastic-sample prompt. The scoring prompt sent to the judge model includes the full text of Table I's score anchors on every call, so the numeric scale is applied consistently across calls.</w:t>
      </w:r>
    </w:p>
    <w:p>
      <w:pPr>
        <w:spacing w:after="200" w:line="300"/>
        <w:jc w:val="both"/>
      </w:pPr>
      <w:r>
        <w:rPr>
          <w:rFonts w:ascii="Times New Roman" w:cs="Times New Roman" w:eastAsia="Times New Roman" w:hAnsi="Times New Roman"/>
          <w:b w:val="false"/>
          <w:bCs w:val="false"/>
          <w:i w:val="false"/>
          <w:iCs w:val="false"/>
          <w:sz w:val="22"/>
          <w:szCs w:val="22"/>
        </w:rPr>
        <w:t xml:space="preserve">A consistent design principle applied throughout this pipeline is that any value derivable by straightforward computation from more primitive judge-provided values is computed in code, never trusted directly from the judge's own output, even when the judge could in principle be asked to report it directly. This applies to the total score for a prompt, computed by summing individual criterion scores rather than accepting any total the judge states; to the Success/Failure classification for each criterion, computed by comparing the numeric score against the threshold in Table I rather than accepting the judge's own success/failure label; and to the overall prompt-level outcome, computed by requiring every criterion to individually succeed rather than accepting an aggregate judgment. This principle reflects a documented general limitation of large language models with respect to reliable arithmetic and internally consistent aggregation, and treats the judge model's genuine strength — qualitative assessment of a single, well-specified criterion — as the appropriate scope of its role, reserving mechanical aggregation for deterministic code.</w:t>
      </w:r>
    </w:p>
    <w:p>
      <w:pPr>
        <w:pStyle w:val="Heading2"/>
        <w:spacing w:after="160" w:before="320"/>
      </w:pPr>
      <w:r>
        <w:rPr>
          <w:rFonts w:ascii="Times New Roman" w:cs="Times New Roman" w:eastAsia="Times New Roman" w:hAnsi="Times New Roman"/>
          <w:b/>
          <w:bCs/>
          <w:color w:val="1F1F1F"/>
          <w:sz w:val="24"/>
          <w:szCs w:val="24"/>
        </w:rPr>
        <w:t xml:space="preserve">3.6 Human-in-the-Loop Validation Design</w:t>
      </w:r>
    </w:p>
    <w:p>
      <w:pPr>
        <w:spacing w:after="200" w:line="300"/>
        <w:jc w:val="both"/>
      </w:pPr>
      <w:r>
        <w:rPr>
          <w:rFonts w:ascii="Times New Roman" w:cs="Times New Roman" w:eastAsia="Times New Roman" w:hAnsi="Times New Roman"/>
          <w:b w:val="false"/>
          <w:bCs w:val="false"/>
          <w:i w:val="false"/>
          <w:iCs w:val="false"/>
          <w:sz w:val="22"/>
          <w:szCs w:val="22"/>
        </w:rPr>
        <w:t xml:space="preserve">To satisfy the proposal's requirement that automated scores be compared against human-evaluated scores, and to enable the inter-rater agreement analysis the proposal separately specifies, a stratified subsample of thirty prompts was selected for independent human scoring by three raters. The sample is stratified along two dimensions simultaneously — category and difficulty — with exactly one Easy, one Medium, and one Hard prompt drawn at random from each of the ten categories, guaranteeing every difficulty tier is represented within every category.</w:t>
      </w:r>
    </w:p>
    <w:p>
      <w:pPr>
        <w:spacing w:after="200" w:line="300"/>
        <w:jc w:val="both"/>
      </w:pPr>
      <w:r>
        <w:rPr>
          <w:rFonts w:ascii="Times New Roman" w:cs="Times New Roman" w:eastAsia="Times New Roman" w:hAnsi="Times New Roman"/>
          <w:b w:val="false"/>
          <w:bCs w:val="false"/>
          <w:i w:val="false"/>
          <w:iCs w:val="false"/>
          <w:sz w:val="22"/>
          <w:szCs w:val="22"/>
        </w:rPr>
        <w:t xml:space="preserve">The twenty stochastic-sample prompts were explicitly excluded from the eligible pool prior to sampling, rather than merely avoided by chance, for two reasons. First, the stochastic sample was selected for a distinct purpose and does not itself provide full difficulty coverage in every category; two categories contain stochastic-sample prompts only at the Hard difficulty tier. Second, the stochastic sample's deliberately atypical, open-ended character would have biased a validation sample intended to be representative of the dataset as a whole. A fixed random seed was used for the stratified sampling procedure, so the resulting thirty-prompt sample is fully reproducible.</w:t>
      </w:r>
    </w:p>
    <w:p>
      <w:pPr>
        <w:spacing w:after="200" w:line="300"/>
        <w:jc w:val="both"/>
      </w:pPr>
      <w:r>
        <w:rPr>
          <w:rFonts w:ascii="Times New Roman" w:cs="Times New Roman" w:eastAsia="Times New Roman" w:hAnsi="Times New Roman"/>
          <w:b w:val="false"/>
          <w:bCs w:val="false"/>
          <w:i w:val="false"/>
          <w:iCs w:val="false"/>
          <w:sz w:val="22"/>
          <w:szCs w:val="22"/>
        </w:rPr>
        <w:t xml:space="preserve">Each of the three raters received an independent scoring file and a shared reference document displaying the sampled prompts and corresponding model responses, with the automated judge's existing scores withheld from both, so human judgment would not be anchored to the automated result under evaluation. Raters scored all ninety items — thirty prompts across three providers — independently, without visibility into either the judge's scores or one another's scores, using the identical rubric anchors in Table I.</w:t>
      </w:r>
    </w:p>
    <w:p>
      <w:pPr>
        <w:spacing w:after="200" w:line="300"/>
        <w:jc w:val="both"/>
      </w:pPr>
      <w:r>
        <w:rPr>
          <w:rFonts w:ascii="Times New Roman" w:cs="Times New Roman" w:eastAsia="Times New Roman" w:hAnsi="Times New Roman"/>
          <w:b w:val="false"/>
          <w:bCs w:val="false"/>
          <w:i w:val="false"/>
          <w:iCs w:val="false"/>
          <w:sz w:val="22"/>
          <w:szCs w:val="22"/>
        </w:rPr>
        <w:t xml:space="preserve">This blind-scoring design directly addresses a specific validity threat: anchoring bias, a well-documented phenomenon in which a human evaluator's independent judgment is measurably pulled toward a previously seen reference value, even when that evaluator consciously attempts to disregard it. Had the automated judge's scores been visible to human raters during scoring, any resulting agreement between human and automated scores would be confounded with this anchoring effect, making it impossible to distinguish genuine convergent judgment from raters simply gravitating toward a number they had already seen. By withholding the judge's scores entirely throughout the scoring process, the agreement statistics reported in Section 5.5 can be interpreted as evidence of genuine, independent convergence between human and automated judgment, rather than an artifact of the measurement procedure itself.</w:t>
      </w:r>
    </w:p>
    <w:p>
      <w:pPr>
        <w:spacing w:after="100" w:before="200"/>
        <w:jc w:val="center"/>
      </w:pPr>
      <w:r>
        <w:drawing>
          <wp:inline distT="0" distB="0" distL="0" distR="0">
            <wp:extent cx="5524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324100"/>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3. Human-in-the-loop validation protocol: the stratified sample is drawn independent of the stochastic reliability sample, then scored blindly by three raters with no visibility into the judge's scores or each other's in-progress scores.</w:t>
      </w:r>
    </w:p>
    <w:p>
      <w:pPr>
        <w:pStyle w:val="Heading2"/>
        <w:spacing w:after="160" w:before="320"/>
      </w:pPr>
      <w:r>
        <w:rPr>
          <w:rFonts w:ascii="Times New Roman" w:cs="Times New Roman" w:eastAsia="Times New Roman" w:hAnsi="Times New Roman"/>
          <w:b/>
          <w:bCs/>
          <w:color w:val="1F1F1F"/>
          <w:sz w:val="24"/>
          <w:szCs w:val="24"/>
        </w:rPr>
        <w:t xml:space="preserve">3.7 Statistical Methods</w:t>
      </w:r>
    </w:p>
    <w:p>
      <w:pPr>
        <w:spacing w:after="200" w:line="300"/>
        <w:jc w:val="both"/>
      </w:pPr>
      <w:r>
        <w:rPr>
          <w:rFonts w:ascii="Times New Roman" w:cs="Times New Roman" w:eastAsia="Times New Roman" w:hAnsi="Times New Roman"/>
          <w:b w:val="false"/>
          <w:bCs w:val="false"/>
          <w:i w:val="false"/>
          <w:iCs w:val="false"/>
          <w:sz w:val="22"/>
          <w:szCs w:val="22"/>
        </w:rPr>
        <w:t xml:space="preserve">Reliability was quantified for each stochastic-sample prompt as the coefficient of variation, the ratio of the standard deviation to the mean of that prompt's five scored runs, computed separately per provider.</w:t>
      </w:r>
    </w:p>
    <w:p>
      <w:pPr>
        <w:spacing w:after="160" w:before="160"/>
        <w:jc w:val="center"/>
      </w:pPr>
      <w:r>
        <w:rPr>
          <w:rFonts w:ascii="Cambria Math" w:cs="Cambria Math" w:eastAsia="Cambria Math" w:hAnsi="Cambria Math"/>
          <w:i/>
          <w:iCs/>
          <w:sz w:val="24"/>
          <w:szCs w:val="24"/>
        </w:rPr>
        <w:t xml:space="preserve">CV = σ / μ</w:t>
      </w:r>
    </w:p>
    <w:p>
      <w:pPr>
        <w:spacing w:after="200" w:line="300"/>
        <w:jc w:val="both"/>
      </w:pPr>
      <w:r>
        <w:rPr>
          <w:rFonts w:ascii="Times New Roman" w:cs="Times New Roman" w:eastAsia="Times New Roman" w:hAnsi="Times New Roman"/>
          <w:b w:val="false"/>
          <w:bCs w:val="false"/>
          <w:i w:val="false"/>
          <w:iCs w:val="false"/>
          <w:sz w:val="22"/>
          <w:szCs w:val="22"/>
        </w:rPr>
        <w:t xml:space="preserve">Confidence intervals on each provider's mean composite score were constructed at the 95% level using the Student's t-distribution rather than the normal approximation:</w:t>
      </w:r>
    </w:p>
    <w:p>
      <w:pPr>
        <w:spacing w:after="160" w:before="160"/>
        <w:jc w:val="center"/>
      </w:pPr>
      <w:r>
        <w:rPr>
          <w:rFonts w:ascii="Cambria Math" w:cs="Cambria Math" w:eastAsia="Cambria Math" w:hAnsi="Cambria Math"/>
          <w:i/>
          <w:iCs/>
          <w:sz w:val="24"/>
          <w:szCs w:val="24"/>
        </w:rPr>
        <w:t xml:space="preserve">CI₉₅ = x̄ ± t₀.₀₂₅,df × (s / sqrt(n))</w:t>
      </w:r>
    </w:p>
    <w:p>
      <w:pPr>
        <w:spacing w:after="200" w:line="300"/>
        <w:jc w:val="both"/>
      </w:pPr>
      <w:r>
        <w:rPr>
          <w:rFonts w:ascii="Times New Roman" w:cs="Times New Roman" w:eastAsia="Times New Roman" w:hAnsi="Times New Roman"/>
          <w:b w:val="false"/>
          <w:bCs w:val="false"/>
          <w:i w:val="false"/>
          <w:iCs w:val="false"/>
          <w:sz w:val="22"/>
          <w:szCs w:val="22"/>
        </w:rPr>
        <w:t xml:space="preserve">Hypothesis tests comparing group means used Welch's t-test, which does not assume equal population variances between compared groups. The exact two-tailed p-value was computed via the regularized incomplete beta function relationship to the Student's t-distribution, rather than a normal-distribution approximation, so significance conclusions remain accurate at moderate per-category sample sizes (n = 22 per category, per provider):</w:t>
      </w:r>
    </w:p>
    <w:p>
      <w:pPr>
        <w:spacing w:after="160" w:before="160"/>
        <w:jc w:val="center"/>
      </w:pPr>
      <w:r>
        <w:rPr>
          <w:rFonts w:ascii="Cambria Math" w:cs="Cambria Math" w:eastAsia="Cambria Math" w:hAnsi="Cambria Math"/>
          <w:i/>
          <w:iCs/>
          <w:sz w:val="24"/>
          <w:szCs w:val="24"/>
        </w:rPr>
        <w:t xml:space="preserve">t = (x̄₁ − x̄₂) / sqrt(s1²/n1 + s2²/n2)</w:t>
      </w:r>
    </w:p>
    <w:p>
      <w:pPr>
        <w:spacing w:after="200" w:line="300"/>
        <w:jc w:val="both"/>
      </w:pPr>
      <w:r>
        <w:rPr>
          <w:rFonts w:ascii="Times New Roman" w:cs="Times New Roman" w:eastAsia="Times New Roman" w:hAnsi="Times New Roman"/>
          <w:b w:val="false"/>
          <w:bCs w:val="false"/>
          <w:i w:val="false"/>
          <w:iCs w:val="false"/>
          <w:sz w:val="22"/>
          <w:szCs w:val="22"/>
        </w:rPr>
        <w:t xml:space="preserve">Effect size was quantified using Cohen's d, interpreted using the conventional thresholds of 0.2, 0.5, and 0.8 for small, medium, and large effects respectively:</w:t>
      </w:r>
    </w:p>
    <w:p>
      <w:pPr>
        <w:spacing w:after="160" w:before="160"/>
        <w:jc w:val="center"/>
      </w:pPr>
      <w:r>
        <w:rPr>
          <w:rFonts w:ascii="Cambria Math" w:cs="Cambria Math" w:eastAsia="Cambria Math" w:hAnsi="Cambria Math"/>
          <w:i/>
          <w:iCs/>
          <w:sz w:val="24"/>
          <w:szCs w:val="24"/>
        </w:rPr>
        <w:t xml:space="preserve">d = (x̄₁ − x̄₂) / s_pooled</w:t>
      </w:r>
    </w:p>
    <w:p>
      <w:pPr>
        <w:spacing w:after="200" w:line="300"/>
        <w:jc w:val="both"/>
      </w:pPr>
      <w:r>
        <w:rPr>
          <w:rFonts w:ascii="Times New Roman" w:cs="Times New Roman" w:eastAsia="Times New Roman" w:hAnsi="Times New Roman"/>
          <w:b w:val="false"/>
          <w:bCs w:val="false"/>
          <w:i w:val="false"/>
          <w:iCs w:val="false"/>
          <w:sz w:val="22"/>
          <w:szCs w:val="22"/>
        </w:rPr>
        <w:t xml:space="preserve">Bivariate relationships were quantified using Pearson's correlation coefficient, and a simple ordinary least squares regression was fitted predicting total score from a numeric encoding of difficulty tier (Easy=1, Medium=2, Hard=3), reporting slope, intercept, and the coefficient of determination R².</w:t>
      </w:r>
    </w:p>
    <w:p>
      <w:pPr>
        <w:spacing w:after="200" w:line="300"/>
        <w:jc w:val="both"/>
      </w:pPr>
      <w:r>
        <w:rPr>
          <w:rFonts w:ascii="Times New Roman" w:cs="Times New Roman" w:eastAsia="Times New Roman" w:hAnsi="Times New Roman"/>
          <w:b w:val="false"/>
          <w:bCs w:val="false"/>
          <w:i w:val="false"/>
          <w:iCs w:val="false"/>
          <w:sz w:val="22"/>
          <w:szCs w:val="22"/>
        </w:rPr>
        <w:t xml:space="preserve">Agreement between human raters and the automated judge, and between raters themselves, was quantified using exact-match rate, within-one-point rate, Pearson correlation, and Cohen's kappa, in both unweighted and quadratic-weighted form. The unweighted variant treats every disagreement identically regardless of magnitude; the quadratic-weighted variant, more appropriate for the ordinal 0–5 scale used throughout, penalizes a disagreement of five points more heavily than one of a single point.</w:t>
      </w:r>
    </w:p>
    <w:p>
      <w:pPr>
        <w:spacing w:after="160" w:before="160"/>
        <w:jc w:val="center"/>
      </w:pPr>
      <w:r>
        <w:rPr>
          <w:rFonts w:ascii="Cambria Math" w:cs="Cambria Math" w:eastAsia="Cambria Math" w:hAnsi="Cambria Math"/>
          <w:i/>
          <w:iCs/>
          <w:sz w:val="24"/>
          <w:szCs w:val="24"/>
        </w:rPr>
        <w:t xml:space="preserve">κ = (p₀ − pₑ) / (1 − pₑ)</w:t>
      </w:r>
    </w:p>
    <w:p>
      <w:pPr>
        <w:spacing w:after="200" w:line="300"/>
        <w:jc w:val="both"/>
      </w:pPr>
      <w:r>
        <w:rPr>
          <w:rFonts w:ascii="Times New Roman" w:cs="Times New Roman" w:eastAsia="Times New Roman" w:hAnsi="Times New Roman"/>
          <w:b w:val="false"/>
          <w:bCs w:val="false"/>
          <w:i w:val="false"/>
          <w:iCs w:val="false"/>
          <w:sz w:val="22"/>
          <w:szCs w:val="22"/>
        </w:rPr>
        <w:t xml:space="preserve">where p₀ is observed agreement and pₑ is the agreement expected under chance given each rater's marginal score distribution.</w:t>
      </w:r>
    </w:p>
    <w:p>
      <w:pPr>
        <w:pStyle w:val="Heading3"/>
        <w:spacing w:after="120" w:before="240"/>
      </w:pPr>
      <w:r>
        <w:rPr>
          <w:rFonts w:ascii="Times New Roman" w:cs="Times New Roman" w:eastAsia="Times New Roman" w:hAnsi="Times New Roman"/>
          <w:b/>
          <w:bCs/>
          <w:i/>
          <w:iCs/>
          <w:color w:val="1F1F1F"/>
          <w:sz w:val="22"/>
          <w:szCs w:val="22"/>
        </w:rPr>
        <w:t xml:space="preserve">Worked Example: Confidence Interval Calculation</w:t>
      </w:r>
    </w:p>
    <w:p>
      <w:pPr>
        <w:spacing w:after="200" w:line="300"/>
        <w:jc w:val="both"/>
      </w:pPr>
      <w:r>
        <w:rPr>
          <w:rFonts w:ascii="Times New Roman" w:cs="Times New Roman" w:eastAsia="Times New Roman" w:hAnsi="Times New Roman"/>
          <w:b w:val="false"/>
          <w:bCs w:val="false"/>
          <w:i w:val="false"/>
          <w:iCs w:val="false"/>
          <w:sz w:val="22"/>
          <w:szCs w:val="22"/>
        </w:rPr>
        <w:t xml:space="preserve">To make the confidence-interval formula above concrete, this example works through the actual calculation underlying the Gemini result reported in Table V (Section 5.2): a mean composite score of 11.0273 across n = 220 responses, with a reported 95% confidence interval of [10.4632, 11.5913]. The margin of error is the difference between the upper bound and the mean:</w:t>
      </w:r>
    </w:p>
    <w:p>
      <w:pPr>
        <w:spacing w:after="160" w:before="160"/>
        <w:jc w:val="center"/>
      </w:pPr>
      <w:r>
        <w:rPr>
          <w:rFonts w:ascii="Cambria Math" w:cs="Cambria Math" w:eastAsia="Cambria Math" w:hAnsi="Cambria Math"/>
          <w:i/>
          <w:iCs/>
          <w:sz w:val="24"/>
          <w:szCs w:val="24"/>
        </w:rPr>
        <w:t xml:space="preserve">Margin = 11.5913 − 11.0273 = 0.5640</w:t>
      </w:r>
    </w:p>
    <w:p>
      <w:pPr>
        <w:spacing w:after="200" w:line="300"/>
        <w:jc w:val="both"/>
      </w:pPr>
      <w:r>
        <w:rPr>
          <w:rFonts w:ascii="Times New Roman" w:cs="Times New Roman" w:eastAsia="Times New Roman" w:hAnsi="Times New Roman"/>
          <w:b w:val="false"/>
          <w:bCs w:val="false"/>
          <w:i w:val="false"/>
          <w:iCs w:val="false"/>
          <w:sz w:val="22"/>
          <w:szCs w:val="22"/>
        </w:rPr>
        <w:t xml:space="preserve">With a sample size of 220, the degrees of freedom (n − 1 = 219) place the t-critical value for a 95% two-tailed interval very close to the large-sample normal approximation of 1.96. Rearranging the confidence-interval formula to solve for the standard error gives:</w:t>
      </w:r>
    </w:p>
    <w:p>
      <w:pPr>
        <w:spacing w:after="160" w:before="160"/>
        <w:jc w:val="center"/>
      </w:pPr>
      <w:r>
        <w:rPr>
          <w:rFonts w:ascii="Cambria Math" w:cs="Cambria Math" w:eastAsia="Cambria Math" w:hAnsi="Cambria Math"/>
          <w:i/>
          <w:iCs/>
          <w:sz w:val="24"/>
          <w:szCs w:val="24"/>
        </w:rPr>
        <w:t xml:space="preserve">SE = Margin / t₀.₀₂₅ ≈ 0.5640 / 1.96 ≈ 0.2878</w:t>
      </w:r>
    </w:p>
    <w:p>
      <w:pPr>
        <w:spacing w:after="200" w:line="300"/>
        <w:jc w:val="both"/>
      </w:pPr>
      <w:r>
        <w:rPr>
          <w:rFonts w:ascii="Times New Roman" w:cs="Times New Roman" w:eastAsia="Times New Roman" w:hAnsi="Times New Roman"/>
          <w:b w:val="false"/>
          <w:bCs w:val="false"/>
          <w:i w:val="false"/>
          <w:iCs w:val="false"/>
          <w:sz w:val="22"/>
          <w:szCs w:val="22"/>
        </w:rPr>
        <w:t xml:space="preserve">Since the standard error equals the sample standard deviation divided by the square root of the sample size, the implied standard deviation of Gemini's 220 individual scores can be recovered:</w:t>
      </w:r>
    </w:p>
    <w:p>
      <w:pPr>
        <w:spacing w:after="160" w:before="160"/>
        <w:jc w:val="center"/>
      </w:pPr>
      <w:r>
        <w:rPr>
          <w:rFonts w:ascii="Cambria Math" w:cs="Cambria Math" w:eastAsia="Cambria Math" w:hAnsi="Cambria Math"/>
          <w:i/>
          <w:iCs/>
          <w:sz w:val="24"/>
          <w:szCs w:val="24"/>
        </w:rPr>
        <w:t xml:space="preserve">s = SE × sqrt(n) ≈ 0.2878 × sqrt(220) ≈ 0.2878 × 14.83 ≈ 4.27</w:t>
      </w:r>
    </w:p>
    <w:p>
      <w:pPr>
        <w:spacing w:after="200" w:line="300"/>
        <w:jc w:val="both"/>
      </w:pPr>
      <w:r>
        <w:rPr>
          <w:rFonts w:ascii="Times New Roman" w:cs="Times New Roman" w:eastAsia="Times New Roman" w:hAnsi="Times New Roman"/>
          <w:b w:val="false"/>
          <w:bCs w:val="false"/>
          <w:i w:val="false"/>
          <w:iCs w:val="false"/>
          <w:sz w:val="22"/>
          <w:szCs w:val="22"/>
        </w:rPr>
        <w:t xml:space="preserve">This recovered standard deviation of approximately 4.27 points is consistent with the scale of the underlying scoring rubric, where individual prompt totals range from 0 to either 10 or 20 depending on difficulty tier (Section 3.2), confirming that the reported confidence interval in Table V is internally consistent with the expected variability of a composite score built from many individually-scored criteria of this type.</w:t>
      </w:r>
    </w:p>
    <w:p>
      <w:pPr>
        <w:pStyle w:val="Heading3"/>
        <w:spacing w:after="120" w:before="240"/>
      </w:pPr>
      <w:r>
        <w:rPr>
          <w:rFonts w:ascii="Times New Roman" w:cs="Times New Roman" w:eastAsia="Times New Roman" w:hAnsi="Times New Roman"/>
          <w:b/>
          <w:bCs/>
          <w:i/>
          <w:iCs/>
          <w:color w:val="1F1F1F"/>
          <w:sz w:val="22"/>
          <w:szCs w:val="22"/>
        </w:rPr>
        <w:t xml:space="preserve">Worked Example: Recovering Pooled Standard Deviation from Cohen's d</w:t>
      </w:r>
    </w:p>
    <w:p>
      <w:pPr>
        <w:spacing w:after="200" w:line="300"/>
        <w:jc w:val="both"/>
      </w:pPr>
      <w:r>
        <w:rPr>
          <w:rFonts w:ascii="Times New Roman" w:cs="Times New Roman" w:eastAsia="Times New Roman" w:hAnsi="Times New Roman"/>
          <w:b w:val="false"/>
          <w:bCs w:val="false"/>
          <w:i w:val="false"/>
          <w:iCs w:val="false"/>
          <w:sz w:val="22"/>
          <w:szCs w:val="22"/>
        </w:rPr>
        <w:t xml:space="preserve">A second worked example illustrates the relationship between a reported effect size and the underlying group statistics, using the Gemini H1 comparison reported in Table VI (Section 5.3): a Multi-step Reasoning mean of 9.6818 against a Knowledge Retrieval mean of 9.2273, with a reported Cohen's d of 0.4739. Rearranging the effect-size formula in Section 3.7 to solve for the pooled standard deviation makes the practical meaning of this specific d value concrete:</w:t>
      </w:r>
    </w:p>
    <w:p>
      <w:pPr>
        <w:spacing w:after="160" w:before="160"/>
        <w:jc w:val="center"/>
      </w:pPr>
      <w:r>
        <w:rPr>
          <w:rFonts w:ascii="Cambria Math" w:cs="Cambria Math" w:eastAsia="Cambria Math" w:hAnsi="Cambria Math"/>
          <w:i/>
          <w:iCs/>
          <w:sz w:val="24"/>
          <w:szCs w:val="24"/>
        </w:rPr>
        <w:t xml:space="preserve">Difference = 9.6818 − 9.2273 = 0.4545</w:t>
      </w:r>
    </w:p>
    <w:p>
      <w:pPr>
        <w:spacing w:after="160" w:before="160"/>
        <w:jc w:val="center"/>
      </w:pPr>
      <w:r>
        <w:rPr>
          <w:rFonts w:ascii="Cambria Math" w:cs="Cambria Math" w:eastAsia="Cambria Math" w:hAnsi="Cambria Math"/>
          <w:i/>
          <w:iCs/>
          <w:sz w:val="24"/>
          <w:szCs w:val="24"/>
        </w:rPr>
        <w:t xml:space="preserve">s_pooled = Difference / d ≈ 0.4545 / 0.4739 ≈ 0.9591</w:t>
      </w:r>
    </w:p>
    <w:p>
      <w:pPr>
        <w:spacing w:after="200" w:line="300"/>
        <w:jc w:val="both"/>
      </w:pPr>
      <w:r>
        <w:rPr>
          <w:rFonts w:ascii="Times New Roman" w:cs="Times New Roman" w:eastAsia="Times New Roman" w:hAnsi="Times New Roman"/>
          <w:b w:val="false"/>
          <w:bCs w:val="false"/>
          <w:i w:val="false"/>
          <w:iCs w:val="false"/>
          <w:sz w:val="22"/>
          <w:szCs w:val="22"/>
        </w:rPr>
        <w:t xml:space="preserve">This confirms that the observed 0.4545-point mean difference corresponds to roughly half of one pooled standard deviation (0.9591), which is precisely what the small-to-medium d = 0.4739 already communicates in standardized terms: a real but modest difference relative to the natural spread of scores within each group, consistent with this comparison not reaching statistical significance at this sample size (Section 5.3) despite the numerically consistent direction of the effect. This concrete recovery of the underlying scale illustrates why effect size and statistical significance are reported as complementary, not interchangeable, pieces of evidence throughout this report, as discussed in Section 2.4.</w:t>
      </w:r>
    </w:p>
    <w:p>
      <w:pPr>
        <w:pStyle w:val="Heading2"/>
        <w:spacing w:after="160" w:before="320"/>
      </w:pPr>
      <w:r>
        <w:rPr>
          <w:rFonts w:ascii="Times New Roman" w:cs="Times New Roman" w:eastAsia="Times New Roman" w:hAnsi="Times New Roman"/>
          <w:b/>
          <w:bCs/>
          <w:color w:val="1F1F1F"/>
          <w:sz w:val="24"/>
          <w:szCs w:val="24"/>
        </w:rPr>
        <w:t xml:space="preserve">3.8 Dataset Schema and Data Model</w:t>
      </w:r>
    </w:p>
    <w:p>
      <w:pPr>
        <w:spacing w:after="200" w:line="300"/>
        <w:jc w:val="both"/>
      </w:pPr>
      <w:r>
        <w:rPr>
          <w:rFonts w:ascii="Times New Roman" w:cs="Times New Roman" w:eastAsia="Times New Roman" w:hAnsi="Times New Roman"/>
          <w:i w:val="false"/>
          <w:iCs w:val="false"/>
          <w:sz w:val="22"/>
          <w:szCs w:val="22"/>
        </w:rPr>
        <w:t xml:space="preserve">Every prompt in the 220-item dataset is represented as a structured record with eight fields, each serving a specific role in the pipeline described across Sections 3.3 through 3.6. Table II documents this schema precisely, since the schema design itself embodies several of the methodological decisions discussed elsewhere in this report.</w:t>
      </w:r>
    </w:p>
    <w:p>
      <w:pPr>
        <w:spacing w:after="240" w:before="80"/>
        <w:jc w:val="center"/>
      </w:pPr>
      <w:r>
        <w:rPr>
          <w:rFonts w:ascii="Times New Roman" w:cs="Times New Roman" w:eastAsia="Times New Roman" w:hAnsi="Times New Roman"/>
          <w:i/>
          <w:iCs/>
          <w:color w:val="444444"/>
          <w:sz w:val="20"/>
          <w:szCs w:val="20"/>
        </w:rPr>
        <w:t xml:space="preserve">TABLE II. PROMPT RECORD SCHEMA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600"/>
      </w:tblGrid>
      <w:tr>
        <w:trPr>
          <w:tblHeader/>
        </w:trPr>
        <w:tc>
          <w:tcPr>
            <w:tcW w:type="dxa" w:w="2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Field</w:t>
            </w:r>
          </w:p>
        </w:tc>
        <w:tc>
          <w:tcPr>
            <w:tcW w:type="dxa" w:w="1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Type</w:t>
            </w:r>
          </w:p>
        </w:tc>
        <w:tc>
          <w:tcPr>
            <w:tcW w:type="dxa" w:w="5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Purpose</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id</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Unique identifier (P001–P220), used to correlate a prompt across raw collection, scoring, and human-validation files.</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category</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One of the ten capability categories defined in Appendix C; the primary axis of the study's multi-dimensional design.</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difficulty</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Easy, Medium, or Hard; the secondary stratification axis, used both in dataset construction and in the two-dimensional human-validation sampling described in Section 3.6.</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prompt</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The verbatim text submitted to each provider; held identical across all three providers to ensure a controlled comparison.</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evaluation_criteria</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Newline-delimited list of per-prompt scoring criteria, each following the pattern “Name: 0-5 (description)”, parsed programmatically before being sent to the judge.</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max_score</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Sum of the maximum possible score across all criteria for this prompt (10 for standard prompts, 20 for Hard-tier multi-module prompts with four criteria).</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stochastic_sample</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Boolean</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Flags the twenty prompts selected for 5x repetition under the Reliability requirement (Section 3.3), and is the field checked to guarantee this sample's exclusion from the human-validation pool (Section 3.6).</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repeat_count</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Integer</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 for standard prompts, 5 for stochastic-sample prompts; consumed directly by the runner's execution loop (Section 3.4) to determine how many times a given prompt is submitted.</w:t>
            </w:r>
          </w:p>
        </w:tc>
      </w:tr>
    </w:tbl>
    <w:p>
      <w:pPr>
        <w:spacing w:after="200" w:line="300"/>
        <w:jc w:val="both"/>
      </w:pPr>
      <w:r>
        <w:rPr>
          <w:rFonts w:ascii="Times New Roman" w:cs="Times New Roman" w:eastAsia="Times New Roman" w:hAnsi="Times New Roman"/>
          <w:i w:val="false"/>
          <w:iCs w:val="false"/>
          <w:sz w:val="22"/>
          <w:szCs w:val="22"/>
        </w:rPr>
        <w:t xml:space="preserve">This schema design reflects a specific engineering principle followed throughout the project: every downstream script — the three provider runners, the scoring pipeline, the results-consolidation utilities, and the human-validation sampling tool — reads the same canonical prompt file rather than maintaining separate, potentially divergent copies of prompt metadata. A change to a single prompt's evaluation criteria, for instance, propagates automatically and consistently to every stage of the pipeline without requiring a corresponding manual update in multiple locations, eliminating an entire class of consistency defects that a more ad hoc, per-script data representation would risk introducing.</w:t>
      </w:r>
    </w:p>
    <w:p>
      <w:pPr>
        <w:pStyle w:val="Heading2"/>
        <w:spacing w:after="160" w:before="320"/>
      </w:pPr>
      <w:r>
        <w:rPr>
          <w:rFonts w:ascii="Times New Roman" w:cs="Times New Roman" w:eastAsia="Times New Roman" w:hAnsi="Times New Roman"/>
          <w:b/>
          <w:bCs/>
          <w:color w:val="1F1F1F"/>
          <w:sz w:val="24"/>
          <w:szCs w:val="24"/>
        </w:rPr>
        <w:t xml:space="preserve">3.9 Project Execution Timeline</w:t>
      </w:r>
    </w:p>
    <w:p>
      <w:pPr>
        <w:spacing w:after="200" w:line="300"/>
        <w:jc w:val="both"/>
      </w:pPr>
      <w:r>
        <w:rPr>
          <w:rFonts w:ascii="Times New Roman" w:cs="Times New Roman" w:eastAsia="Times New Roman" w:hAnsi="Times New Roman"/>
          <w:i w:val="false"/>
          <w:iCs w:val="false"/>
          <w:sz w:val="22"/>
          <w:szCs w:val="22"/>
        </w:rPr>
        <w:t xml:space="preserve">This study was executed as a phased, eight-week research process, with each week's output serving as a verified precondition for the next rather than as an independent, isolable deliverable. Table III summarizes this phased structure.</w:t>
      </w:r>
    </w:p>
    <w:p>
      <w:pPr>
        <w:spacing w:after="240" w:before="80"/>
        <w:jc w:val="center"/>
      </w:pPr>
      <w:r>
        <w:rPr>
          <w:rFonts w:ascii="Times New Roman" w:cs="Times New Roman" w:eastAsia="Times New Roman" w:hAnsi="Times New Roman"/>
          <w:i/>
          <w:iCs/>
          <w:color w:val="444444"/>
          <w:sz w:val="20"/>
          <w:szCs w:val="20"/>
        </w:rPr>
        <w:t xml:space="preserve">TABLE III. PROJECT EXECUTION PHASES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400"/>
      </w:tblGrid>
      <w:tr>
        <w:trPr>
          <w:tblHeader/>
        </w:trPr>
        <w:tc>
          <w:tcPr>
            <w:tcW w:type="dxa" w:w="1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Week</w:t>
            </w:r>
          </w:p>
        </w:tc>
        <w:tc>
          <w:tcPr>
            <w:tcW w:type="dxa" w:w="3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Phase</w:t>
            </w:r>
          </w:p>
        </w:tc>
        <w:tc>
          <w:tcPr>
            <w:tcW w:type="dxa" w:w="5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Primary Output</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Framework Design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Repository structure, master weighted rubric, three research hypotheses</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Automation Pipeline</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Verified throttling, backoff, and resume logic against a live test provider</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3</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Dataset Curation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220-prompt, ten-category dataset, structurally validated</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4</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Multi-Provider Collection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660+ raw responses across three providers, with temperature and latency instrumentation</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5</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Automated Scoring</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Every collected response scored against explicit rubric anchors</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Human-in-the-Loop Validation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Three-rater stratified validation, agreement statistics computed</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7</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Statistical Analysis</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Reliability, confidence intervals, hypothesis tests, correlation, regression</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8</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Final Report Compilation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This document</w:t>
            </w:r>
          </w:p>
        </w:tc>
      </w:tr>
    </w:tbl>
    <w:p>
      <w:pPr>
        <w:spacing w:after="200" w:line="300"/>
        <w:jc w:val="both"/>
      </w:pPr>
      <w:r>
        <w:rPr>
          <w:rFonts w:ascii="Times New Roman" w:cs="Times New Roman" w:eastAsia="Times New Roman" w:hAnsi="Times New Roman"/>
          <w:i w:val="false"/>
          <w:iCs w:val="false"/>
          <w:sz w:val="22"/>
          <w:szCs w:val="22"/>
        </w:rPr>
        <w:t xml:space="preserve">A methodologically significant feature of this phased structure is that Weeks 3 through 5 were each revisited and substantively reworked partway through the project, after a review against the originating proposal's exact specification revealed that the dataset in active use covered only five of the ten required categories. Rather than proceeding with the incomplete dataset and noting the discrepancy as a limitation, the dataset was rebuilt to full ten-category coverage before any further data collection or scoring proceeded, and Weeks 4 and 5's automation and scoring pipelines were correspondingly rebuilt against the corrected dataset. This decision to halt and rework rather than proceed and caveat is itself a methodological choice worth making explicit: an evaluation framework's results are only as trustworthy as the dataset underlying them, and a partial, uncorrected dataset would have undermined every downstream statistical conclusion in Section 5, regardless of how rigorously those downstream analyses were themselves conducted.</w:t>
      </w:r>
    </w:p>
    <w:p>
      <w:pPr>
        <w:pStyle w:val="Heading2"/>
        <w:spacing w:after="160" w:before="320"/>
      </w:pPr>
      <w:r>
        <w:rPr>
          <w:rFonts w:ascii="Times New Roman" w:cs="Times New Roman" w:eastAsia="Times New Roman" w:hAnsi="Times New Roman"/>
          <w:b/>
          <w:bCs/>
          <w:color w:val="1F1F1F"/>
          <w:sz w:val="24"/>
          <w:szCs w:val="24"/>
        </w:rPr>
        <w:t xml:space="preserve">3.10 Prompt Authoring and Validation Process</w:t>
      </w:r>
    </w:p>
    <w:p>
      <w:pPr>
        <w:spacing w:after="200" w:line="300"/>
        <w:jc w:val="both"/>
      </w:pPr>
      <w:r>
        <w:rPr>
          <w:rFonts w:ascii="Times New Roman" w:cs="Times New Roman" w:eastAsia="Times New Roman" w:hAnsi="Times New Roman"/>
          <w:i w:val="false"/>
          <w:iCs w:val="false"/>
          <w:sz w:val="22"/>
          <w:szCs w:val="22"/>
        </w:rPr>
        <w:t xml:space="preserve">Each prompt in the dataset was authored following a consistent internal process to ensure adherence to the schema described in Section 3.8. For the five originally supervisor-provided categories, prompts were reviewed and trimmed to twenty-two per category (Section 3.1) while explicitly preserving the original proportional distribution across difficulty tiers, verified programmatically by counting Easy, Medium, and Hard prompts before and after trimming to confirm the proportions were not inadvertently skewed by the reduction. For the five newly authored categories, each candidate prompt was drafted alongside its evaluation criteria simultaneously rather than sequentially, since a criterion is only meaningful in relation to a specific prompt's exact requirements; a criterion such as Refusal of False Premise, for instance, was authored jointly with its corresponding Hallucination Stress Test prompt to ensure the criterion's wording precisely matched what that specific prompt was testing, rather than being drawn from a generic template applied uniformly across the category.</w:t>
      </w:r>
    </w:p>
    <w:p>
      <w:pPr>
        <w:spacing w:after="200" w:line="300"/>
        <w:jc w:val="both"/>
      </w:pPr>
      <w:r>
        <w:rPr>
          <w:rFonts w:ascii="Times New Roman" w:cs="Times New Roman" w:eastAsia="Times New Roman" w:hAnsi="Times New Roman"/>
          <w:i w:val="false"/>
          <w:iCs w:val="false"/>
          <w:sz w:val="22"/>
          <w:szCs w:val="22"/>
        </w:rPr>
        <w:t xml:space="preserve">Following authoring, every prompt record was passed through the structural validation utility described in Section 3.8, which verifies field completeness, category and difficulty membership against the expected enumerations, unique and correctly formatted identifiers, and, for the twenty designated stochastic-sample prompts, correct exclusion from any category-difficulty combination already fully represented elsewhere in that category's allocation. This validation step is deliberately mechanical and exhaustive rather than a manual spot-check, reflecting the same general design philosophy applied throughout this project's automation architecture (Section 3.4): a structural defect in even one of 220 prompt records, if undetected, could silently propagate into an incorrect category or difficulty count reported in Section 5, and automated, exhaustive validation is more reliable than manual review at catching this class of defect across a dataset of this size.</w:t>
      </w:r>
    </w:p>
    <w:p>
      <w:pPr>
        <w:pStyle w:val="Heading2"/>
        <w:spacing w:after="160" w:before="320"/>
      </w:pPr>
      <w:r>
        <w:rPr>
          <w:rFonts w:ascii="Times New Roman" w:cs="Times New Roman" w:eastAsia="Times New Roman" w:hAnsi="Times New Roman"/>
          <w:b/>
          <w:bCs/>
          <w:color w:val="1F1F1F"/>
          <w:sz w:val="24"/>
          <w:szCs w:val="24"/>
        </w:rPr>
        <w:t xml:space="preserve">3.11 Prompt Wording Sensitivity and Consistency Controls</w:t>
      </w:r>
    </w:p>
    <w:p>
      <w:pPr>
        <w:spacing w:after="200" w:line="300"/>
        <w:jc w:val="both"/>
      </w:pPr>
      <w:r>
        <w:rPr>
          <w:rFonts w:ascii="Times New Roman" w:cs="Times New Roman" w:eastAsia="Times New Roman" w:hAnsi="Times New Roman"/>
          <w:i w:val="false"/>
          <w:iCs w:val="false"/>
          <w:sz w:val="22"/>
          <w:szCs w:val="22"/>
        </w:rPr>
        <w:t xml:space="preserve">A known confound in LLM evaluation is prompt wording sensitivity: two semantically equivalent phrasings of the same underlying task can elicit measurably different response quality from the same model, independent of the model's actual capability on the task itself. This study controls for this confound in two ways. First, every prompt is submitted verbatim, character-for-character identical, to all three providers; no provider-specific rephrasing, prompt-engineering optimization, or few-shot exemplar tailoring is applied to any individual provider, ensuring that any observed score difference between providers reflects a genuine capability difference rather than one provider being given an easier-to-parse or more favorably-phrased version of the same underlying task.</w:t>
      </w:r>
    </w:p>
    <w:p>
      <w:pPr>
        <w:spacing w:after="200" w:line="300"/>
        <w:jc w:val="both"/>
      </w:pPr>
      <w:r>
        <w:rPr>
          <w:rFonts w:ascii="Times New Roman" w:cs="Times New Roman" w:eastAsia="Times New Roman" w:hAnsi="Times New Roman"/>
          <w:i w:val="false"/>
          <w:iCs w:val="false"/>
          <w:sz w:val="22"/>
          <w:szCs w:val="22"/>
        </w:rPr>
        <w:t xml:space="preserve">Second, the dataset's authoring process (Section 3.10) applied a consistent internal phrasing style across all 220 prompts — direct imperative or interrogative sentence structure, explicit rather than implied constraints, and consistent terminology for recurring concepts such as "NEGATIVE CONSTRAINT" in Instruction Following prompts — rather than allowing stylistic variation to accumulate across the five newly authored and five trimmed-and-preserved categories. This internal consistency reduces the risk that an observed category-level score difference (Section 5.3) is confounded with an incidental difference in prompt phrasing style between categories, rather than reflecting a genuine difference in the underlying capability being tested. A residual limitation, acknowledged directly here, is that this study does not include a dedicated paraphrase-robustness experiment — submitting multiple independently-worded versions of the same underlying task to quantify wording sensitivity directly — which would be a natural methodological extension for a follow-up study specifically targeting this confound.</w:t>
      </w:r>
    </w:p>
    <w:p>
      <w:pPr>
        <w:pStyle w:val="Heading2"/>
        <w:spacing w:after="160" w:before="320"/>
      </w:pPr>
      <w:r>
        <w:rPr>
          <w:rFonts w:ascii="Times New Roman" w:cs="Times New Roman" w:eastAsia="Times New Roman" w:hAnsi="Times New Roman"/>
          <w:b/>
          <w:bCs/>
          <w:color w:val="1F1F1F"/>
          <w:sz w:val="24"/>
          <w:szCs w:val="24"/>
        </w:rPr>
        <w:t xml:space="preserve">3.12 Capability as a Theoretical Construct: What This Study Does and Does Not Measure</w:t>
      </w:r>
    </w:p>
    <w:p>
      <w:pPr>
        <w:spacing w:after="200" w:line="300"/>
        <w:jc w:val="both"/>
      </w:pPr>
      <w:r>
        <w:rPr>
          <w:rFonts w:ascii="Times New Roman" w:cs="Times New Roman" w:eastAsia="Times New Roman" w:hAnsi="Times New Roman"/>
          <w:i w:val="false"/>
          <w:iCs w:val="false"/>
          <w:sz w:val="22"/>
          <w:szCs w:val="22"/>
        </w:rPr>
        <w:t xml:space="preserve">It is worth pausing to address, at a more foundational level than the specific validity threats catalogued in Section 6.3, what it means to claim that this study measures a model's "capability" at all. A language model's behavior on any given prompt is the output of a fixed, deterministic function of its weights and the sampled token sequence (modulated by temperature, per Section 3.3), not a direct readout of an underlying latent competence in the way a human test-taker's score is often informally interpreted as reflecting an underlying ability. When this study reports that Groq's model achieved a higher mean score on the Hallucination Stress Test category, the precise claim being made is narrower than "Groq's model is better at avoiding hallucination" in some context-free sense: it is that, under the specific sampling conditions, prompt phrasings, and rubric criteria used in this study, Groq's model's output distribution produced higher-scoring responses on these twenty-two specific prompts than Mistral's did, with the statistical machinery in Section 3.7 quantifying how confidently that pattern generalizes beyond the twenty-two prompts sampled to the broader category they were drawn to represent.</w:t>
      </w:r>
    </w:p>
    <w:p>
      <w:pPr>
        <w:spacing w:after="200" w:line="300"/>
        <w:jc w:val="both"/>
      </w:pPr>
      <w:r>
        <w:rPr>
          <w:rFonts w:ascii="Times New Roman" w:cs="Times New Roman" w:eastAsia="Times New Roman" w:hAnsi="Times New Roman"/>
          <w:i w:val="false"/>
          <w:iCs w:val="false"/>
          <w:sz w:val="22"/>
          <w:szCs w:val="22"/>
        </w:rPr>
        <w:t xml:space="preserve">This distinction is not merely semantic pedantry; it has a direct bearing on how the findings in Section 5 and Section 6 should be read. A capability claim of the narrower, more precise form above is falsifiable and empirically grounded in exactly the way this study's methodology supports: it can be checked by resampling additional prompts from the same category, as Section 8.1 recommends, and would be expected to replicate if the underlying pattern is genuine rather than an artifact of the specific twenty-two prompts sampled. A capability claim of the broader, context-free form — "Groq's model is simply better at avoiding hallucination" as a decontextualized fact about the model — is a stronger claim than this study's evidence actually supports, since it implicitly asserts generalization beyond this study's specific prompts, phrasing conventions, temperature setting, and scoring rubric, none of which this study's design permits verifying directly. Readers, and the authors of this report in Sections 6 and 8, are accordingly careful to frame findings in the narrower, empirically-grounded form throughout, even where the broader framing would read more naturally in prose.</w:t>
      </w:r>
    </w:p>
    <w:p>
      <w:r>
        <w:br w:type="page"/>
      </w:r>
    </w:p>
    <w:p>
      <w:pPr>
        <w:pStyle w:val="Heading1"/>
        <w:spacing w:after="240" w:before="480"/>
      </w:pPr>
      <w:r>
        <w:rPr>
          <w:rFonts w:ascii="Times New Roman" w:cs="Times New Roman" w:eastAsia="Times New Roman" w:hAnsi="Times New Roman"/>
          <w:b/>
          <w:bCs/>
          <w:color w:val="1F1F1F"/>
          <w:sz w:val="28"/>
          <w:szCs w:val="28"/>
        </w:rPr>
        <w:t xml:space="preserve">4. Experimental Setup and Operational Findings</w:t>
      </w:r>
    </w:p>
    <w:p>
      <w:pPr>
        <w:pStyle w:val="Heading2"/>
        <w:spacing w:after="160" w:before="320"/>
      </w:pPr>
      <w:r>
        <w:rPr>
          <w:rFonts w:ascii="Times New Roman" w:cs="Times New Roman" w:eastAsia="Times New Roman" w:hAnsi="Times New Roman"/>
          <w:b/>
          <w:bCs/>
          <w:color w:val="1F1F1F"/>
          <w:sz w:val="24"/>
          <w:szCs w:val="24"/>
        </w:rPr>
        <w:t xml:space="preserve">4.1 Environment and Reproducibility</w:t>
      </w:r>
    </w:p>
    <w:p>
      <w:pPr>
        <w:spacing w:after="200" w:line="300"/>
        <w:jc w:val="both"/>
      </w:pPr>
      <w:r>
        <w:rPr>
          <w:rFonts w:ascii="Times New Roman" w:cs="Times New Roman" w:eastAsia="Times New Roman" w:hAnsi="Times New Roman"/>
          <w:i w:val="false"/>
          <w:iCs w:val="false"/>
          <w:sz w:val="22"/>
          <w:szCs w:val="22"/>
        </w:rPr>
        <w:t xml:space="preserve">All data collection was executed within a project-local Python virtual environment, with dependencies pinned in a requirements specification to permit exact recreation of the software environment on any machine. A dedicated environment-capture utility records the operating system, CPU, RAM, Python interpreter version, installed SDK versions for each provider client library, network connectivity status, and the fixed model and temperature configuration in use, saved as a timestamped snapshot at the start of each data collection session. This satisfies the proposal's requirement that the controlled environment be explicitly documented, and provides a basis for investigating whether any observed run-to-run inconsistency might be attributable to a change in the underlying software environment rather than genuine model behavior.</w:t>
      </w:r>
    </w:p>
    <w:p>
      <w:pPr>
        <w:spacing w:after="200" w:line="300"/>
        <w:jc w:val="both"/>
      </w:pPr>
      <w:r>
        <w:rPr>
          <w:rFonts w:ascii="Times New Roman" w:cs="Times New Roman" w:eastAsia="Times New Roman" w:hAnsi="Times New Roman"/>
          <w:i w:val="false"/>
          <w:iCs w:val="false"/>
          <w:sz w:val="22"/>
          <w:szCs w:val="22"/>
        </w:rPr>
        <w:t xml:space="preserve">This environment-capture discipline is particularly relevant given the multi-session data collection procedure described in Section 4.3, necessitated by the Gemini provider's daily quota constraint: because full data collection spanned several distinct sessions rather than a single continuous run, a timestamped record of the exact software environment in use during each session provides the means to rule out an environmental change, rather than genuine model behavior, as the explanation for any unexpected inconsistency observed between sessions collected on different days. Without this recorded provenance, the specific software versions in use at any given point in a multi-day collection process would otherwise be difficult to reconstruct after the fact.</w:t>
      </w:r>
    </w:p>
    <w:p>
      <w:pPr>
        <w:pStyle w:val="Heading2"/>
        <w:spacing w:after="160" w:before="320"/>
      </w:pPr>
      <w:r>
        <w:rPr>
          <w:rFonts w:ascii="Times New Roman" w:cs="Times New Roman" w:eastAsia="Times New Roman" w:hAnsi="Times New Roman"/>
          <w:b/>
          <w:bCs/>
          <w:color w:val="1F1F1F"/>
          <w:sz w:val="24"/>
          <w:szCs w:val="24"/>
        </w:rPr>
        <w:t xml:space="preserve">4.2 Provider Selection and Incident History</w:t>
      </w:r>
    </w:p>
    <w:p>
      <w:pPr>
        <w:spacing w:after="200" w:line="300"/>
        <w:jc w:val="both"/>
      </w:pPr>
      <w:r>
        <w:rPr>
          <w:rFonts w:ascii="Times New Roman" w:cs="Times New Roman" w:eastAsia="Times New Roman" w:hAnsi="Times New Roman"/>
          <w:i w:val="false"/>
          <w:iCs w:val="false"/>
          <w:sz w:val="22"/>
          <w:szCs w:val="22"/>
        </w:rPr>
        <w:t xml:space="preserve">The provider selection and specific model identifiers used in this study were not static across the project's duration; five distinct operational incidents required a provider or model substitution, each documented here as a substantive finding rather than an incidental implementation detail, since the frequency of these incidents is itself informative about the practical reality of conducting LLM research exclusively on free-tier infrastructure.</w:t>
      </w:r>
    </w:p>
    <w:p>
      <w:pPr>
        <w:spacing w:after="200" w:line="300"/>
        <w:jc w:val="both"/>
      </w:pPr>
      <w:r>
        <w:rPr>
          <w:rFonts w:ascii="Times New Roman" w:cs="Times New Roman" w:eastAsia="Times New Roman" w:hAnsi="Times New Roman"/>
          <w:i w:val="false"/>
          <w:iCs w:val="false"/>
          <w:sz w:val="22"/>
          <w:szCs w:val="22"/>
        </w:rPr>
        <w:t xml:space="preserve">The first incident occurred during initial pipeline verification against OpenRouter, used at that stage as a development and testing provider rather than one of the three main comparison targets. A specifically named free-tier model slug returned a persistent HTTP 404 error, traced to the provider having discontinued that exact model identifier without advance notice. The resolution was to switch to OpenRouter's own free-model router, which selects a currently available free model automatically rather than depending on a single named model liable to disappear. The persistent-error detection mechanism described in Section 3.4 correctly identified this as a systemic rather than transient failure after six retries with correctly increasing backoff delays, then halted cleanly rather than exhausting retries against every subsequent prompt.</w:t>
      </w:r>
    </w:p>
    <w:p>
      <w:pPr>
        <w:spacing w:after="200" w:line="300"/>
        <w:jc w:val="both"/>
      </w:pPr>
      <w:r>
        <w:rPr>
          <w:rFonts w:ascii="Times New Roman" w:cs="Times New Roman" w:eastAsia="Times New Roman" w:hAnsi="Times New Roman"/>
          <w:i w:val="false"/>
          <w:iCs w:val="false"/>
          <w:sz w:val="22"/>
          <w:szCs w:val="22"/>
        </w:rPr>
        <w:t xml:space="preserve">The second and third incidents concerned the Gemini provider. The originally selected model, gemini-2.5-flash, was found to have been retired for new users. Its replacement, gemini-3.5-flash, was subsequently found to enforce a strict twenty-requests-per-day quota on the account tier used in this study — a limit substantially more restrictive than the general published figures for that model family would suggest, illustrating that publicly documented rate limits are not always reliable predictors of the limits actually enforced on a specific account. The eventual resolution was migration to gemini-3.5-flash-lite, a model explicitly positioned by its provider for high-volume, low-latency use, and confirmed to carry a substantially less restrictive quota.</w:t>
      </w:r>
    </w:p>
    <w:p>
      <w:pPr>
        <w:spacing w:after="200" w:line="300"/>
        <w:jc w:val="both"/>
      </w:pPr>
      <w:r>
        <w:rPr>
          <w:rFonts w:ascii="Times New Roman" w:cs="Times New Roman" w:eastAsia="Times New Roman" w:hAnsi="Times New Roman"/>
          <w:i w:val="false"/>
          <w:iCs w:val="false"/>
          <w:sz w:val="22"/>
          <w:szCs w:val="22"/>
        </w:rPr>
        <w:t xml:space="preserve">The fourth incident involved Cerebras, originally intended as the third comparison provider. Partway through pipeline development, Cerebras introduced a mandatory payment method requirement even for continued free-tier access, which could not be satisfied using the payment methods available to this study. Mistral AI was substituted in Cerebras's place, selected specifically for offering a permanent free tier without a card-on-file requirement.</w:t>
      </w:r>
    </w:p>
    <w:p>
      <w:pPr>
        <w:spacing w:after="200" w:line="300"/>
        <w:jc w:val="both"/>
      </w:pPr>
      <w:r>
        <w:rPr>
          <w:rFonts w:ascii="Times New Roman" w:cs="Times New Roman" w:eastAsia="Times New Roman" w:hAnsi="Times New Roman"/>
          <w:i w:val="false"/>
          <w:iCs w:val="false"/>
          <w:sz w:val="22"/>
          <w:szCs w:val="22"/>
        </w:rPr>
        <w:t xml:space="preserve">The fifth incident affected Groq. The originally selected model, llama-3.3-70b-versatile, was officially deprecated by the provider partway through the data collection phase, confirmed directly against Groq's own deprecation documentation, which recommended openai/gpt-oss-120b as the migration target — the model identifier used for all Groq results reported in Section 5.</w:t>
      </w:r>
    </w:p>
    <w:p>
      <w:pPr>
        <w:spacing w:after="200" w:line="300"/>
        <w:jc w:val="both"/>
      </w:pPr>
      <w:r>
        <w:rPr>
          <w:rFonts w:ascii="Times New Roman" w:cs="Times New Roman" w:eastAsia="Times New Roman" w:hAnsi="Times New Roman"/>
          <w:i w:val="false"/>
          <w:iCs w:val="false"/>
          <w:sz w:val="22"/>
          <w:szCs w:val="22"/>
        </w:rPr>
        <w:t xml:space="preserve">A sixth, related incident occurred during the automated scoring phase rather than data collection: partway through a scoring run, the OpenRouter judge endpoint began returning HTTP 401 authentication errors with the message "User not found." Investigation of this incident additionally surfaced a genuine defect in the persistent-error detection logic itself: the keyword-matching rule intended to recognize this class of systemic failure searched for the substring "not_found" with an underscore, which did not match the actual error text "User not found" containing a space, meaning the failure would otherwise have been treated as an isolated, retriable error on every subsequent prompt rather than triggering a clean early stop. This was corrected by broadening the persistent-error keyword set to include common authentication-failure phrasings, verified against the exact error text that triggered the incident before being trusted for continued use.</w:t>
      </w:r>
    </w:p>
    <w:p>
      <w:pPr>
        <w:spacing w:after="200" w:line="300"/>
        <w:jc w:val="both"/>
      </w:pPr>
      <w:r>
        <w:rPr>
          <w:rFonts w:ascii="Times New Roman" w:cs="Times New Roman" w:eastAsia="Times New Roman" w:hAnsi="Times New Roman"/>
          <w:i w:val="false"/>
          <w:iCs w:val="false"/>
          <w:sz w:val="22"/>
          <w:szCs w:val="22"/>
        </w:rPr>
        <w:t xml:space="preserve">Collectively, these six incidents — four affecting data collection and two affecting the broader pipeline — support a general observation about free-tier LLM benchmarking: model catalog volatility and quota inconsistency are not occasional edge cases to be handled defensively as an afterthought, but a recurring operational condition that a benchmarking framework's architecture must treat as a first-class design constraint from the outset.</w:t>
      </w:r>
    </w:p>
    <w:p>
      <w:pPr>
        <w:spacing w:after="100" w:before="200"/>
        <w:jc w:val="center"/>
      </w:pPr>
      <w:r>
        <w:drawing>
          <wp:inline distT="0" distB="0" distL="0" distR="0">
            <wp:extent cx="5524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990725"/>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4. The six real operational incidents documented in Section 4.2, plotted against the eight-week project timeline. Five required a provider or model substitution; one exposed a genuine defect in the persistent-error classification logic.</w:t>
      </w:r>
    </w:p>
    <w:p>
      <w:pPr>
        <w:pStyle w:val="Heading2"/>
        <w:spacing w:after="160" w:before="320"/>
      </w:pPr>
      <w:r>
        <w:rPr>
          <w:rFonts w:ascii="Times New Roman" w:cs="Times New Roman" w:eastAsia="Times New Roman" w:hAnsi="Times New Roman"/>
          <w:b/>
          <w:bCs/>
          <w:color w:val="1F1F1F"/>
          <w:sz w:val="24"/>
          <w:szCs w:val="24"/>
        </w:rPr>
        <w:t xml:space="preserve">4.3 Experimental Procedure</w:t>
      </w:r>
    </w:p>
    <w:p>
      <w:pPr>
        <w:spacing w:after="200" w:line="300"/>
        <w:jc w:val="both"/>
      </w:pPr>
      <w:r>
        <w:rPr>
          <w:rFonts w:ascii="Times New Roman" w:cs="Times New Roman" w:eastAsia="Times New Roman" w:hAnsi="Times New Roman"/>
          <w:i w:val="false"/>
          <w:iCs w:val="false"/>
          <w:sz w:val="22"/>
          <w:szCs w:val="22"/>
        </w:rPr>
        <w:t xml:space="preserve">A single, complete data collection session followed a consistent seven-step procedure, repeated as needed across multiple sessions to accommodate the Gemini provider's daily quota constraint described in Section 4.2. First, the environment-capture utility (Section 4.1) was executed, producing a timestamped snapshot of the software and hardware environment for that session. Second, each of the three provider runners was executed independently — in any order, since the runners share no state or execution dependency between them — with each runner automatically skipping any prompt already present in its output directory from a prior session, per the resume-by-cache-file mechanism described in Section 3.4. Third, upon a runner's natural completion or an early halt triggered by persistent-error detection, its log output was inspected to confirm the reported completion count matched the expected total, or to diagnose the specific persistent error if the run halted early. Fourth, once all three runners reported completion for a given session's target prompts, the results-consolidation utility was executed, producing one structured JSON file per provider. Fifth, the automated scoring pipeline was executed against the consolidated results, itself following the same resume-and-verify pattern. Sixth, the scored-results consolidation utility produced the final machine-readable and human-readable scoring outputs described in Section 3.5. Seventh, and only once all three providers' collection and scoring were fully complete, the statistical analysis pipeline (Section 3.7) was executed to produce the results reported in Section 5.</w:t>
      </w:r>
    </w:p>
    <w:p>
      <w:pPr>
        <w:spacing w:after="200" w:line="300"/>
        <w:jc w:val="both"/>
      </w:pPr>
      <w:r>
        <w:rPr>
          <w:rFonts w:ascii="Times New Roman" w:cs="Times New Roman" w:eastAsia="Times New Roman" w:hAnsi="Times New Roman"/>
          <w:i w:val="false"/>
          <w:iCs w:val="false"/>
          <w:sz w:val="22"/>
          <w:szCs w:val="22"/>
        </w:rPr>
        <w:t xml:space="preserve">This procedure was executed across multiple discrete sessions rather than a single continuous run, driven specifically by the Gemini provider's daily request quota; a typical session would complete the Mistral and Groq runners' full target in a single sitting, given their more permissive rate limits, while the Gemini runner would complete only its daily quota's worth of prompts before halting on the resulting persistent quota error, to be resumed automatically in a subsequent session on a following day. This session structure is a direct, practical illustration of the resume-by-cache-file architecture's necessity, discussed in Section 3.4: without reliable resume semantics, the multi-day collection process this specific quota constraint necessitated would have been substantially more error-prone and labor-intensive to manage correctly.</w:t>
      </w:r>
    </w:p>
    <w:p>
      <w:pPr>
        <w:pStyle w:val="Heading2"/>
        <w:spacing w:after="160" w:before="320"/>
      </w:pPr>
      <w:r>
        <w:rPr>
          <w:rFonts w:ascii="Times New Roman" w:cs="Times New Roman" w:eastAsia="Times New Roman" w:hAnsi="Times New Roman"/>
          <w:b/>
          <w:bCs/>
          <w:color w:val="1F1F1F"/>
          <w:sz w:val="24"/>
          <w:szCs w:val="24"/>
        </w:rPr>
        <w:t xml:space="preserve">4.4 Lessons Learned Across the Incident History</w:t>
      </w:r>
    </w:p>
    <w:p>
      <w:pPr>
        <w:spacing w:after="200" w:line="300"/>
        <w:jc w:val="both"/>
      </w:pPr>
      <w:r>
        <w:rPr>
          <w:rFonts w:ascii="Times New Roman" w:cs="Times New Roman" w:eastAsia="Times New Roman" w:hAnsi="Times New Roman"/>
          <w:i w:val="false"/>
          <w:iCs w:val="false"/>
          <w:sz w:val="22"/>
          <w:szCs w:val="22"/>
        </w:rPr>
        <w:t xml:space="preserve">Considered together rather than individually, the six incidents in Section 4.2 support three generalizable lessons for any comparable free-tier benchmarking effort. First, published rate-limit and model-availability documentation should be treated as a starting hypothesis to be empirically verified against the specific account and API key in use, not as a reliable ground truth; two of the six incidents (the Gemini quota restriction and the OpenRouter model retirement) involved a discrepancy between documented and actually-enforced behavior. Second, error-handling logic that classifies failures by matching against specific expected error text is inherently incomplete, since a provider can introduce a new error phrasing at any time without notice; the sixth incident's initially-missed keyword match is a direct illustration, and the appropriate response is not to treat any single error-classification implementation as finished, but to treat it as a living component expected to require periodic broadening as new failure modes are observed in production.</w:t>
      </w:r>
    </w:p>
    <w:p>
      <w:pPr>
        <w:spacing w:after="200" w:line="300"/>
        <w:jc w:val="both"/>
      </w:pPr>
      <w:r>
        <w:rPr>
          <w:rFonts w:ascii="Times New Roman" w:cs="Times New Roman" w:eastAsia="Times New Roman" w:hAnsi="Times New Roman"/>
          <w:i w:val="false"/>
          <w:iCs w:val="false"/>
          <w:sz w:val="22"/>
          <w:szCs w:val="22"/>
        </w:rPr>
        <w:t xml:space="preserve">Third, and most generally, a research budget for a free-tier multi-provider study should explicitly allocate time for provider substitution and pipeline rework, rather than treating the provider list finalized at project design time as fixed. This study's Cerebras-to-Mistral substitution and two Gemini model migrations were not schedule slippage in the conventional sense of underestimated task duration, but a structural feature of conducting empirical research against commercially-operated, free-tier infrastructure whose availability and terms are outside the researcher's control. Framing this as an expected operating condition, rather than an exceptional risk to be minimized away, is itself a methodological recommendation this study offers to future work in the same space.</w:t>
      </w:r>
    </w:p>
    <w:p>
      <w:r>
        <w:br w:type="page"/>
      </w:r>
    </w:p>
    <w:p>
      <w:pPr>
        <w:pStyle w:val="Heading1"/>
        <w:spacing w:after="240" w:before="480"/>
      </w:pPr>
      <w:r>
        <w:rPr>
          <w:rFonts w:ascii="Times New Roman" w:cs="Times New Roman" w:eastAsia="Times New Roman" w:hAnsi="Times New Roman"/>
          <w:b/>
          <w:bCs/>
          <w:color w:val="1F1F1F"/>
          <w:sz w:val="28"/>
          <w:szCs w:val="28"/>
        </w:rPr>
        <w:t xml:space="preserve">5. Results</w:t>
      </w:r>
    </w:p>
    <w:p>
      <w:pPr>
        <w:spacing w:after="200" w:line="300"/>
        <w:jc w:val="both"/>
      </w:pPr>
      <w:r>
        <w:rPr>
          <w:rFonts w:ascii="Times New Roman" w:cs="Times New Roman" w:eastAsia="Times New Roman" w:hAnsi="Times New Roman"/>
          <w:i w:val="false"/>
          <w:iCs w:val="false"/>
          <w:sz w:val="22"/>
          <w:szCs w:val="22"/>
        </w:rPr>
        <w:t xml:space="preserve">This section reports the real, empirically observed results of the complete evaluation pipeline described in Section 3, executed against all three providers across the full 220-prompt dataset. All figures reported below are drawn directly from the project's statistical analysis output; no illustrative or placeholder values appear in this section.</w:t>
      </w:r>
    </w:p>
    <w:p>
      <w:pPr>
        <w:pStyle w:val="Heading2"/>
        <w:spacing w:after="160" w:before="320"/>
      </w:pPr>
      <w:r>
        <w:rPr>
          <w:rFonts w:ascii="Times New Roman" w:cs="Times New Roman" w:eastAsia="Times New Roman" w:hAnsi="Times New Roman"/>
          <w:b/>
          <w:bCs/>
          <w:color w:val="1F1F1F"/>
          <w:sz w:val="24"/>
          <w:szCs w:val="24"/>
        </w:rPr>
        <w:t xml:space="preserve">5.1 Reliability: Score Consistency Across Repeated Calls</w:t>
      </w:r>
    </w:p>
    <w:p>
      <w:pPr>
        <w:spacing w:after="200" w:line="300"/>
        <w:jc w:val="both"/>
      </w:pPr>
      <w:r>
        <w:rPr>
          <w:rFonts w:ascii="Times New Roman" w:cs="Times New Roman" w:eastAsia="Times New Roman" w:hAnsi="Times New Roman"/>
          <w:i w:val="false"/>
          <w:iCs w:val="false"/>
          <w:sz w:val="22"/>
          <w:szCs w:val="22"/>
        </w:rPr>
        <w:t xml:space="preserve">Table IV reports the mean coefficient of variation, averaged across the twenty stochastic-sample prompts, for each provider. A lower value indicates that a provider's judged score for a given prompt was more consistent across five independent calls; a higher value indicates greater variability in output quality for functionally identical requests.</w:t>
      </w:r>
    </w:p>
    <w:p>
      <w:pPr>
        <w:spacing w:after="240" w:before="80"/>
        <w:jc w:val="center"/>
      </w:pPr>
      <w:r>
        <w:rPr>
          <w:rFonts w:ascii="Times New Roman" w:cs="Times New Roman" w:eastAsia="Times New Roman" w:hAnsi="Times New Roman"/>
          <w:i/>
          <w:iCs/>
          <w:color w:val="444444"/>
          <w:sz w:val="20"/>
          <w:szCs w:val="20"/>
        </w:rPr>
        <w:t xml:space="preserve">TABLE IV. MEAN COEFFICIENT OF VARIATION ACROSS THE STOCHASTIC RELIABILITY SAMPLE (n = 20 PROMPTS PER PROVIDER, 5 RUNS EACH)</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900"/>
      </w:tblGrid>
      <w:tr>
        <w:trPr>
          <w:tblHeader/>
        </w:trPr>
        <w:tc>
          <w:tcPr>
            <w:tcW w:type="dxa" w:w="2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2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Mean CV</w:t>
            </w:r>
          </w:p>
        </w:tc>
        <w:tc>
          <w:tcPr>
            <w:tcW w:type="dxa" w:w="4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Interpretation</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0.3056</w:t>
            </w:r>
          </w:p>
        </w:tc>
        <w:tc>
          <w:tcPr>
            <w:tcW w:type="dxa" w:w="4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Highest variability of the three</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0.2058</w:t>
            </w:r>
          </w:p>
        </w:tc>
        <w:tc>
          <w:tcPr>
            <w:tcW w:type="dxa" w:w="4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Intermediate</w:t>
            </w:r>
          </w:p>
        </w:tc>
      </w:tr>
      <w:tr>
        <w:tc>
          <w:tcPr>
            <w:tcW w:type="dxa" w:w="25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20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0.1606</w:t>
            </w:r>
          </w:p>
        </w:tc>
        <w:tc>
          <w:tcPr>
            <w:tcW w:type="dxa" w:w="4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Most consistent</w:t>
            </w:r>
          </w:p>
        </w:tc>
      </w:tr>
    </w:tbl>
    <w:p>
      <w:pPr>
        <w:spacing w:after="200" w:line="300"/>
        <w:jc w:val="both"/>
      </w:pPr>
      <w:r>
        <w:rPr>
          <w:rFonts w:ascii="Times New Roman" w:cs="Times New Roman" w:eastAsia="Times New Roman" w:hAnsi="Times New Roman"/>
          <w:i w:val="false"/>
          <w:iCs w:val="false"/>
          <w:sz w:val="22"/>
          <w:szCs w:val="22"/>
        </w:rPr>
        <w:t xml:space="preserve">Groq's hosted model produced the most consistent scores across repeated calls, with a mean coefficient of variation roughly half that of Gemini. This finding is independent of, and complementary to, the mean-score comparison reported in Section 5.2: a provider might in principle achieve a high average score while still varying considerably from call to call, which would be a materially different practical property than achieving the same average score with tight, predictable consistency.</w:t>
      </w:r>
    </w:p>
    <w:p>
      <w:pPr>
        <w:spacing w:after="100" w:before="200"/>
        <w:jc w:val="center"/>
      </w:pPr>
      <w:r>
        <w:drawing>
          <wp:inline distT="0" distB="0" distL="0" distR="0">
            <wp:extent cx="5524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943225"/>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5. Mean coefficient of variation by provider across the stochastic reliability sample. Groq's markedly lower value indicates the most consistent scoring across repeated calls.</w:t>
      </w:r>
    </w:p>
    <w:p>
      <w:pPr>
        <w:pStyle w:val="Heading2"/>
        <w:spacing w:after="160" w:before="320"/>
      </w:pPr>
      <w:r>
        <w:rPr>
          <w:rFonts w:ascii="Times New Roman" w:cs="Times New Roman" w:eastAsia="Times New Roman" w:hAnsi="Times New Roman"/>
          <w:b/>
          <w:bCs/>
          <w:color w:val="1F1F1F"/>
          <w:sz w:val="24"/>
          <w:szCs w:val="24"/>
        </w:rPr>
        <w:t xml:space="preserve">5.2 Confidence Intervals on Mean Composite Score</w:t>
      </w:r>
    </w:p>
    <w:p>
      <w:pPr>
        <w:spacing w:after="240" w:before="80"/>
        <w:jc w:val="center"/>
      </w:pPr>
      <w:r>
        <w:rPr>
          <w:rFonts w:ascii="Times New Roman" w:cs="Times New Roman" w:eastAsia="Times New Roman" w:hAnsi="Times New Roman"/>
          <w:i/>
          <w:iCs/>
          <w:color w:val="444444"/>
          <w:sz w:val="20"/>
          <w:szCs w:val="20"/>
        </w:rPr>
        <w:t xml:space="preserve">TABLE V. 95% CONFIDENCE INTERVALS ON MEAN TOTAL SCORE PER PROVIDER (n = 220)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800"/>
        <w:gridCol w:w="2000"/>
      </w:tblGrid>
      <w:tr>
        <w:trPr>
          <w:tblHeader/>
        </w:trPr>
        <w:tc>
          <w:tcPr>
            <w:tcW w:type="dxa" w:w="18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18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Mean</w:t>
            </w:r>
          </w:p>
        </w:tc>
        <w:tc>
          <w:tcPr>
            <w:tcW w:type="dxa" w:w="38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95% CI</w:t>
            </w:r>
          </w:p>
        </w:tc>
        <w:tc>
          <w:tcPr>
            <w:tcW w:type="dxa" w:w="2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N</w:t>
            </w:r>
          </w:p>
        </w:tc>
      </w:tr>
      <w:tr>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11.0273</w:t>
            </w:r>
          </w:p>
        </w:tc>
        <w:tc>
          <w:tcPr>
            <w:tcW w:type="dxa" w:w="3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[10.4632, 11.5913]</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220</w:t>
            </w:r>
          </w:p>
        </w:tc>
      </w:tr>
      <w:tr>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10.3636</w:t>
            </w:r>
          </w:p>
        </w:tc>
        <w:tc>
          <w:tcPr>
            <w:tcW w:type="dxa" w:w="3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[9.8094, 10.9179]</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220</w:t>
            </w:r>
          </w:p>
        </w:tc>
      </w:tr>
      <w:tr>
        <w:tc>
          <w:tcPr>
            <w:tcW w:type="dxa" w:w="18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18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11.1591</w:t>
            </w:r>
          </w:p>
        </w:tc>
        <w:tc>
          <w:tcPr>
            <w:tcW w:type="dxa" w:w="38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[10.6249, 11.6933]</w:t>
            </w:r>
          </w:p>
        </w:tc>
        <w:tc>
          <w:tcPr>
            <w:tcW w:type="dxa" w:w="20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220</w:t>
            </w:r>
          </w:p>
        </w:tc>
      </w:tr>
    </w:tbl>
    <w:p>
      <w:pPr>
        <w:spacing w:after="200" w:line="300"/>
        <w:jc w:val="both"/>
      </w:pPr>
      <w:r>
        <w:rPr>
          <w:rFonts w:ascii="Times New Roman" w:cs="Times New Roman" w:eastAsia="Times New Roman" w:hAnsi="Times New Roman"/>
          <w:i w:val="false"/>
          <w:iCs w:val="false"/>
          <w:sz w:val="22"/>
          <w:szCs w:val="22"/>
        </w:rPr>
        <w:t xml:space="preserve">Groq achieved the numerically highest mean composite score, narrowly ahead of Gemini, with Mistral clearly lowest of the three. The confidence intervals for Groq and Gemini overlap substantially, however, indicating that this narrow gap between the two leading providers cannot be treated as a confirmed, statistically distinguishable difference on the basis of the overall mean alone; the more granular hypothesis tests in Section 5.3 provide the appropriate mechanism for evaluating whether specific, category-level differences between providers reach statistical significance.</w:t>
      </w:r>
    </w:p>
    <w:p>
      <w:pPr>
        <w:spacing w:after="100" w:before="200"/>
        <w:jc w:val="center"/>
      </w:pPr>
      <w:r>
        <w:drawing>
          <wp:inline distT="0" distB="0" distL="0" distR="0">
            <wp:extent cx="5524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067050"/>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6. Mean composite score by provider with 95% confidence intervals. Groq and Gemini's intervals overlap substantially; Mistral is clearly lowest, consistent with the hypothesis-testing results in Section 5.3.</w:t>
      </w:r>
    </w:p>
    <w:p>
      <w:pPr>
        <w:pStyle w:val="Heading2"/>
        <w:spacing w:after="160" w:before="320"/>
      </w:pPr>
      <w:r>
        <w:rPr>
          <w:rFonts w:ascii="Times New Roman" w:cs="Times New Roman" w:eastAsia="Times New Roman" w:hAnsi="Times New Roman"/>
          <w:b/>
          <w:bCs/>
          <w:color w:val="1F1F1F"/>
          <w:sz w:val="24"/>
          <w:szCs w:val="24"/>
        </w:rPr>
        <w:t xml:space="preserve">5.3 Hypothesis Testing</w:t>
      </w:r>
    </w:p>
    <w:p>
      <w:pPr>
        <w:spacing w:after="200" w:line="300"/>
        <w:jc w:val="both"/>
      </w:pPr>
      <w:r>
        <w:rPr>
          <w:rFonts w:ascii="Times New Roman" w:cs="Times New Roman" w:eastAsia="Times New Roman" w:hAnsi="Times New Roman"/>
          <w:i w:val="false"/>
          <w:iCs w:val="false"/>
          <w:sz w:val="22"/>
          <w:szCs w:val="22"/>
        </w:rPr>
        <w:t xml:space="preserve">H1 (Reasoning versus Retrieval): Table VI reports, for each provider independently, a comparison of mean scores on Multi-step Reasoning prompts against mean scores on Knowledge Retrieval prompts.</w:t>
      </w:r>
    </w:p>
    <w:p>
      <w:pPr>
        <w:spacing w:after="240" w:before="80"/>
        <w:jc w:val="center"/>
      </w:pPr>
      <w:r>
        <w:rPr>
          <w:rFonts w:ascii="Times New Roman" w:cs="Times New Roman" w:eastAsia="Times New Roman" w:hAnsi="Times New Roman"/>
          <w:i/>
          <w:iCs/>
          <w:color w:val="444444"/>
          <w:sz w:val="20"/>
          <w:szCs w:val="20"/>
        </w:rPr>
        <w:t xml:space="preserve">TABLE VI. H1 — MULTI-STEP REASONING VERSUS KNOWLEDGE RETRIEVAL, PER PROVIDER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700"/>
        <w:gridCol w:w="1200"/>
        <w:gridCol w:w="900"/>
        <w:gridCol w:w="1500"/>
      </w:tblGrid>
      <w:tr>
        <w:trPr>
          <w:tblHeader/>
        </w:trPr>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17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Reasoning M</w:t>
            </w:r>
          </w:p>
        </w:tc>
        <w:tc>
          <w:tcPr>
            <w:tcW w:type="dxa" w:w="17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Retrieval M</w:t>
            </w:r>
          </w:p>
        </w:tc>
        <w:tc>
          <w:tcPr>
            <w:tcW w:type="dxa" w:w="1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w:t>
            </w:r>
          </w:p>
        </w:tc>
        <w:tc>
          <w:tcPr>
            <w:tcW w:type="dxa" w:w="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Sig.</w:t>
            </w:r>
          </w:p>
        </w:tc>
        <w:tc>
          <w:tcPr>
            <w:tcW w:type="dxa" w:w="1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Cohen's d</w:t>
            </w:r>
          </w:p>
        </w:tc>
      </w:tr>
      <w:tr>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9.6818</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9.2273</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0.1244</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0.4739</w:t>
            </w:r>
          </w:p>
        </w:tc>
      </w:tr>
      <w:tr>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9.1364</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9.0455</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0.859</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0.0539</w:t>
            </w:r>
          </w:p>
        </w:tc>
      </w:tr>
      <w:tr>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9.8636</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9.5909</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0.1504</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0.4431</w:t>
            </w:r>
          </w:p>
        </w:tc>
      </w:tr>
    </w:tbl>
    <w:p>
      <w:pPr>
        <w:spacing w:after="200" w:line="300"/>
        <w:jc w:val="both"/>
      </w:pPr>
      <w:r>
        <w:rPr>
          <w:rFonts w:ascii="Times New Roman" w:cs="Times New Roman" w:eastAsia="Times New Roman" w:hAnsi="Times New Roman"/>
          <w:i w:val="false"/>
          <w:iCs w:val="false"/>
          <w:sz w:val="22"/>
          <w:szCs w:val="22"/>
        </w:rPr>
        <w:t xml:space="preserve">None of the three providers exhibited a statistically significant difference between reasoning and retrieval performance at the α = 0.05 level, though Gemini and Groq both showed a small-to-medium effect size (d ≈ 0.44–0.47) in the direction of stronger reasoning than retrieval performance, while Mistral showed a negligible effect (d = 0.05). H1 is therefore not supported as a statistically confirmed effect for any provider individually, though the consistent direction of the (non-significant) effect for two of the three providers may merit further investigation with a larger per-category sample.</w:t>
      </w:r>
    </w:p>
    <w:p>
      <w:pPr>
        <w:spacing w:after="200" w:line="300"/>
        <w:jc w:val="both"/>
      </w:pPr>
      <w:r>
        <w:rPr>
          <w:rFonts w:ascii="Times New Roman" w:cs="Times New Roman" w:eastAsia="Times New Roman" w:hAnsi="Times New Roman"/>
          <w:i w:val="false"/>
          <w:iCs w:val="false"/>
          <w:sz w:val="22"/>
          <w:szCs w:val="22"/>
        </w:rPr>
        <w:t xml:space="preserve">H2 (Instruction Following versus Difficulty): Table VII reports the Pearson correlation between prompt difficulty tier and Instruction Following score, per provider.</w:t>
      </w:r>
    </w:p>
    <w:p>
      <w:pPr>
        <w:spacing w:after="240" w:before="80"/>
        <w:jc w:val="center"/>
      </w:pPr>
      <w:r>
        <w:rPr>
          <w:rFonts w:ascii="Times New Roman" w:cs="Times New Roman" w:eastAsia="Times New Roman" w:hAnsi="Times New Roman"/>
          <w:i/>
          <w:iCs/>
          <w:color w:val="444444"/>
          <w:sz w:val="20"/>
          <w:szCs w:val="20"/>
        </w:rPr>
        <w:t xml:space="preserve">TABLE VII. H2 — CORRELATION BETWEEN DIFFICULTY AND INSTRUCTION FOLLOWING SCORE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000"/>
      </w:tblGrid>
      <w:tr>
        <w:trPr>
          <w:tblHeader/>
        </w:trPr>
        <w:tc>
          <w:tcPr>
            <w:tcW w:type="dxa" w:w="3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3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w:t>
            </w:r>
          </w:p>
        </w:tc>
        <w:tc>
          <w:tcPr>
            <w:tcW w:type="dxa" w:w="3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N</w:t>
            </w:r>
          </w:p>
        </w:tc>
      </w:tr>
      <w:tr>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0.0754</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w:t>
            </w:r>
          </w:p>
        </w:tc>
      </w:tr>
      <w:tr>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−0.2370</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w:t>
            </w:r>
          </w:p>
        </w:tc>
      </w:tr>
      <w:tr>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0.1337</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w:t>
            </w:r>
          </w:p>
        </w:tc>
      </w:tr>
    </w:tbl>
    <w:p>
      <w:pPr>
        <w:spacing w:after="200" w:line="300"/>
        <w:jc w:val="both"/>
      </w:pPr>
      <w:r>
        <w:rPr>
          <w:rFonts w:ascii="Times New Roman" w:cs="Times New Roman" w:eastAsia="Times New Roman" w:hAnsi="Times New Roman"/>
          <w:i w:val="false"/>
          <w:iCs w:val="false"/>
          <w:sz w:val="22"/>
          <w:szCs w:val="22"/>
        </w:rPr>
        <w:t xml:space="preserve">Contrary to the hypothesized degradation in instruction-following accuracy with increasing difficulty, the observed correlations are weak in magnitude and inconsistent in direction across providers: Mistral shows a weak negative relationship consistent with the hypothesized degradation, while Gemini and Groq show weak positive relationships in the opposite direction. Given the small per-category sample size (n = 22), none of these correlations should be interpreted as strong evidence either for or against H2; the honest conclusion is that this study's data neither confirms nor decisively refutes a difficulty-dependent degradation in instruction-following accuracy, and a larger, dedicated sample would be required to resolve the question.</w:t>
      </w:r>
    </w:p>
    <w:p>
      <w:pPr>
        <w:spacing w:after="200" w:line="300"/>
        <w:jc w:val="both"/>
      </w:pPr>
      <w:r>
        <w:rPr>
          <w:rFonts w:ascii="Times New Roman" w:cs="Times New Roman" w:eastAsia="Times New Roman" w:hAnsi="Times New Roman"/>
          <w:i w:val="false"/>
          <w:iCs w:val="false"/>
          <w:sz w:val="22"/>
          <w:szCs w:val="22"/>
        </w:rPr>
        <w:t xml:space="preserve">H3 (Hallucination Resistance Across Providers): Table VIII reports pairwise comparisons of Hallucination Stress Test scores between each pair of providers.</w:t>
      </w:r>
    </w:p>
    <w:p>
      <w:pPr>
        <w:spacing w:after="240" w:before="80"/>
        <w:jc w:val="center"/>
      </w:pPr>
      <w:r>
        <w:rPr>
          <w:rFonts w:ascii="Times New Roman" w:cs="Times New Roman" w:eastAsia="Times New Roman" w:hAnsi="Times New Roman"/>
          <w:i/>
          <w:iCs/>
          <w:color w:val="444444"/>
          <w:sz w:val="20"/>
          <w:szCs w:val="20"/>
        </w:rPr>
        <w:t xml:space="preserve">TABLE VIII. H3 — PAIRWISE PROVIDER COMPARISON ON HALLUCINATION STRESS TEST SCORES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500"/>
        <w:gridCol w:w="2000"/>
      </w:tblGrid>
      <w:tr>
        <w:trPr>
          <w:tblHeader/>
        </w:trPr>
        <w:tc>
          <w:tcPr>
            <w:tcW w:type="dxa" w:w="3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Comparison</w:t>
            </w:r>
          </w:p>
        </w:tc>
        <w:tc>
          <w:tcPr>
            <w:tcW w:type="dxa" w:w="18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w:t>
            </w:r>
          </w:p>
        </w:tc>
        <w:tc>
          <w:tcPr>
            <w:tcW w:type="dxa" w:w="1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Sig.</w:t>
            </w:r>
          </w:p>
        </w:tc>
        <w:tc>
          <w:tcPr>
            <w:tcW w:type="dxa" w:w="2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Cohen's d</w:t>
            </w:r>
          </w:p>
        </w:tc>
      </w:tr>
      <w:tr>
        <w:tc>
          <w:tcPr>
            <w:tcW w:type="dxa" w:w="3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 vs. Mistral</w:t>
            </w:r>
          </w:p>
        </w:tc>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0.1449</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0.4482</w:t>
            </w:r>
          </w:p>
        </w:tc>
      </w:tr>
      <w:tr>
        <w:tc>
          <w:tcPr>
            <w:tcW w:type="dxa" w:w="3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 vs. Groq</w:t>
            </w:r>
          </w:p>
        </w:tc>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0.2752</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−0.3356</w:t>
            </w:r>
          </w:p>
        </w:tc>
      </w:tr>
      <w:tr>
        <w:tc>
          <w:tcPr>
            <w:tcW w:type="dxa" w:w="32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 vs. Groq</w:t>
            </w:r>
          </w:p>
        </w:tc>
        <w:tc>
          <w:tcPr>
            <w:tcW w:type="dxa" w:w="18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0.0100</w:t>
            </w:r>
          </w:p>
        </w:tc>
        <w:tc>
          <w:tcPr>
            <w:tcW w:type="dxa" w:w="15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Yes</w:t>
            </w:r>
          </w:p>
        </w:tc>
        <w:tc>
          <w:tcPr>
            <w:tcW w:type="dxa" w:w="20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−0.8389</w:t>
            </w:r>
          </w:p>
        </w:tc>
      </w:tr>
    </w:tbl>
    <w:p>
      <w:pPr>
        <w:spacing w:after="200" w:line="300"/>
        <w:jc w:val="both"/>
      </w:pPr>
      <w:r>
        <w:rPr>
          <w:rFonts w:ascii="Times New Roman" w:cs="Times New Roman" w:eastAsia="Times New Roman" w:hAnsi="Times New Roman"/>
          <w:i w:val="false"/>
          <w:iCs w:val="false"/>
          <w:sz w:val="22"/>
          <w:szCs w:val="22"/>
        </w:rPr>
        <w:t xml:space="preserve">H3 is supported: the Mistral-versus-Groq comparison reaches statistical significance at p = 0.01, with a large effect size (|d| = 0.84), indicating that Groq's hosted model substantially and reliably outperforms Mistral specifically on hallucination resistance — a difference unlikely to be attributable to sampling noise alone. The Gemini comparisons against both other providers did not reach significance, though the Gemini-versus-Mistral comparison showed a medium effect size trending in the same direction as the confirmed Mistral-versus-Groq result. This is the single most statistically robust pairwise finding in the entire study and is discussed further in Section 6.</w:t>
      </w:r>
    </w:p>
    <w:p>
      <w:pPr>
        <w:spacing w:after="100" w:before="200"/>
        <w:jc w:val="center"/>
      </w:pPr>
      <w:r>
        <w:drawing>
          <wp:inline distT="0" distB="0" distL="0" distR="0">
            <wp:extent cx="5524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1771650"/>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7. Cohen's d effect sizes for every H1 and H3 comparison in this study, plotted against conventional interpretation thresholds. Only the Mistral-versus-Groq hallucination comparison combines a large effect with statistical significance.</w:t>
      </w:r>
    </w:p>
    <w:p>
      <w:pPr>
        <w:pStyle w:val="Heading2"/>
        <w:spacing w:after="160" w:before="320"/>
      </w:pPr>
      <w:r>
        <w:rPr>
          <w:rFonts w:ascii="Times New Roman" w:cs="Times New Roman" w:eastAsia="Times New Roman" w:hAnsi="Times New Roman"/>
          <w:b/>
          <w:bCs/>
          <w:color w:val="1F1F1F"/>
          <w:sz w:val="24"/>
          <w:szCs w:val="24"/>
        </w:rPr>
        <w:t xml:space="preserve">5.4 Correlation and Regression Analysis</w:t>
      </w:r>
    </w:p>
    <w:p>
      <w:pPr>
        <w:spacing w:after="240" w:before="80"/>
        <w:jc w:val="center"/>
      </w:pPr>
      <w:r>
        <w:rPr>
          <w:rFonts w:ascii="Times New Roman" w:cs="Times New Roman" w:eastAsia="Times New Roman" w:hAnsi="Times New Roman"/>
          <w:i/>
          <w:iCs/>
          <w:color w:val="444444"/>
          <w:sz w:val="20"/>
          <w:szCs w:val="20"/>
        </w:rPr>
        <w:t xml:space="preserve">TABLE IX. CORRELATION OF DIFFICULTY AND LATENCY WITH TOTAL SCORE, ALL CATEGORIES COMBINED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500"/>
      </w:tblGrid>
      <w:tr>
        <w:trPr>
          <w:tblHeader/>
        </w:trPr>
        <w:tc>
          <w:tcPr>
            <w:tcW w:type="dxa" w:w="2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3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 (Difficulty, Score)</w:t>
            </w:r>
          </w:p>
        </w:tc>
        <w:tc>
          <w:tcPr>
            <w:tcW w:type="dxa" w:w="3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 (Latency, Score)</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0.3974</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0.0204</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0.3466</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−0.0117</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0.4796</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−0.0264</w:t>
            </w:r>
          </w:p>
        </w:tc>
      </w:tr>
    </w:tbl>
    <w:p>
      <w:pPr>
        <w:spacing w:after="200" w:line="300"/>
        <w:jc w:val="both"/>
      </w:pPr>
      <w:r>
        <w:rPr>
          <w:rFonts w:ascii="Times New Roman" w:cs="Times New Roman" w:eastAsia="Times New Roman" w:hAnsi="Times New Roman"/>
          <w:i w:val="false"/>
          <w:iCs w:val="false"/>
          <w:sz w:val="22"/>
          <w:szCs w:val="22"/>
        </w:rPr>
        <w:t xml:space="preserve">All three providers show a moderate positive correlation between prompt difficulty and total score, most pronounced for Groq (r = 0.48). This is at first glance counterintuitive — one might expect harder prompts to yield lower scores — but is substantially explained by the dataset's scoring design: Hard-tier, multi-module prompts carry a higher maximum score (twenty points, against ten for standard prompts) by construction, since they are scored across more individual criteria. The positive correlation observed here therefore more plausibly reflects this scoring-scale artifact than a genuine tendency for models to perform better on harder tasks, and this distinction is discussed further as a limitation in Section 6.3. Latency shows negligible correlation with score for all three providers (|r| &lt; 0.03 throughout), indicating that, within the range of latencies observed, a slower response was not associated with either higher or lower quality.</w:t>
      </w:r>
    </w:p>
    <w:p>
      <w:pPr>
        <w:spacing w:after="240" w:before="80"/>
        <w:jc w:val="center"/>
      </w:pPr>
      <w:r>
        <w:rPr>
          <w:rFonts w:ascii="Times New Roman" w:cs="Times New Roman" w:eastAsia="Times New Roman" w:hAnsi="Times New Roman"/>
          <w:i/>
          <w:iCs/>
          <w:color w:val="444444"/>
          <w:sz w:val="20"/>
          <w:szCs w:val="20"/>
        </w:rPr>
        <w:t xml:space="preserve">TABLE X. LINEAR REGRESSION PREDICTING TOTAL SCORE FROM DIFFICULTY TIER (EASY=1, MEDIUM=2, HARD=3)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00"/>
      </w:tblGrid>
      <w:tr>
        <w:trPr>
          <w:tblHeader/>
        </w:trPr>
        <w:tc>
          <w:tcPr>
            <w:tcW w:type="dxa" w:w="2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2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Intercept</w:t>
            </w:r>
          </w:p>
        </w:tc>
        <w:tc>
          <w:tcPr>
            <w:tcW w:type="dxa" w:w="2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Slope</w:t>
            </w:r>
          </w:p>
        </w:tc>
        <w:tc>
          <w:tcPr>
            <w:tcW w:type="dxa" w:w="21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R²</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6.5628</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2.0721</w:t>
            </w:r>
          </w:p>
        </w:tc>
        <w:tc>
          <w:tcPr>
            <w:tcW w:type="dxa" w:w="21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0.1579</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6.5369</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1.7761</w:t>
            </w:r>
          </w:p>
        </w:tc>
        <w:tc>
          <w:tcPr>
            <w:tcW w:type="dxa" w:w="21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0.1201</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6.0557</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2.3687</w:t>
            </w:r>
          </w:p>
        </w:tc>
        <w:tc>
          <w:tcPr>
            <w:tcW w:type="dxa" w:w="21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0.2300</w:t>
            </w:r>
          </w:p>
        </w:tc>
      </w:tr>
    </w:tbl>
    <w:p>
      <w:pPr>
        <w:spacing w:after="200" w:line="300"/>
        <w:jc w:val="both"/>
      </w:pPr>
      <w:r>
        <w:rPr>
          <w:rFonts w:ascii="Times New Roman" w:cs="Times New Roman" w:eastAsia="Times New Roman" w:hAnsi="Times New Roman"/>
          <w:i w:val="false"/>
          <w:iCs w:val="false"/>
          <w:sz w:val="22"/>
          <w:szCs w:val="22"/>
        </w:rPr>
        <w:t xml:space="preserve">Difficulty tier alone explains a modest proportion of score variance for all three providers (R² between 0.12 and 0.23), consistent with the scoring-scale artifact noted above rather than indicating that difficulty tier is a strong independent predictor of normalized response quality.</w:t>
      </w:r>
    </w:p>
    <w:p>
      <w:pPr>
        <w:pStyle w:val="Heading2"/>
        <w:spacing w:after="160" w:before="320"/>
      </w:pPr>
      <w:r>
        <w:rPr>
          <w:rFonts w:ascii="Times New Roman" w:cs="Times New Roman" w:eastAsia="Times New Roman" w:hAnsi="Times New Roman"/>
          <w:b/>
          <w:bCs/>
          <w:color w:val="1F1F1F"/>
          <w:sz w:val="24"/>
          <w:szCs w:val="24"/>
        </w:rPr>
        <w:t xml:space="preserve">5.5 Inter-Rater Agreement</w:t>
      </w:r>
    </w:p>
    <w:p>
      <w:pPr>
        <w:spacing w:after="200" w:line="300"/>
        <w:jc w:val="both"/>
      </w:pPr>
      <w:r>
        <w:rPr>
          <w:rFonts w:ascii="Times New Roman" w:cs="Times New Roman" w:eastAsia="Times New Roman" w:hAnsi="Times New Roman"/>
          <w:i w:val="false"/>
          <w:iCs w:val="false"/>
          <w:sz w:val="22"/>
          <w:szCs w:val="22"/>
        </w:rPr>
        <w:t xml:space="preserve">Table XI reports agreement between each of the three independent human raters and the automated LLM judge, across the 30-prompt (90-response) stratified validation sample.</w:t>
      </w:r>
    </w:p>
    <w:p>
      <w:pPr>
        <w:spacing w:after="240" w:before="80"/>
        <w:jc w:val="center"/>
      </w:pPr>
      <w:r>
        <w:rPr>
          <w:rFonts w:ascii="Times New Roman" w:cs="Times New Roman" w:eastAsia="Times New Roman" w:hAnsi="Times New Roman"/>
          <w:i/>
          <w:iCs/>
          <w:color w:val="444444"/>
          <w:sz w:val="20"/>
          <w:szCs w:val="20"/>
        </w:rPr>
        <w:t xml:space="preserve">TABLE XI. HUMAN RATER VERSUS AUTOMATED JUDGE AGREEMENT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600"/>
        <w:gridCol w:w="1500"/>
        <w:gridCol w:w="1200"/>
        <w:gridCol w:w="1000"/>
        <w:gridCol w:w="1600"/>
      </w:tblGrid>
      <w:tr>
        <w:trPr>
          <w:tblHeader/>
        </w:trPr>
        <w:tc>
          <w:tcPr>
            <w:tcW w:type="dxa" w:w="1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Rater</w:t>
            </w:r>
          </w:p>
        </w:tc>
        <w:tc>
          <w:tcPr>
            <w:tcW w:type="dxa" w:w="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N</w:t>
            </w:r>
          </w:p>
        </w:tc>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Exact Match</w:t>
            </w:r>
          </w:p>
        </w:tc>
        <w:tc>
          <w:tcPr>
            <w:tcW w:type="dxa" w:w="1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Within 1pt</w:t>
            </w:r>
          </w:p>
        </w:tc>
        <w:tc>
          <w:tcPr>
            <w:tcW w:type="dxa" w:w="1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w:t>
            </w:r>
          </w:p>
        </w:tc>
        <w:tc>
          <w:tcPr>
            <w:tcW w:type="dxa" w:w="1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κ</w:t>
            </w:r>
          </w:p>
        </w:tc>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Weighted κ</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1</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178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60.7%</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83.7%</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0.3945</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0.223</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0.3558</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2</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178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65.2%</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82.6%</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0.1906</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0.198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0.1635</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3</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178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65.7%</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86.0%</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0.2557</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0.2314</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0.2132</w:t>
            </w:r>
          </w:p>
        </w:tc>
      </w:tr>
    </w:tbl>
    <w:p>
      <w:pPr>
        <w:spacing w:after="240" w:before="80"/>
        <w:jc w:val="center"/>
      </w:pPr>
      <w:r>
        <w:rPr>
          <w:rFonts w:ascii="Times New Roman" w:cs="Times New Roman" w:eastAsia="Times New Roman" w:hAnsi="Times New Roman"/>
          <w:i/>
          <w:iCs/>
          <w:color w:val="444444"/>
          <w:sz w:val="20"/>
          <w:szCs w:val="20"/>
        </w:rPr>
        <w:t xml:space="preserve">TABLE XII. INTER-RATER AGREEMENT (HUMAN VERSUS HUMAN)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1600"/>
        <w:gridCol w:w="1200"/>
        <w:gridCol w:w="1000"/>
        <w:gridCol w:w="1600"/>
      </w:tblGrid>
      <w:tr>
        <w:trPr>
          <w:tblHeader/>
        </w:trPr>
        <w:tc>
          <w:tcPr>
            <w:tcW w:type="dxa" w:w="2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Comparison</w:t>
            </w:r>
          </w:p>
        </w:tc>
        <w:tc>
          <w:tcPr>
            <w:tcW w:type="dxa" w:w="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N</w:t>
            </w:r>
          </w:p>
        </w:tc>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Exact Match</w:t>
            </w:r>
          </w:p>
        </w:tc>
        <w:tc>
          <w:tcPr>
            <w:tcW w:type="dxa" w:w="1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w:t>
            </w:r>
          </w:p>
        </w:tc>
        <w:tc>
          <w:tcPr>
            <w:tcW w:type="dxa" w:w="1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κ</w:t>
            </w:r>
          </w:p>
        </w:tc>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Weighted κ</w:t>
            </w:r>
          </w:p>
        </w:tc>
      </w:tr>
      <w:tr>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1 vs. Rater 2</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219</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65.3%</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0.5292</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0.2506</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0.5237</w:t>
            </w:r>
          </w:p>
        </w:tc>
      </w:tr>
      <w:tr>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1 vs. Rater 3</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219</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69.4%</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0.5145</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0.3368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0.5006</w:t>
            </w:r>
          </w:p>
        </w:tc>
      </w:tr>
      <w:tr>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2 vs. Rater 3</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219</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73.5%</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0.5930</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0.3106</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0.5850</w:t>
            </w:r>
          </w:p>
        </w:tc>
      </w:tr>
    </w:tbl>
    <w:p>
      <w:pPr>
        <w:spacing w:after="200" w:line="300"/>
        <w:jc w:val="both"/>
      </w:pPr>
      <w:r>
        <w:rPr>
          <w:rFonts w:ascii="Times New Roman" w:cs="Times New Roman" w:eastAsia="Times New Roman" w:hAnsi="Times New Roman"/>
          <w:i w:val="false"/>
          <w:iCs w:val="false"/>
          <w:sz w:val="22"/>
          <w:szCs w:val="22"/>
        </w:rPr>
        <w:t xml:space="preserve">Unweighted kappa values between human raters and the automated judge fall in the range 0.20–0.23, conventionally interpreted as fair agreement — markedly weaker than the within-1-point agreement rate (82.6–86.0%) alone would suggest. This divergence illustrates precisely why kappa was included as a required statistic rather than relying on simpler agreement measures: raw agreement rates do not correct for the substantial agreement expected by chance alone when scores cluster toward the higher end of a 0–5 scale, as they do throughout this dataset, whereas kappa does. Quadratic-weighted kappa, which credits near-misses rather than penalizing every disagreement equally, is correspondingly higher (0.16–0.36), reflecting that disagreements between raters and the judge were typically narrow (within one or two points) rather than wide.</w:t>
      </w:r>
    </w:p>
    <w:p>
      <w:pPr>
        <w:spacing w:after="200" w:line="300"/>
        <w:jc w:val="both"/>
      </w:pPr>
      <w:r>
        <w:rPr>
          <w:rFonts w:ascii="Times New Roman" w:cs="Times New Roman" w:eastAsia="Times New Roman" w:hAnsi="Times New Roman"/>
          <w:i w:val="false"/>
          <w:iCs w:val="false"/>
          <w:sz w:val="22"/>
          <w:szCs w:val="22"/>
        </w:rPr>
        <w:t xml:space="preserve">Inter-rater agreement among the three human raters themselves (κ = 0.25–0.34, weighted κ = 0.50–0.59) was consistently higher than any individual rater's agreement with the automated judge, suggesting that the judge's scoring behavior diverges somewhat more from typical human judgment than human raters diverge from one another. This finding, discussed further in Section 6.4, does not invalidate the automated scores used throughout Section 5 — doing so would require discarding the only mechanism by which 900 responses could feasibly be scored within this project's scope — but it does provide a quantified, honest basis for treating the automated scores as directionally informative rather than as a precise ground truth, and motivates the recommendation in Section 8 that future work incorporate a larger-scale or iteratively-calibrated human validation phase.</w:t>
      </w:r>
    </w:p>
    <w:p>
      <w:pPr>
        <w:pStyle w:val="Heading2"/>
        <w:spacing w:after="160" w:before="320"/>
      </w:pPr>
      <w:r>
        <w:rPr>
          <w:rFonts w:ascii="Times New Roman" w:cs="Times New Roman" w:eastAsia="Times New Roman" w:hAnsi="Times New Roman"/>
          <w:b/>
          <w:bCs/>
          <w:color w:val="1F1F1F"/>
          <w:sz w:val="24"/>
          <w:szCs w:val="24"/>
        </w:rPr>
        <w:t xml:space="preserve">5.6 Synthesis Across the Statistical Analyses</w:t>
      </w:r>
    </w:p>
    <w:p>
      <w:pPr>
        <w:spacing w:after="200" w:line="300"/>
        <w:jc w:val="both"/>
      </w:pPr>
      <w:r>
        <w:rPr>
          <w:rFonts w:ascii="Times New Roman" w:cs="Times New Roman" w:eastAsia="Times New Roman" w:hAnsi="Times New Roman"/>
          <w:i w:val="false"/>
          <w:iCs w:val="false"/>
          <w:sz w:val="22"/>
          <w:szCs w:val="22"/>
        </w:rPr>
        <w:t xml:space="preserve">Considered jointly rather than section by section, the five preceding subsections converge on a consistent characterization of Groq's hosted model as the strongest performer among the three evaluated, supported by three independent lines of evidence rather than any single statistic in isolation. The reliability analysis (5.1) shows Groq producing the most consistent scores across repeated calls; the confidence-interval analysis (5.2) shows Groq with the numerically highest, though not uniquely significant, mean score; and the hypothesis-testing analysis (5.3) shows Groq with the study's only statistically confirmed, large-effect category-level advantage. No single one of these three findings would, alone, constitute strong evidence — a numerically highest mean with overlapping confidence intervals is weak evidence in isolation, as is a single significant pairwise comparison out of several tested — but their convergence across independently-computed statistics, each vulnerable to different sources of noise, is more persuasive than any one finding considered on its own.</w:t>
      </w:r>
    </w:p>
    <w:p>
      <w:pPr>
        <w:spacing w:after="200" w:line="300"/>
        <w:jc w:val="both"/>
      </w:pPr>
      <w:r>
        <w:rPr>
          <w:rFonts w:ascii="Times New Roman" w:cs="Times New Roman" w:eastAsia="Times New Roman" w:hAnsi="Times New Roman"/>
          <w:i w:val="false"/>
          <w:iCs w:val="false"/>
          <w:sz w:val="22"/>
          <w:szCs w:val="22"/>
        </w:rPr>
        <w:t xml:space="preserve">A second cross-cutting observation concerns the relationship between the correlation and regression findings (5.4) and the inter-rater agreement findings (5.5): both point toward measurement imprecision as a genuine, quantified feature of this study's results rather than an assumption to be waved away. The positive difficulty-score correlation, substantially attributable to the scoring-scale artifact discussed in Section 6.3.2, and the modest human-judge kappa values both indicate that the numeric scores reported throughout Section 5 carry real but bounded precision. This does not undermine the qualitative conclusions drawn in Section 6.1 — the convergent evidence for Groq's relative strength, described above, is robust to this imprecision — but it does argue against over-interpreting small numerical differences anywhere in this report as though they were measured without error.</w:t>
      </w:r>
    </w:p>
    <w:p>
      <w:r>
        <w:br w:type="page"/>
      </w:r>
    </w:p>
    <w:p>
      <w:pPr>
        <w:pStyle w:val="Heading1"/>
        <w:spacing w:after="240" w:before="480"/>
      </w:pPr>
      <w:r>
        <w:rPr>
          <w:rFonts w:ascii="Times New Roman" w:cs="Times New Roman" w:eastAsia="Times New Roman" w:hAnsi="Times New Roman"/>
          <w:b/>
          <w:bCs/>
          <w:color w:val="1F1F1F"/>
          <w:sz w:val="28"/>
          <w:szCs w:val="28"/>
        </w:rPr>
        <w:t xml:space="preserve">6. Discussion</w:t>
      </w:r>
    </w:p>
    <w:p>
      <w:pPr>
        <w:pStyle w:val="Heading2"/>
        <w:spacing w:after="160" w:before="320"/>
      </w:pPr>
      <w:r>
        <w:rPr>
          <w:rFonts w:ascii="Times New Roman" w:cs="Times New Roman" w:eastAsia="Times New Roman" w:hAnsi="Times New Roman"/>
          <w:b/>
          <w:bCs/>
          <w:color w:val="1F1F1F"/>
          <w:sz w:val="24"/>
          <w:szCs w:val="24"/>
        </w:rPr>
        <w:t xml:space="preserve">6.1 Overall Provider Comparison</w:t>
      </w:r>
    </w:p>
    <w:p>
      <w:pPr>
        <w:spacing w:after="200" w:line="300"/>
        <w:jc w:val="both"/>
      </w:pPr>
      <w:r>
        <w:rPr>
          <w:rFonts w:ascii="Times New Roman" w:cs="Times New Roman" w:eastAsia="Times New Roman" w:hAnsi="Times New Roman"/>
          <w:i w:val="false"/>
          <w:iCs w:val="false"/>
          <w:sz w:val="22"/>
          <w:szCs w:val="22"/>
        </w:rPr>
        <w:t xml:space="preserve">Considered jointly, the results in Section 5 support a qualified ranking rather than a single unambiguous winner. Groq's hosted model achieved the highest mean composite score, the lowest score variance across repeated calls, and the only statistically significant, large-effect pairwise category win recorded in this study — its Hallucination Stress Test advantage over Mistral. Gemini's mean score is close behind Groq's, with heavily overlapping confidence intervals, but Gemini's substantially higher score variance (mean CV = 0.31 against Groq's 0.16) indicates less predictable output quality despite a comparable average. Mistral scored measurably lower on average than the other two providers and was the specific provider outperformed with statistical confidence on hallucination resistance. On the totality of evidence gathered, Groq's hosted model is the strongest overall performer in this study, with Gemini a close but less consistent second, and Mistral the weakest of the three specifically with respect to resistance to confidently fabricated content.</w:t>
      </w:r>
    </w:p>
    <w:p>
      <w:pPr>
        <w:spacing w:after="200" w:line="300"/>
        <w:jc w:val="both"/>
      </w:pPr>
      <w:r>
        <w:rPr>
          <w:rFonts w:ascii="Times New Roman" w:cs="Times New Roman" w:eastAsia="Times New Roman" w:hAnsi="Times New Roman"/>
          <w:i w:val="false"/>
          <w:iCs w:val="false"/>
          <w:sz w:val="22"/>
          <w:szCs w:val="22"/>
        </w:rPr>
        <w:t xml:space="preserve">It is worth noting explicitly that Groq occupies a structurally different position among the three providers evaluated: unlike Gemini and Mistral, which develop and serve their own proprietary models, Groq's advantage in this study derives from its role as an inference infrastructure provider hosting an openly-licensed third-party model. This distinction is analytically relevant because it means Groq's measured advantages in Section 5 — lower score variance in particular — more plausibly reflect strengths in inference-serving infrastructure and consistency rather than differences in underlying model training or scale, since the model itself is not proprietary to Groq. This study's design does not permit fully separating a "model quality" effect from an "inference infrastructure quality" effect for the Groq results specifically, and a reader interpreting the Groq findings should bear this structural distinction in mind rather than attributing Groq's advantage to model capability alone.</w:t>
      </w:r>
    </w:p>
    <w:p>
      <w:pPr>
        <w:pStyle w:val="Heading2"/>
        <w:spacing w:after="160" w:before="320"/>
      </w:pPr>
      <w:r>
        <w:rPr>
          <w:rFonts w:ascii="Times New Roman" w:cs="Times New Roman" w:eastAsia="Times New Roman" w:hAnsi="Times New Roman"/>
          <w:b/>
          <w:bCs/>
          <w:color w:val="1F1F1F"/>
          <w:sz w:val="24"/>
          <w:szCs w:val="24"/>
        </w:rPr>
        <w:t xml:space="preserve">6.2 On the Confirmed Finding: Hallucination Resistance</w:t>
      </w:r>
    </w:p>
    <w:p>
      <w:pPr>
        <w:spacing w:after="200" w:line="300"/>
        <w:jc w:val="both"/>
      </w:pPr>
      <w:r>
        <w:rPr>
          <w:rFonts w:ascii="Times New Roman" w:cs="Times New Roman" w:eastAsia="Times New Roman" w:hAnsi="Times New Roman"/>
          <w:i w:val="false"/>
          <w:iCs w:val="false"/>
          <w:sz w:val="22"/>
          <w:szCs w:val="22"/>
        </w:rPr>
        <w:t xml:space="preserve">The Mistral-versus-Groq hallucination finding (p = 0.01, d = 0.84) deserves particular emphasis, both because it is the single result in this study that clears the conventional significance threshold with a large effect size, and because hallucination resistance is arguably the capability dimension of greatest practical consequence for any application where an incorrect but confidently-stated answer carries real cost. The Hallucination Stress Test category in this dataset presents prompts describing scenarios ranging from mildly to overtly counterfactual — anachronistic historical claims, fictitious technical specifications, and category confusions between biological and computational systems — explicitly to probe whether a model will recognize a false premise and decline to elaborate on it, rather than confabulating a plausible-sounding but fabricated answer. That this is precisely the dimension on which a significant, large-effect provider difference emerged, rather than a more diffuse or ambiguous category, lends the finding additional credibility as a genuine capability difference rather than a statistical artifact.</w:t>
      </w:r>
    </w:p>
    <w:p>
      <w:pPr>
        <w:spacing w:after="200" w:line="300"/>
        <w:jc w:val="both"/>
      </w:pPr>
      <w:r>
        <w:rPr>
          <w:rFonts w:ascii="Times New Roman" w:cs="Times New Roman" w:eastAsia="Times New Roman" w:hAnsi="Times New Roman"/>
          <w:i w:val="false"/>
          <w:iCs w:val="false"/>
          <w:sz w:val="22"/>
          <w:szCs w:val="22"/>
        </w:rPr>
        <w:t xml:space="preserve">The practical consequence of this finding depends heavily on the deployment context, which this study did not itself investigate directly. In a low-stakes context — a creative-writing assistant, a casual conversational agent — an occasional confidently fabricated detail is an inconvenience. In a higher-stakes context — a legal research aid, a medical-information summarizer, a financial-advisory tool — the same failure mode carries materially different risk, and the magnitude of the effect size observed here (d = 0.84, conventionally “large”) suggests the gap between Mistral and Groq on this specific dimension is large enough to plausibly matter for such a decision, not merely large enough to register as statistically detectable. This is precisely the kind of finding this study's methodology (Section 3.2, decomposed multi-criterion scoring) was designed to surface with confidence, as discussed further in Section 6.7, rather than leaving buried inside an undifferentiated overall quality score.</w:t>
      </w:r>
    </w:p>
    <w:p>
      <w:pPr>
        <w:pStyle w:val="Heading2"/>
        <w:spacing w:after="160" w:before="320"/>
      </w:pPr>
      <w:r>
        <w:rPr>
          <w:rFonts w:ascii="Times New Roman" w:cs="Times New Roman" w:eastAsia="Times New Roman" w:hAnsi="Times New Roman"/>
          <w:b/>
          <w:bCs/>
          <w:color w:val="1F1F1F"/>
          <w:sz w:val="24"/>
          <w:szCs w:val="24"/>
        </w:rPr>
        <w:t xml:space="preserve">6.3 Threats to Validity</w:t>
      </w:r>
    </w:p>
    <w:p>
      <w:pPr>
        <w:spacing w:after="200" w:line="300"/>
        <w:jc w:val="both"/>
      </w:pPr>
      <w:r>
        <w:rPr>
          <w:rFonts w:ascii="Times New Roman" w:cs="Times New Roman" w:eastAsia="Times New Roman" w:hAnsi="Times New Roman"/>
          <w:i w:val="false"/>
          <w:iCs w:val="false"/>
          <w:sz w:val="22"/>
          <w:szCs w:val="22"/>
        </w:rPr>
        <w:t xml:space="preserve">This section organizes the study's limitations using the four-category validity framework common in empirical software engineering research — construct, internal, external, and conclusion validity — to ensure the limitations are considered systematically rather than as an unstructured list.</w:t>
      </w:r>
    </w:p>
    <w:p>
      <w:pPr>
        <w:spacing w:after="100" w:before="200"/>
        <w:jc w:val="center"/>
      </w:pPr>
      <w:r>
        <w:drawing>
          <wp:inline distT="0" distB="0" distL="0" distR="0">
            <wp:extent cx="5524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1990725"/>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8. The four-part validity framework applied in Section 6.3, with the specific finding from this study that anchors each category.</w:t>
      </w:r>
    </w:p>
    <w:p>
      <w:pPr>
        <w:pStyle w:val="Heading3"/>
        <w:spacing w:after="120" w:before="240"/>
      </w:pPr>
      <w:r>
        <w:rPr>
          <w:rFonts w:ascii="Times New Roman" w:cs="Times New Roman" w:eastAsia="Times New Roman" w:hAnsi="Times New Roman"/>
          <w:b/>
          <w:bCs/>
          <w:i/>
          <w:iCs/>
          <w:color w:val="1F1F1F"/>
          <w:sz w:val="22"/>
          <w:szCs w:val="22"/>
        </w:rPr>
        <w:t xml:space="preserve">6.3.1 Construct Validity</w:t>
      </w:r>
    </w:p>
    <w:p>
      <w:pPr>
        <w:spacing w:after="200" w:line="300"/>
        <w:jc w:val="both"/>
      </w:pPr>
      <w:r>
        <w:rPr>
          <w:rFonts w:ascii="Times New Roman" w:cs="Times New Roman" w:eastAsia="Times New Roman" w:hAnsi="Times New Roman"/>
          <w:i w:val="false"/>
          <w:iCs w:val="false"/>
          <w:sz w:val="22"/>
          <w:szCs w:val="22"/>
        </w:rPr>
        <w:t xml:space="preserve">Construct validity concerns whether the measurements taken actually capture the theoretical concept they are intended to measure. The central construct-validity concern in this study is whether the 0–5 rubric score, as applied by the automated judge and the human raters, genuinely captures “response quality” for a given criterion, or whether it instead partially captures a correlated but distinct construct, such as response length, confidence of tone, or superficial fluency. The literature discussed in Section 2.2 documents exactly this risk for LLM-as-judge scoring specifically. This study's mitigation is the human validation protocol in Section 3.6 and its results in Section 5.5: to the extent that human raters, who are not subject to the same automated biases, arrive at scores correlated with the judge's scores, the judge's scores are more plausibly measuring the intended construct rather than a confounded proxy. The modest but non-zero agreement levels reported in Section 5.5 (κ = 0.20–0.23) suggest the judge is measuring something related to, but not identical to, what human raters measure — a genuine, quantified construct-validity concern rather than one dismissed by assumption.</w:t>
      </w:r>
    </w:p>
    <w:p>
      <w:pPr>
        <w:pStyle w:val="Heading3"/>
        <w:spacing w:after="120" w:before="240"/>
      </w:pPr>
      <w:r>
        <w:rPr>
          <w:rFonts w:ascii="Times New Roman" w:cs="Times New Roman" w:eastAsia="Times New Roman" w:hAnsi="Times New Roman"/>
          <w:b/>
          <w:bCs/>
          <w:i/>
          <w:iCs/>
          <w:color w:val="1F1F1F"/>
          <w:sz w:val="22"/>
          <w:szCs w:val="22"/>
        </w:rPr>
        <w:t xml:space="preserve">6.3.2 Internal Validity</w:t>
      </w:r>
    </w:p>
    <w:p>
      <w:pPr>
        <w:spacing w:after="200" w:line="300"/>
        <w:jc w:val="both"/>
      </w:pPr>
      <w:r>
        <w:rPr>
          <w:rFonts w:ascii="Times New Roman" w:cs="Times New Roman" w:eastAsia="Times New Roman" w:hAnsi="Times New Roman"/>
          <w:i w:val="false"/>
          <w:iCs w:val="false"/>
          <w:sz w:val="22"/>
          <w:szCs w:val="22"/>
        </w:rPr>
        <w:t xml:space="preserve">Internal validity concerns whether the observed effects can be causally attributed to the manipulated variable — here, provider identity — rather than to a confounding factor. The primary internal-validity safeguard in this study's design is the fixed temperature (0.7) applied identically across all three providers, eliminating sampling-entropy differences as a confound on the score comparisons in Section 5. A secondary, only partially controlled internal-validity concern is the scoring-scale confound discussed in Section 6.3.4 below: because Hard-tier, multi-module prompts carry a higher maximum score by construction, a portion of the positive difficulty–score correlation reported in Section 5.4 is attributable to this scale artifact rather than to any genuine, difficulty-dependent capability difference between providers, and this confound is not fully separable from genuine effects using the data collected in this study alone.</w:t>
      </w:r>
    </w:p>
    <w:p>
      <w:pPr>
        <w:pStyle w:val="Heading3"/>
        <w:spacing w:after="120" w:before="240"/>
      </w:pPr>
      <w:r>
        <w:rPr>
          <w:rFonts w:ascii="Times New Roman" w:cs="Times New Roman" w:eastAsia="Times New Roman" w:hAnsi="Times New Roman"/>
          <w:b/>
          <w:bCs/>
          <w:i/>
          <w:iCs/>
          <w:color w:val="1F1F1F"/>
          <w:sz w:val="22"/>
          <w:szCs w:val="22"/>
        </w:rPr>
        <w:t xml:space="preserve">6.3.3 External Validity</w:t>
      </w:r>
    </w:p>
    <w:p>
      <w:pPr>
        <w:spacing w:after="200" w:line="300"/>
        <w:jc w:val="both"/>
      </w:pPr>
      <w:r>
        <w:rPr>
          <w:rFonts w:ascii="Times New Roman" w:cs="Times New Roman" w:eastAsia="Times New Roman" w:hAnsi="Times New Roman"/>
          <w:i w:val="false"/>
          <w:iCs w:val="false"/>
          <w:sz w:val="22"/>
          <w:szCs w:val="22"/>
        </w:rPr>
        <w:t xml:space="preserve">External validity concerns the extent to which this study's findings generalize beyond the specific conditions under which they were obtained. Three specific limits on generalization apply here. First, as discussed in Section 7, the exact model identifiers evaluated are subject to the same deprecation and update cycle documented in Section 4.2, meaning the specific rankings in Section 6.1 should not be assumed to generalize to future versions of these same models, let alone to other providers' offerings. Second, this study's dataset, while spanning ten categories, is necessarily a finite sample of the space of possible tasks within each category; a provider's relative strength on the twenty-two Hallucination Stress Test prompts used here is suggestive of, but not proof of, its relative strength on hallucination resistance in general. Third, all evaluation was conducted in English-authored prompts (with the Multilingual Tasks category testing output in other languages, but prompt instructions themselves remaining in English throughout), so generalization to non-English prompting is untested by this study.</w:t>
      </w:r>
    </w:p>
    <w:p>
      <w:pPr>
        <w:pStyle w:val="Heading3"/>
        <w:spacing w:after="120" w:before="240"/>
      </w:pPr>
      <w:r>
        <w:rPr>
          <w:rFonts w:ascii="Times New Roman" w:cs="Times New Roman" w:eastAsia="Times New Roman" w:hAnsi="Times New Roman"/>
          <w:b/>
          <w:bCs/>
          <w:i/>
          <w:iCs/>
          <w:color w:val="1F1F1F"/>
          <w:sz w:val="22"/>
          <w:szCs w:val="22"/>
        </w:rPr>
        <w:t xml:space="preserve">6.3.4 Conclusion Validity</w:t>
      </w:r>
    </w:p>
    <w:p>
      <w:pPr>
        <w:spacing w:after="200" w:line="300"/>
        <w:jc w:val="both"/>
      </w:pPr>
      <w:r>
        <w:rPr>
          <w:rFonts w:ascii="Times New Roman" w:cs="Times New Roman" w:eastAsia="Times New Roman" w:hAnsi="Times New Roman"/>
          <w:i w:val="false"/>
          <w:iCs w:val="false"/>
          <w:sz w:val="22"/>
          <w:szCs w:val="22"/>
        </w:rPr>
        <w:t xml:space="preserve">Conclusion validity concerns whether the statistical procedures applied support the conclusions drawn from them. This study's conclusion-validity safeguards include the use of Welch's t-test in preference to the equal-variance Student's t-test (Section 2.4), the use of an exact rather than approximated p-value for all hypothesis tests (Section 3.7), and the explicit reporting of effect size alongside every significance test, avoiding the well-documented interpretive error of treating statistical significance and practical importance as equivalent. The principal conclusion-validity limitation is statistical power: the per-category sample size of twenty-two prompts per provider, while adequate for detecting the large effect confirmed in the H3 Mistral-versus-Groq comparison, is underpowered for detecting small-to-medium effects with confidence, meaning the non-significant H1 and H2 results reported in Section 5.3 should be interpreted as absence of evidence at this sample size, explicitly not as evidence of absence of any true effect.</w:t>
      </w:r>
    </w:p>
    <w:p>
      <w:pPr>
        <w:pStyle w:val="Heading2"/>
        <w:spacing w:after="160" w:before="320"/>
      </w:pPr>
      <w:r>
        <w:rPr>
          <w:rFonts w:ascii="Times New Roman" w:cs="Times New Roman" w:eastAsia="Times New Roman" w:hAnsi="Times New Roman"/>
          <w:b/>
          <w:bCs/>
          <w:color w:val="1F1F1F"/>
          <w:sz w:val="24"/>
          <w:szCs w:val="24"/>
        </w:rPr>
        <w:t xml:space="preserve">6.4 Implications for LLM-as-Judge Methodology</w:t>
      </w:r>
    </w:p>
    <w:p>
      <w:pPr>
        <w:spacing w:after="200" w:line="300"/>
        <w:jc w:val="both"/>
      </w:pPr>
      <w:r>
        <w:rPr>
          <w:rFonts w:ascii="Times New Roman" w:cs="Times New Roman" w:eastAsia="Times New Roman" w:hAnsi="Times New Roman"/>
          <w:i w:val="false"/>
          <w:iCs w:val="false"/>
          <w:sz w:val="22"/>
          <w:szCs w:val="22"/>
        </w:rPr>
        <w:t xml:space="preserve">The gap between within-one-point agreement (82.6–86.0%) and unweighted Cohen's kappa (0.20–0.23) documented in Section 5.5 carries a methodological lesson applicable well beyond this specific study: a superficially reassuring raw agreement figure can substantially overstate the reliability of an automated judge once chance agreement is properly accounted for, particularly when scores cluster toward one end of the available scale, as is common when responses from capable modern models are evaluated. Any study relying on LLM-as-judge scoring at scale, this one included, should treat a chance-corrected agreement statistic such as kappa, rather than raw percentage agreement, as the primary reported evidence of judge reliability, and should budget for a human validation phase as a standing component of the methodology rather than an optional check performed only if time permits.</w:t>
      </w:r>
    </w:p>
    <w:p>
      <w:pPr>
        <w:spacing w:after="200" w:line="300"/>
        <w:jc w:val="both"/>
      </w:pPr>
      <w:r>
        <w:rPr>
          <w:rFonts w:ascii="Times New Roman" w:cs="Times New Roman" w:eastAsia="Times New Roman" w:hAnsi="Times New Roman"/>
          <w:i w:val="false"/>
          <w:iCs w:val="false"/>
          <w:sz w:val="22"/>
          <w:szCs w:val="22"/>
        </w:rPr>
        <w:t xml:space="preserve">The two worked examples in Section 3.7 reinforce this same general point from a different angle: both demonstrate that a single summary statistic — a confidence interval bound, or an effect size — encodes more information than its headline value alone suggests, and can be decomposed back into its constituent parts (a standard deviation, a pooled variance) to sanity-check internal consistency. The discipline of being able to recover and verify these underlying quantities, rather than treating a reported statistic as an opaque black box, is the same discipline that motivated preferring chance-corrected kappa over raw agreement rates throughout this section, and effect sizes over bare significance tests throughout Section 5.3.</w:t>
      </w:r>
    </w:p>
    <w:p>
      <w:pPr>
        <w:pStyle w:val="Heading2"/>
        <w:spacing w:after="160" w:before="320"/>
      </w:pPr>
      <w:r>
        <w:rPr>
          <w:rFonts w:ascii="Times New Roman" w:cs="Times New Roman" w:eastAsia="Times New Roman" w:hAnsi="Times New Roman"/>
          <w:b/>
          <w:bCs/>
          <w:color w:val="1F1F1F"/>
          <w:sz w:val="24"/>
          <w:szCs w:val="24"/>
        </w:rPr>
        <w:t xml:space="preserve">6.5 Practical Implications for Model Selection</w:t>
      </w:r>
    </w:p>
    <w:p>
      <w:pPr>
        <w:spacing w:after="200" w:line="300"/>
        <w:jc w:val="both"/>
      </w:pPr>
      <w:r>
        <w:rPr>
          <w:rFonts w:ascii="Times New Roman" w:cs="Times New Roman" w:eastAsia="Times New Roman" w:hAnsi="Times New Roman"/>
          <w:i w:val="false"/>
          <w:iCs w:val="false"/>
          <w:sz w:val="22"/>
          <w:szCs w:val="22"/>
        </w:rPr>
        <w:t xml:space="preserve">For a practitioner using this study's findings to inform a real provider selection decision, three practical implications follow directly from the results in Section 5, each qualified by the limitations discussed above. First, if hallucination resistance is a primary concern for the intended application — for instance, a use case where a confidently stated but fabricated answer carries meaningful cost — the confirmed, large-effect H3 finding favoring Groq over Mistral (Section 5.3) is this study's most statistically defensible actionable result, and is the one finding in this study a practitioner could reasonably weight most heavily in a selection decision. Second, if predictable, consistent output quality across repeated calls to similar prompts matters more than peak average quality — for instance, in a production pipeline where unpredictable quality swings are more costly than a slightly lower but stable baseline — the reliability analysis in Section 5.1 favoring Groq's markedly lower coefficient of variation is directly relevant. Third, and most importantly, given the external-validity limitations discussed in Section 6.3.3, any practitioner relying on this study's findings for a decision of lasting consequence should independently re-verify current model behavior rather than treating this report's specific numbers as a permanent characterization, particularly given the documented pace of change in free-tier model offerings evidenced by this study's own incident history.</w:t>
      </w:r>
    </w:p>
    <w:p>
      <w:pPr>
        <w:pStyle w:val="Heading2"/>
        <w:spacing w:after="160" w:before="320"/>
      </w:pPr>
      <w:r>
        <w:rPr>
          <w:rFonts w:ascii="Times New Roman" w:cs="Times New Roman" w:eastAsia="Times New Roman" w:hAnsi="Times New Roman"/>
          <w:b/>
          <w:bCs/>
          <w:color w:val="1F1F1F"/>
          <w:sz w:val="24"/>
          <w:szCs w:val="24"/>
        </w:rPr>
        <w:t xml:space="preserve">6.6 On the Equal-Category-Weighting Design Choice</w:t>
      </w:r>
    </w:p>
    <w:p>
      <w:pPr>
        <w:spacing w:after="200" w:line="300"/>
        <w:jc w:val="both"/>
      </w:pPr>
      <w:r>
        <w:rPr>
          <w:rFonts w:ascii="Times New Roman" w:cs="Times New Roman" w:eastAsia="Times New Roman" w:hAnsi="Times New Roman"/>
          <w:i w:val="false"/>
          <w:iCs w:val="false"/>
          <w:sz w:val="22"/>
          <w:szCs w:val="22"/>
        </w:rPr>
        <w:t xml:space="preserve">Section 3.1 documented the decision to weight all ten evaluation categories equally (twenty-two prompts each) rather than preserving the originating proposal's unequal weighting, which favored three “core” categories at thirty prompts each over seven “specialized” categories at twenty each. This design choice deserves explicit revisiting in light of the results: because the composite score reported in Section 5.2 is an unweighted average across all ten categories, the equal-weighting decision means that a category such as Multilingual Tasks or Data Transformation contributes exactly as much to a provider's overall mean score as Multi-step Reasoning or Coding and System Architecture, despite these categories arguably differing in their practical importance for a great many real-world applications. A reader who considers, for instance, code-generation correctness substantially more important than translation quality for their own purposes should consult the category-specific findings in Section 5.3 rather than the blended overall means in Section 5.2 alone, and future work re-weighting the composite score according to a stated, application-specific importance ranking is a natural and straightforward extension of the reproducibility package described in Appendix B.</w:t>
      </w:r>
    </w:p>
    <w:p>
      <w:pPr>
        <w:pStyle w:val="Heading2"/>
        <w:spacing w:after="160" w:before="320"/>
      </w:pPr>
      <w:r>
        <w:rPr>
          <w:rFonts w:ascii="Times New Roman" w:cs="Times New Roman" w:eastAsia="Times New Roman" w:hAnsi="Times New Roman"/>
          <w:b/>
          <w:bCs/>
          <w:color w:val="1F1F1F"/>
          <w:sz w:val="24"/>
          <w:szCs w:val="24"/>
        </w:rPr>
        <w:t xml:space="preserve">6.7 On the Value of Decomposed, Multi-Criterion Scoring</w:t>
      </w:r>
    </w:p>
    <w:p>
      <w:pPr>
        <w:spacing w:after="200" w:line="300"/>
        <w:jc w:val="both"/>
      </w:pPr>
      <w:r>
        <w:rPr>
          <w:rFonts w:ascii="Times New Roman" w:cs="Times New Roman" w:eastAsia="Times New Roman" w:hAnsi="Times New Roman"/>
          <w:i w:val="false"/>
          <w:iCs w:val="false"/>
          <w:sz w:val="22"/>
          <w:szCs w:val="22"/>
        </w:rPr>
        <w:t xml:space="preserve">A recurring theme across the rubric design (Section 3.2), the extended walkthroughs in Appendix D, and the discussion above is the deliberate decomposition of compound tasks into multiple independently scored criteria, rather than a single holistic judgment per response. This design choice has a direct, demonstrable consequence for the interpretability of this study's findings: the H3 result (Section 5.3), for instance, is reported specifically for the Hallucination Stress Test category's Refusal of False Premise and Avoidance of Fabrication criteria, rather than as an undifferentiated overall quality judgment that might have obscured hallucination-specific behavior behind a response's otherwise fluent or well-organized presentation. Had this study instead scored each response with a single 0–5 rating per prompt, the specific, large-effect Mistral-versus-Groq hallucination difference could plausibly have been diluted by, or confounded with, differences in unrelated qualities such as writing style or response length, precisely the confound the construct-validity discussion in Section 6.3.1 warns against. The decomposed scoring design is accordingly not merely a bookkeeping convenience but a substantive methodological choice that materially shaped which findings this study was capable of detecting with confidence.</w:t>
      </w:r>
    </w:p>
    <w:p>
      <w:pPr>
        <w:pStyle w:val="Heading2"/>
        <w:spacing w:after="160" w:before="320"/>
      </w:pPr>
      <w:r>
        <w:rPr>
          <w:rFonts w:ascii="Times New Roman" w:cs="Times New Roman" w:eastAsia="Times New Roman" w:hAnsi="Times New Roman"/>
          <w:b/>
          <w:bCs/>
          <w:color w:val="1F1F1F"/>
          <w:sz w:val="24"/>
          <w:szCs w:val="24"/>
        </w:rPr>
        <w:t xml:space="preserve">6.8 Comparison Against Anticipated Outcomes</w:t>
      </w:r>
    </w:p>
    <w:p>
      <w:pPr>
        <w:spacing w:after="200" w:line="300"/>
        <w:jc w:val="both"/>
      </w:pPr>
      <w:r>
        <w:rPr>
          <w:rFonts w:ascii="Times New Roman" w:cs="Times New Roman" w:eastAsia="Times New Roman" w:hAnsi="Times New Roman"/>
          <w:i w:val="false"/>
          <w:iCs w:val="false"/>
          <w:sz w:val="22"/>
          <w:szCs w:val="22"/>
        </w:rPr>
        <w:t xml:space="preserve">It is worth stating plainly which of this study's outcomes matched, and which diverged from, what might reasonably have been anticipated at the project's outset. The finding that all three providers performed comparably on Multi-step Reasoning versus Knowledge Retrieval (H1, Section 5.3) was not strongly anticipated in either direction; a plausible prior expectation might have favored a larger reasoning-retrieval gap given the differing computational demands of the two task types, and the absence of a statistically confirmed difference is itself a modestly informative null result, properly qualified by the power limitations discussed in Section 2.7. The H3 hallucination finding, by contrast, is broadly consistent with a general expectation that hallucination resistance would be the capability dimension most likely to show genuine provider separation, given that this dimension depends heavily on training-time calibration choices that plausibly differ more between providers than surface-level task competence does; the empirical confirmation of this expectation, with a large effect size, is a stronger result than a merely anticipated direction would suggest.</w:t>
      </w:r>
    </w:p>
    <w:p>
      <w:pPr>
        <w:spacing w:after="200" w:line="300"/>
        <w:jc w:val="both"/>
      </w:pPr>
      <w:r>
        <w:rPr>
          <w:rFonts w:ascii="Times New Roman" w:cs="Times New Roman" w:eastAsia="Times New Roman" w:hAnsi="Times New Roman"/>
          <w:i w:val="false"/>
          <w:iCs w:val="false"/>
          <w:sz w:val="22"/>
          <w:szCs w:val="22"/>
        </w:rPr>
        <w:t xml:space="preserve">The reliability findings (Section 5.1) were the least strongly anticipated in advance: there was no strong prior basis for expecting Groq's hosted model specifically to exhibit the lowest score variance among the three providers, since inference infrastructure and consistency are not attributes typically emphasized in provider marketing materials or general reputation. This finding is presented as a genuine empirical discovery of this study, rather than a confirmation of an expected result, and is accordingly one of the report's more novel contributions.</w:t>
      </w:r>
    </w:p>
    <w:p>
      <w:pPr>
        <w:pStyle w:val="Heading2"/>
        <w:spacing w:after="160" w:before="320"/>
      </w:pPr>
      <w:r>
        <w:rPr>
          <w:rFonts w:ascii="Times New Roman" w:cs="Times New Roman" w:eastAsia="Times New Roman" w:hAnsi="Times New Roman"/>
          <w:b/>
          <w:bCs/>
          <w:color w:val="1F1F1F"/>
          <w:sz w:val="24"/>
          <w:szCs w:val="24"/>
        </w:rPr>
        <w:t xml:space="preserve">6.9 A Bias–Variance Framing of the Reliability and Accuracy Findings</w:t>
      </w:r>
    </w:p>
    <w:p>
      <w:pPr>
        <w:spacing w:after="200" w:line="300"/>
        <w:jc w:val="both"/>
      </w:pPr>
      <w:r>
        <w:rPr>
          <w:rFonts w:ascii="Times New Roman" w:cs="Times New Roman" w:eastAsia="Times New Roman" w:hAnsi="Times New Roman"/>
          <w:i w:val="false"/>
          <w:iCs w:val="false"/>
          <w:sz w:val="22"/>
          <w:szCs w:val="22"/>
        </w:rPr>
        <w:t xml:space="preserve">The joint pattern across Section 5.1 (reliability) and Section 5.2 (mean score) admits a useful theoretical framing borrowed from the classical bias–variance decomposition used in statistical learning theory, even though this study is evaluating externally-hosted language models rather than fitting a predictive model in the conventional machine-learning sense. In that framing, a system's total expected error can be decomposed into a bias component (systematic deviation from the ideal target, here analogous to a provider's mean score falling short of the maximum achievable score) and a variance component (inconsistency across repeated trials on the same input, here directly measured by the coefficient of variation in Section 5.1). A provider with low bias but high variance — descriptively, Gemini's profile in this study, with a competitive mean score (Section 5.2) but the highest coefficient of variation (Section 5.1) — produces excellent results on some calls and mediocre results on others for the same prompt, a pattern that may be practically worse for certain applications than a provider with slightly higher bias but markedly lower variance, since unpredictability itself carries a cost independent of average quality.</w:t>
      </w:r>
    </w:p>
    <w:p>
      <w:pPr>
        <w:spacing w:after="200" w:line="300"/>
        <w:jc w:val="both"/>
      </w:pPr>
      <w:r>
        <w:rPr>
          <w:rFonts w:ascii="Times New Roman" w:cs="Times New Roman" w:eastAsia="Times New Roman" w:hAnsi="Times New Roman"/>
          <w:i w:val="false"/>
          <w:iCs w:val="false"/>
          <w:sz w:val="22"/>
          <w:szCs w:val="22"/>
        </w:rPr>
        <w:t xml:space="preserve">Groq's empirical profile in this study — the lowest variance combined with the highest mean score — is the theoretically preferable combination under this framing, dominating on both axes simultaneously rather than presenting a bias–variance tradeoff a practitioner would need to weigh. This is worth stating explicitly because the classical bias–variance decomposition usually describes a genuine tradeoff, where reducing one component tends to increase the other; the absence of such a tradeoff in this study's specific empirical results is itself a notable, non-obvious finding rather than a theoretically expected outcome, and is a direct consequence of the specific models and providers evaluated rather than a general property that would be expected to hold across arbitrary provider comparisons.</w:t>
      </w:r>
    </w:p>
    <w:p>
      <w:pPr>
        <w:pStyle w:val="Heading2"/>
        <w:spacing w:after="160" w:before="320"/>
      </w:pPr>
      <w:r>
        <w:rPr>
          <w:rFonts w:ascii="Times New Roman" w:cs="Times New Roman" w:eastAsia="Times New Roman" w:hAnsi="Times New Roman"/>
          <w:b/>
          <w:bCs/>
          <w:color w:val="1F1F1F"/>
          <w:sz w:val="24"/>
          <w:szCs w:val="24"/>
        </w:rPr>
        <w:t xml:space="preserve">6.10 Recommendations for Future Benchmarking Efforts</w:t>
      </w:r>
    </w:p>
    <w:p>
      <w:pPr>
        <w:spacing w:after="200" w:line="300"/>
        <w:jc w:val="both"/>
      </w:pPr>
      <w:r>
        <w:rPr>
          <w:rFonts w:ascii="Times New Roman" w:cs="Times New Roman" w:eastAsia="Times New Roman" w:hAnsi="Times New Roman"/>
          <w:i w:val="false"/>
          <w:iCs w:val="false"/>
          <w:sz w:val="22"/>
          <w:szCs w:val="22"/>
        </w:rPr>
        <w:t xml:space="preserve">Beyond the specific future-work directions listed in Section 8.1, this study's experience suggests three broader recommendations for researchers designing comparable LLM benchmarking efforts. First, budget explicitly for provider and model instability as a first-class project risk, following the discussion in Section 4.4, rather than treating the initially selected provider list as fixed; a realistic project timeline for free-tier, multi-provider evaluation should include contingency time for at least one unplanned provider or model substitution. Second, treat automated LLM-judge scoring as a hypothesis requiring independent human validation from the outset of project design, rather than as an assumed-reliable measurement instrument to be validated only if time permits at the end; this study's own human validation phase (Section 3.6) was planned as a core deliverable from the beginning specifically to avoid this common shortcut. Third, report effect sizes and confidence intervals alongside every significance test as standard practice, following Section 3.7's methodology throughout Section 5, since a raw significance result without an accompanying effect size, as discussed in Section 2.4, provides an incomplete and potentially misleading basis for practical decision-making.</w:t>
      </w:r>
    </w:p>
    <w:p>
      <w:r>
        <w:br w:type="page"/>
      </w:r>
    </w:p>
    <w:p>
      <w:pPr>
        <w:pStyle w:val="Heading1"/>
        <w:spacing w:after="240" w:before="480"/>
      </w:pPr>
      <w:r>
        <w:rPr>
          <w:rFonts w:ascii="Times New Roman" w:cs="Times New Roman" w:eastAsia="Times New Roman" w:hAnsi="Times New Roman"/>
          <w:b/>
          <w:bCs/>
          <w:color w:val="1F1F1F"/>
          <w:sz w:val="28"/>
          <w:szCs w:val="28"/>
        </w:rPr>
        <w:t xml:space="preserve">7. Ethical Considerations</w:t>
      </w:r>
    </w:p>
    <w:p>
      <w:pPr>
        <w:spacing w:after="200" w:line="300"/>
        <w:jc w:val="both"/>
      </w:pPr>
      <w:r>
        <w:rPr>
          <w:rFonts w:ascii="Times New Roman" w:cs="Times New Roman" w:eastAsia="Times New Roman" w:hAnsi="Times New Roman"/>
          <w:i w:val="false"/>
          <w:iCs w:val="false"/>
          <w:sz w:val="22"/>
          <w:szCs w:val="22"/>
        </w:rPr>
        <w:t xml:space="preserve">Several ethical dimensions attend this study and are addressed here directly, consistent with the proposal's requirement that ethical implications be discussed rather than left implicit.</w:t>
      </w:r>
    </w:p>
    <w:p>
      <w:pPr>
        <w:spacing w:after="200" w:line="300"/>
        <w:jc w:val="both"/>
      </w:pPr>
      <w:r>
        <w:rPr>
          <w:rFonts w:ascii="Times New Roman" w:cs="Times New Roman" w:eastAsia="Times New Roman" w:hAnsi="Times New Roman"/>
          <w:i w:val="false"/>
          <w:iCs w:val="false"/>
          <w:sz w:val="22"/>
          <w:szCs w:val="22"/>
        </w:rPr>
        <w:t xml:space="preserve">Benchmark contamination and representativeness. The dataset was authored originally rather than drawn from any existing public benchmark, specifically to reduce the risk that reported scores reflect prior exposure to the exact evaluation items during model training rather than genuine generalizable capability. This mitigation is necessarily imperfect: publicly released reports describing this dataset's content, including this report itself once shared, could in principle become part of a future model's training data, reintroducing the same contamination risk this design choice sought to avoid. No dataset, once published, can guarantee indefinite freedom from this risk.</w:t>
      </w:r>
    </w:p>
    <w:p>
      <w:pPr>
        <w:spacing w:after="200" w:line="300"/>
        <w:jc w:val="both"/>
      </w:pPr>
      <w:r>
        <w:rPr>
          <w:rFonts w:ascii="Times New Roman" w:cs="Times New Roman" w:eastAsia="Times New Roman" w:hAnsi="Times New Roman"/>
          <w:i w:val="false"/>
          <w:iCs w:val="false"/>
          <w:sz w:val="22"/>
          <w:szCs w:val="22"/>
        </w:rPr>
        <w:t xml:space="preserve">Model drift and temporal validity. Every score reported in Section 5 reflects the specific model versions named in Section 3.3, evaluated within a bounded data collection window. As documented extensively in Section 4.2, free-tier model identifiers are subject to silent retirement, quota policy changes, and version updates outside this study's control; a provider comparison conducted even a few months later, using the same methodology, could yield materially different results without any error in either study. Readers should treat the specific rankings in Section 6.1 as a snapshot bound to a documented point in time, not a permanent characterization of any provider's capability.</w:t>
      </w:r>
    </w:p>
    <w:p>
      <w:pPr>
        <w:spacing w:after="200" w:line="300"/>
        <w:jc w:val="both"/>
      </w:pPr>
      <w:r>
        <w:rPr>
          <w:rFonts w:ascii="Times New Roman" w:cs="Times New Roman" w:eastAsia="Times New Roman" w:hAnsi="Times New Roman"/>
          <w:i w:val="false"/>
          <w:iCs w:val="false"/>
          <w:sz w:val="22"/>
          <w:szCs w:val="22"/>
        </w:rPr>
        <w:t xml:space="preserve">Automated judge bias and fairness across providers. Since the same LLM judge scored all three providers' responses under an identical rubric and prompt template, any systematic bias intrinsic to that judge model — for instance, a documented general tendency in LLM-as-judge research toward favoring longer or more verbosely-hedged responses — is applied uniformly across providers rather than selectively. This does not eliminate judge bias as a concern, but it does mean that any such bias is substantially less likely to have differentially advantaged one provider's results over another's, since all three were subject to the identical judge and identical criteria throughout.</w:t>
      </w:r>
    </w:p>
    <w:p>
      <w:pPr>
        <w:spacing w:after="200" w:line="300"/>
        <w:jc w:val="both"/>
      </w:pPr>
      <w:r>
        <w:rPr>
          <w:rFonts w:ascii="Times New Roman" w:cs="Times New Roman" w:eastAsia="Times New Roman" w:hAnsi="Times New Roman"/>
          <w:i w:val="false"/>
          <w:iCs w:val="false"/>
          <w:sz w:val="22"/>
          <w:szCs w:val="22"/>
        </w:rPr>
        <w:t xml:space="preserve">Human rater welfare and informed participation. The three human raters who conducted the validation scoring in this study participated with full knowledge of the task's purpose and were not exposed to any prompt content of a distressing or harmful nature; the Hallucination Stress Test category, while probing factually false premises, was constructed using clearly fictional or absurd scenarios (for example, anachronistic historical claims) rather than content designed to be emotionally difficult to evaluate.</w:t>
      </w:r>
    </w:p>
    <w:p>
      <w:pPr>
        <w:spacing w:after="200" w:line="300"/>
        <w:jc w:val="both"/>
      </w:pPr>
      <w:r>
        <w:rPr>
          <w:rFonts w:ascii="Times New Roman" w:cs="Times New Roman" w:eastAsia="Times New Roman" w:hAnsi="Times New Roman"/>
          <w:i w:val="false"/>
          <w:iCs w:val="false"/>
          <w:sz w:val="22"/>
          <w:szCs w:val="22"/>
        </w:rPr>
        <w:t xml:space="preserve">Responsible use of comparative findings. The provider comparison in Section 6.1 is reported to characterize relative performance under this study's specific, bounded conditions, not to serve as a blanket endorsement or condemnation of any provider's broader product offering. Given the limitations discussed in Section 6.3, particularly around sample size and temporal validity, this report explicitly cautions against treating any single finding herein as a definitive basis for a production deployment decision without independent, current verification.</w:t>
      </w:r>
    </w:p>
    <w:p>
      <w:pPr>
        <w:spacing w:after="200" w:line="300"/>
        <w:jc w:val="both"/>
      </w:pPr>
      <w:r>
        <w:rPr>
          <w:rFonts w:ascii="Times New Roman" w:cs="Times New Roman" w:eastAsia="Times New Roman" w:hAnsi="Times New Roman"/>
          <w:i w:val="false"/>
          <w:iCs w:val="false"/>
          <w:sz w:val="22"/>
          <w:szCs w:val="22"/>
        </w:rPr>
        <w:t xml:space="preserve">Resource cost of automated evaluation at scale. The 900 provider API calls and additional 900 judge API calls underlying this study, while conducted entirely within free-tier usage limits, nonetheless represent a real computational and energy cost incurred across multiple data centers. This cost is a general, largely unavoidable feature of any empirical LLM evaluation conducted at meaningful scale, and is noted here explicitly rather than left unacknowledged; the reproducibility package described in Appendix B is intended to allow future researchers to build directly on this study's dataset and findings rather than needing to repeat the full data collection process from scratch, partially mitigating this cumulative cost across the research community.</w:t>
      </w:r>
    </w:p>
    <w:p>
      <w:pPr>
        <w:spacing w:after="200" w:line="300"/>
        <w:jc w:val="both"/>
      </w:pPr>
      <w:r>
        <w:rPr>
          <w:rFonts w:ascii="Times New Roman" w:cs="Times New Roman" w:eastAsia="Times New Roman" w:hAnsi="Times New Roman"/>
          <w:i w:val="false"/>
          <w:iCs w:val="false"/>
          <w:sz w:val="22"/>
          <w:szCs w:val="22"/>
        </w:rPr>
        <w:t xml:space="preserve">Dual-use considerations. This framework's methodology — automated scoring against explicit rubrics, validated by human raters — is domain-agnostic and could in principle be applied to evaluate model outputs on tasks with more significant real-world consequence than the ten capability categories studied here, including tasks touching on medical, legal, or safety-critical content. No such application is undertaken or endorsed by this study, and any extension of this framework's methodology to a higher-stakes domain would require substantially more rigorous human validation than the three-rater, thirty-prompt protocol described in Section 3.6, which was calibrated to the comparatively low-stakes, general-capability nature of this study's own evaluation categories.</w:t>
      </w:r>
    </w:p>
    <w:p>
      <w:pPr>
        <w:spacing w:after="200" w:line="300"/>
        <w:jc w:val="both"/>
      </w:pPr>
      <w:r>
        <w:rPr>
          <w:rFonts w:ascii="Times New Roman" w:cs="Times New Roman" w:eastAsia="Times New Roman" w:hAnsi="Times New Roman"/>
          <w:i w:val="false"/>
          <w:iCs w:val="false"/>
          <w:sz w:val="22"/>
          <w:szCs w:val="22"/>
        </w:rPr>
        <w:t xml:space="preserve">Transparency and disclosure. Every methodological choice in this study that deviated from the originating project proposal — the equal-category-weighting decision (Section 3.1), the exclusion of the stochastic sample from human validation (Section 3.6), and the substitution of providers and models documented in Section 4.2 — is disclosed explicitly in this report rather than presented as though it had been the original plan. This disclosure standard extends to the incident history in Section 4.2 and the lessons-learned synthesis in Section 4.4, both of which document real operational difficulties and a genuine defect in the error-classification logic, rather than presenting only a polished, difficulty-free narrative of the project's execution. This standard of disclosure is itself treated as an ethical obligation of empirical research reporting, on the view that a reader's ability to correctly calibrate trust in this study's findings depends on an accurate account of how those findings were actually produced, including where the process required correction along the way.</w:t>
      </w:r>
    </w:p>
    <w:p>
      <w:pPr>
        <w:spacing w:after="240" w:before="80"/>
        <w:jc w:val="center"/>
      </w:pPr>
      <w:r>
        <w:rPr>
          <w:rFonts w:ascii="Times New Roman" w:cs="Times New Roman" w:eastAsia="Times New Roman" w:hAnsi="Times New Roman"/>
          <w:i/>
          <w:iCs/>
          <w:color w:val="444444"/>
          <w:sz w:val="20"/>
          <w:szCs w:val="20"/>
        </w:rPr>
        <w:t xml:space="preserve">TABLE XIII. SUMMARY OF KEY FINDINGS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1900"/>
        <w:gridCol w:w="1900"/>
      </w:tblGrid>
      <w:tr>
        <w:trPr>
          <w:tblHeader/>
        </w:trPr>
        <w:tc>
          <w:tcPr>
            <w:tcW w:type="dxa" w:w="3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Measure</w:t>
            </w:r>
          </w:p>
        </w:tc>
        <w:tc>
          <w:tcPr>
            <w:tcW w:type="dxa" w:w="1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Gemini</w:t>
            </w:r>
          </w:p>
        </w:tc>
        <w:tc>
          <w:tcPr>
            <w:tcW w:type="dxa" w:w="1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Mistral</w:t>
            </w:r>
          </w:p>
        </w:tc>
        <w:tc>
          <w:tcPr>
            <w:tcW w:type="dxa" w:w="1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Groq</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Mean Composite Score</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11.0273</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10.3636</w:t>
            </w:r>
          </w:p>
        </w:tc>
        <w:tc>
          <w:tcPr>
            <w:tcW w:type="dxa" w:w="1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11.1591</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95% CI</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[10.46, 11.59]</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[9.81, 10.92]</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[10.62, 11.69]</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Mean Coefficient of Variation</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0.3056</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0.2058</w:t>
            </w:r>
          </w:p>
        </w:tc>
        <w:tc>
          <w:tcPr>
            <w:tcW w:type="dxa" w:w="1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0.1606</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H3: Hallucination vs. Groq (p, d)</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0.28, −0.34</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0.01*, −0.84</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 (reference)</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Agreement with Judge (κ range)</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0.20–0.23 (all providers)</w:t>
            </w:r>
          </w:p>
        </w:tc>
      </w:tr>
    </w:tbl>
    <w:p>
      <w:pPr>
        <w:spacing w:after="200" w:line="300"/>
        <w:jc w:val="both"/>
      </w:pPr>
      <w:r>
        <w:rPr>
          <w:rFonts w:ascii="Times New Roman" w:cs="Times New Roman" w:eastAsia="Times New Roman" w:hAnsi="Times New Roman"/>
          <w:i/>
          <w:iCs/>
          <w:sz w:val="22"/>
          <w:szCs w:val="22"/>
        </w:rPr>
        <w:t xml:space="preserve">* Statistically significant at α = 0.05.</w:t>
      </w:r>
    </w:p>
    <w:p>
      <w:pPr>
        <w:spacing w:after="200" w:line="300"/>
        <w:jc w:val="both"/>
      </w:pPr>
      <w:r>
        <w:rPr>
          <w:rFonts w:ascii="Times New Roman" w:cs="Times New Roman" w:eastAsia="Times New Roman" w:hAnsi="Times New Roman"/>
          <w:i w:val="false"/>
          <w:iCs w:val="false"/>
          <w:sz w:val="22"/>
          <w:szCs w:val="22"/>
        </w:rPr>
        <w:t xml:space="preserve">Table XIII consolidates the principal quantitative findings reported across Section 5 into a single reference table. Groq's hosted model leads on both central tendency and consistency, and is the only provider with a statistically confirmed, large-effect category-level advantage over another provider (against Mistral, on hallucination resistance). The inter-rater agreement figures apply across all three providers' scored responses collectively, since the human validation sample (Section 3.6) drew from all three providers together rather than being conducted separately per provider.</w:t>
      </w:r>
    </w:p>
    <w:p>
      <w:r>
        <w:br w:type="page"/>
      </w:r>
    </w:p>
    <w:p>
      <w:pPr>
        <w:pStyle w:val="Heading1"/>
        <w:spacing w:after="240" w:before="480"/>
      </w:pPr>
      <w:r>
        <w:rPr>
          <w:rFonts w:ascii="Times New Roman" w:cs="Times New Roman" w:eastAsia="Times New Roman" w:hAnsi="Times New Roman"/>
          <w:b/>
          <w:bCs/>
          <w:color w:val="1F1F1F"/>
          <w:sz w:val="28"/>
          <w:szCs w:val="28"/>
        </w:rPr>
        <w:t xml:space="preserve">8. Conclusion and Future Work</w:t>
      </w:r>
    </w:p>
    <w:p>
      <w:pPr>
        <w:spacing w:after="200" w:line="300"/>
        <w:jc w:val="both"/>
      </w:pPr>
      <w:r>
        <w:rPr>
          <w:rFonts w:ascii="Times New Roman" w:cs="Times New Roman" w:eastAsia="Times New Roman" w:hAnsi="Times New Roman"/>
          <w:i w:val="false"/>
          <w:iCs w:val="false"/>
          <w:sz w:val="22"/>
          <w:szCs w:val="22"/>
        </w:rPr>
        <w:t xml:space="preserve">This report has presented a complete, reproducible framework for benchmarking free-tier large language models across ten capability dimensions, built and executed over an eight-week research effort spanning dataset design, multi-provider data collection, automated scoring, human-in-the-loop validation, and formal statistical analysis. The framework was deliberately engineered to survive the operational realities of free-tier research infrastructure — rate limits, silent model deprecations, and inconsistent quota enforcement — rather than treating these as exceptional failure conditions, and six distinct real incidents of this kind were encountered and documented over the course of the project.</w:t>
      </w:r>
    </w:p>
    <w:p>
      <w:pPr>
        <w:spacing w:after="200" w:line="300"/>
        <w:jc w:val="both"/>
      </w:pPr>
      <w:r>
        <w:rPr>
          <w:rFonts w:ascii="Times New Roman" w:cs="Times New Roman" w:eastAsia="Times New Roman" w:hAnsi="Times New Roman"/>
          <w:i w:val="false"/>
          <w:iCs w:val="false"/>
          <w:sz w:val="22"/>
          <w:szCs w:val="22"/>
        </w:rPr>
        <w:t xml:space="preserve">Empirically, Groq's hosted model emerged as the strongest overall performer among the three providers evaluated, combining the highest mean composite score with the lowest score variance and the study's single statistically significant, large-effect category win, specifically in hallucination resistance against Mistral. Gemini performed comparably well on average but with markedly less consistency across repeated calls, and Mistral, while competitive on most dimensions, was measurably and significantly weaker specifically at resisting confidently fabricated content. Human validation of the automated scoring pipeline revealed modest but non-trivial disagreement between human judgment and the automated judge, a finding that tempers confidence in the precision of the reported scores without undermining their directional validity, and that motivates continued human-in-the-loop validation as a standing element of any LLM benchmarking methodology rather than a one-time formality.</w:t>
      </w:r>
    </w:p>
    <w:p>
      <w:pPr>
        <w:spacing w:after="200" w:line="300"/>
        <w:jc w:val="both"/>
      </w:pPr>
      <w:r>
        <w:rPr>
          <w:rFonts w:ascii="Times New Roman" w:cs="Times New Roman" w:eastAsia="Times New Roman" w:hAnsi="Times New Roman"/>
          <w:i w:val="false"/>
          <w:iCs w:val="false"/>
          <w:sz w:val="22"/>
          <w:szCs w:val="22"/>
        </w:rPr>
        <w:t xml:space="preserve">Beyond the specific empirical findings, this project's broader contribution lies in demonstrating that a rigorous, multi-dimensional, human-validated benchmarking methodology is achievable within the resource constraints of an independent researcher operating entirely on free-tier infrastructure. Every methodological safeguard described in this report — stratified sampling, decomposed multi-criterion scoring, exact rather than approximated statistical tests, chance-corrected inter-rater agreement, and formal validity analysis — was implemented without reliance on paid API access, institutional compute resources, or commercial evaluation tooling, using only openly available free-tier services and open-source statistical methods. This demonstrates that methodological rigor in LLM evaluation is a function of research design discipline rather than research budget, a conclusion with direct relevance for students, independent researchers, and resource-constrained organizations considering comparable evaluation efforts.</w:t>
      </w:r>
    </w:p>
    <w:p>
      <w:pPr>
        <w:pStyle w:val="Heading2"/>
        <w:spacing w:after="160" w:before="320"/>
      </w:pPr>
      <w:r>
        <w:rPr>
          <w:rFonts w:ascii="Times New Roman" w:cs="Times New Roman" w:eastAsia="Times New Roman" w:hAnsi="Times New Roman"/>
          <w:b/>
          <w:bCs/>
          <w:color w:val="1F1F1F"/>
          <w:sz w:val="24"/>
          <w:szCs w:val="24"/>
        </w:rPr>
        <w:t xml:space="preserve">8.1 Future Work</w:t>
      </w:r>
    </w:p>
    <w:p>
      <w:pPr>
        <w:spacing w:after="200" w:line="300"/>
        <w:jc w:val="both"/>
      </w:pPr>
      <w:r>
        <w:rPr>
          <w:rFonts w:ascii="Times New Roman" w:cs="Times New Roman" w:eastAsia="Times New Roman" w:hAnsi="Times New Roman"/>
          <w:i w:val="false"/>
          <w:iCs w:val="false"/>
          <w:sz w:val="22"/>
          <w:szCs w:val="22"/>
        </w:rPr>
        <w:t xml:space="preserve">Several extensions follow naturally from the limitations identified in Section 6.3. A normalized-score reanalysis, dividing each response's total score by its prompt's maximum achievable score, would disentangle genuine difficulty-dependent capability effects from the scoring-scale artifact identified in Section 6.3. Expanding the per-category sample size beyond twenty-two prompts per provider would improve statistical power for the currently inconclusive H1 and H2 hypothesis tests. An iterative judge-calibration phase, in which disagreements between the automated judge and human raters are used to refine the judge's scoring prompt before a final scoring pass, could plausibly improve the modest inter-rater agreement levels observed in this study.</w:t>
      </w:r>
    </w:p>
    <w:p>
      <w:pPr>
        <w:spacing w:after="200" w:line="300"/>
        <w:jc w:val="both"/>
      </w:pPr>
      <w:r>
        <w:rPr>
          <w:rFonts w:ascii="Times New Roman" w:cs="Times New Roman" w:eastAsia="Times New Roman" w:hAnsi="Times New Roman"/>
          <w:i w:val="false"/>
          <w:iCs w:val="false"/>
          <w:sz w:val="22"/>
          <w:szCs w:val="22"/>
        </w:rPr>
        <w:t xml:space="preserve">Additional extensions follow from the scope delimitations noted in Section 1.6. Repeating this study's methodology at a later date against the same or updated provider offerings would directly test the temporal-validity concern raised in Section 7, and would itself constitute a useful empirical contribution regarding the stability of LLM capability rankings over time. Extending the evaluated categories to include multi-turn conversational coherence and tool-use accuracy, both explicitly excluded from this study's scope, would broaden the framework's applicability to a wider range of real-world deployment scenarios. Finally, a dedicated paraphrase-robustness experiment, submitting multiple independently-worded versions of the same underlying task as discussed in Section 3.11, would directly quantify the prompt-wording-sensitivity confound this study could only control for rather than measure.</w:t>
      </w:r>
    </w:p>
    <w:p>
      <w:r>
        <w:br w:type="page"/>
      </w:r>
    </w:p>
    <w:p>
      <w:pPr>
        <w:pStyle w:val="Heading1"/>
        <w:spacing w:after="240" w:before="480"/>
      </w:pPr>
      <w:r>
        <w:rPr>
          <w:rFonts w:ascii="Times New Roman" w:cs="Times New Roman" w:eastAsia="Times New Roman" w:hAnsi="Times New Roman"/>
          <w:b/>
          <w:bCs/>
          <w:color w:val="1F1F1F"/>
          <w:sz w:val="28"/>
          <w:szCs w:val="28"/>
        </w:rPr>
        <w:t xml:space="preserve">References</w:t>
      </w:r>
    </w:p>
    <w:p>
      <w:pPr>
        <w:spacing w:after="160" w:line="276"/>
        <w:ind w:left="400" w:hanging="400"/>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J. Cohen, “A coefficient of agreement for nominal scales,” Educational and Psychological Measurement, vol. 20, no. 1, pp. 37–46, 1960.</w:t>
      </w:r>
    </w:p>
    <w:p>
      <w:pPr>
        <w:spacing w:after="160" w:line="276"/>
        <w:ind w:left="400" w:hanging="400"/>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B. L. Welch, “The generalization of ‘Student’s’ problem when several different population variances are involved,” Biometrika, vol. 34, no. 1–2, pp. 28–35, 1947.</w:t>
      </w:r>
    </w:p>
    <w:p>
      <w:pPr>
        <w:spacing w:after="160" w:line="276"/>
        <w:ind w:left="400" w:hanging="400"/>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J. Cohen, Statistical Power Analysis for the Behavioral Sciences, 2nd ed. Hillsdale, NJ: Lawrence Erlbaum Associates, 1988.</w:t>
      </w:r>
    </w:p>
    <w:p>
      <w:pPr>
        <w:spacing w:after="160" w:line="276"/>
        <w:ind w:left="400" w:hanging="400"/>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K. Pearson, “Notes on regression and inheritance in the case of two parents,” Proceedings of the Royal Society of London, vol. 58, pp. 240–242, 1895.</w:t>
      </w:r>
    </w:p>
    <w:p>
      <w:pPr>
        <w:spacing w:after="160" w:line="276"/>
        <w:ind w:left="400" w:hanging="400"/>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S. S. Stevens, “On the theory of scales of measurement,” Science, vol. 103, no. 2684, pp. 677–680, 1946.</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A: Summary of Statistical Formulas</w:t>
      </w:r>
    </w:p>
    <w:p>
      <w:pPr>
        <w:spacing w:after="200" w:line="300"/>
        <w:jc w:val="both"/>
      </w:pPr>
      <w:r>
        <w:rPr>
          <w:rFonts w:ascii="Times New Roman" w:cs="Times New Roman" w:eastAsia="Times New Roman" w:hAnsi="Times New Roman"/>
          <w:i w:val="false"/>
          <w:iCs w:val="false"/>
          <w:sz w:val="22"/>
          <w:szCs w:val="22"/>
        </w:rPr>
        <w:t xml:space="preserve">Table A.I consolidates every formula used in the statistical analysis described in Section 3.7, for direct reference.</w:t>
      </w:r>
    </w:p>
    <w:p>
      <w:pPr>
        <w:spacing w:after="240" w:before="80"/>
        <w:jc w:val="center"/>
      </w:pPr>
      <w:r>
        <w:rPr>
          <w:rFonts w:ascii="Times New Roman" w:cs="Times New Roman" w:eastAsia="Times New Roman" w:hAnsi="Times New Roman"/>
          <w:i/>
          <w:iCs/>
          <w:color w:val="444444"/>
          <w:sz w:val="20"/>
          <w:szCs w:val="20"/>
        </w:rPr>
        <w:t xml:space="preserve">TABLE A.I. STATISTICAL FORMULAS USED IN THIS STUDY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tblHeader/>
        </w:trPr>
        <w:tc>
          <w:tcPr>
            <w:tcW w:type="dxa" w:w="2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Measure</w:t>
            </w:r>
          </w:p>
        </w:tc>
        <w:tc>
          <w:tcPr>
            <w:tcW w:type="dxa" w:w="3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Formula</w:t>
            </w:r>
          </w:p>
        </w:tc>
        <w:tc>
          <w:tcPr>
            <w:tcW w:type="dxa" w:w="3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Used For</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Coefficient of Variation</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CV = σ / μ</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Reliability across 5 repeated runs</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95% Confidence Interval</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x̄ ± t₀.₀₂₅,df × (s/sqrt(n))</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Mean score interval per provider</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Welch's t-statistic</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t = (x̄₁−x̄₂) / sqrt(s1²/n1 + s2²/n2)</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Hypothesis testing (H1, H3)</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Cohen's d</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d = (x̄₁−x̄₂) / s_pooled</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Effect size</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Pearson r</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 = Σ(xᵢ−x̄)(yᵢ−ȳ) / sqrt[Σ(xᵢ−x̄)² × Σ(yᵢ−ȳ)²]</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Correlation (H2, latency, regression)</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OLS Regression</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y = a + bx (least squares)</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Score vs. difficulty prediction</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Cohen's kappa</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κ = (p₀−pₑ) / (1−pₑ)</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Inter-rater / human-judge agreement</w:t>
            </w:r>
          </w:p>
        </w:tc>
      </w:tr>
    </w:tbl>
    <w:p>
      <w:pPr>
        <w:spacing w:after="200" w:line="300"/>
        <w:jc w:val="both"/>
      </w:pPr>
      <w:r>
        <w:rPr>
          <w:rFonts w:ascii="Times New Roman" w:cs="Times New Roman" w:eastAsia="Times New Roman" w:hAnsi="Times New Roman"/>
          <w:i w:val="false"/>
          <w:iCs w:val="false"/>
          <w:sz w:val="22"/>
          <w:szCs w:val="22"/>
        </w:rPr>
        <w:t xml:space="preserve">The exact two-tailed p-value accompanying Welch's t-statistic was computed via the regularized incomplete beta function, using the closed-form relationship between the Student's t-distribution and the beta distribution, rather than a normal-distribution approximation, to preserve accuracy at the moderate per-category sample sizes used in this study.</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B: Reproducibility Package</w:t>
      </w:r>
    </w:p>
    <w:p>
      <w:pPr>
        <w:spacing w:after="200" w:line="300"/>
        <w:jc w:val="both"/>
      </w:pPr>
      <w:r>
        <w:rPr>
          <w:rFonts w:ascii="Times New Roman" w:cs="Times New Roman" w:eastAsia="Times New Roman" w:hAnsi="Times New Roman"/>
          <w:i w:val="false"/>
          <w:iCs w:val="false"/>
          <w:sz w:val="22"/>
          <w:szCs w:val="22"/>
        </w:rPr>
        <w:t xml:space="preserve">In accordance with the proposal's Reproducibility Package requirement, the complete project artifact set is organized as follows:</w:t>
      </w:r>
    </w:p>
    <w:p>
      <w:pPr>
        <w:pStyle w:val="ListParagraph"/>
        <w:numPr>
          <w:ilvl w:val="0"/>
          <w:numId w:val="1"/>
        </w:numPr>
        <w:spacing w:after="100" w:line="300"/>
      </w:pPr>
      <w:r>
        <w:rPr>
          <w:rFonts w:ascii="Times New Roman" w:cs="Times New Roman" w:eastAsia="Times New Roman" w:hAnsi="Times New Roman"/>
          <w:sz w:val="22"/>
          <w:szCs w:val="22"/>
        </w:rPr>
        <w:t xml:space="preserve">Source Code: three independent provider runners (Gemini, Mistral, Groq), an LLM-judge scoring pipeline, results-consolidation utilities, statistical sample selection and human-validation materials generators, and the full statistical analysis pipeline, all implemented in Python with no proprietary dependencies.</w:t>
      </w:r>
    </w:p>
    <w:p>
      <w:pPr>
        <w:pStyle w:val="ListParagraph"/>
        <w:numPr>
          <w:ilvl w:val="0"/>
          <w:numId w:val="1"/>
        </w:numPr>
        <w:spacing w:after="100" w:line="300"/>
      </w:pPr>
      <w:r>
        <w:rPr>
          <w:rFonts w:ascii="Times New Roman" w:cs="Times New Roman" w:eastAsia="Times New Roman" w:hAnsi="Times New Roman"/>
          <w:sz w:val="22"/>
          <w:szCs w:val="22"/>
        </w:rPr>
        <w:t xml:space="preserve">Original Dataset: the complete 220-prompt evaluation set, in both machine-readable (JSON) and human-readable (Word table) form, including per-prompt evaluation criteria, difficulty tier, and stochastic-sample designation.</w:t>
      </w:r>
    </w:p>
    <w:p>
      <w:pPr>
        <w:pStyle w:val="ListParagraph"/>
        <w:numPr>
          <w:ilvl w:val="0"/>
          <w:numId w:val="1"/>
        </w:numPr>
        <w:spacing w:after="100" w:line="300"/>
      </w:pPr>
      <w:r>
        <w:rPr>
          <w:rFonts w:ascii="Times New Roman" w:cs="Times New Roman" w:eastAsia="Times New Roman" w:hAnsi="Times New Roman"/>
          <w:sz w:val="22"/>
          <w:szCs w:val="22"/>
        </w:rPr>
        <w:t xml:space="preserve">Configuration: pinned dependency requirements, environment capture snapshots, and the fixed random seed used for all stratified sampling procedures, permitting exact recreation of every sample selected in this study.</w:t>
      </w:r>
    </w:p>
    <w:p>
      <w:pPr>
        <w:pStyle w:val="ListParagraph"/>
        <w:numPr>
          <w:ilvl w:val="0"/>
          <w:numId w:val="1"/>
        </w:numPr>
        <w:spacing w:after="100" w:line="300"/>
      </w:pPr>
      <w:r>
        <w:rPr>
          <w:rFonts w:ascii="Times New Roman" w:cs="Times New Roman" w:eastAsia="Times New Roman" w:hAnsi="Times New Roman"/>
          <w:sz w:val="22"/>
          <w:szCs w:val="22"/>
        </w:rPr>
        <w:t xml:space="preserve">Raw Logs and Outputs: unmodified per-call API responses for all 900 collected responses, timestamped and indexed by prompt identifier and run number.</w:t>
      </w:r>
    </w:p>
    <w:p>
      <w:pPr>
        <w:pStyle w:val="ListParagraph"/>
        <w:numPr>
          <w:ilvl w:val="0"/>
          <w:numId w:val="1"/>
        </w:numPr>
        <w:spacing w:after="100" w:line="300"/>
      </w:pPr>
      <w:r>
        <w:rPr>
          <w:rFonts w:ascii="Times New Roman" w:cs="Times New Roman" w:eastAsia="Times New Roman" w:hAnsi="Times New Roman"/>
          <w:sz w:val="22"/>
          <w:szCs w:val="22"/>
        </w:rPr>
        <w:t xml:space="preserve">Scoring Scripts and Outputs: the complete set of judge-scored records, including per-criterion scores, justifications, and computed Success/Failure outcomes for every response.</w:t>
      </w:r>
    </w:p>
    <w:p>
      <w:pPr>
        <w:pStyle w:val="ListParagraph"/>
        <w:numPr>
          <w:ilvl w:val="0"/>
          <w:numId w:val="1"/>
        </w:numPr>
        <w:spacing w:after="100" w:line="300"/>
      </w:pPr>
      <w:r>
        <w:rPr>
          <w:rFonts w:ascii="Times New Roman" w:cs="Times New Roman" w:eastAsia="Times New Roman" w:hAnsi="Times New Roman"/>
          <w:sz w:val="22"/>
          <w:szCs w:val="22"/>
        </w:rPr>
        <w:t xml:space="preserve">Human Validation Materials: the stratified 30-prompt validation sample, the shared reading reference document, and each of the three independent raters' scoring records.</w:t>
      </w:r>
    </w:p>
    <w:p>
      <w:pPr>
        <w:pStyle w:val="ListParagraph"/>
        <w:numPr>
          <w:ilvl w:val="0"/>
          <w:numId w:val="1"/>
        </w:numPr>
        <w:spacing w:after="100" w:line="300"/>
      </w:pPr>
      <w:r>
        <w:rPr>
          <w:rFonts w:ascii="Times New Roman" w:cs="Times New Roman" w:eastAsia="Times New Roman" w:hAnsi="Times New Roman"/>
          <w:sz w:val="22"/>
          <w:szCs w:val="22"/>
        </w:rPr>
        <w:t xml:space="preserve">Statistical Notebooks and Reports: the complete reliability, confidence interval, hypothesis testing, correlation, regression, and inter-rater agreement outputs underlying Section 5, in both machine-readable JSON and formatted Word report form.</w:t>
      </w:r>
    </w:p>
    <w:p>
      <w:pPr>
        <w:pStyle w:val="ListParagraph"/>
        <w:numPr>
          <w:ilvl w:val="0"/>
          <w:numId w:val="1"/>
        </w:numPr>
        <w:spacing w:after="100" w:line="300"/>
      </w:pPr>
      <w:r>
        <w:rPr>
          <w:rFonts w:ascii="Times New Roman" w:cs="Times New Roman" w:eastAsia="Times New Roman" w:hAnsi="Times New Roman"/>
          <w:sz w:val="22"/>
          <w:szCs w:val="22"/>
        </w:rPr>
        <w:t xml:space="preserve">Weekly Progress Reports: dated, screenshot-documented reports for each of the eight project weeks, providing a complete audit trail from initial framework design through this final report.</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C: Representative Dataset Examples</w:t>
      </w:r>
    </w:p>
    <w:p>
      <w:pPr>
        <w:spacing w:after="200" w:line="300"/>
        <w:jc w:val="both"/>
      </w:pPr>
      <w:r>
        <w:rPr>
          <w:rFonts w:ascii="Times New Roman" w:cs="Times New Roman" w:eastAsia="Times New Roman" w:hAnsi="Times New Roman"/>
          <w:i w:val="false"/>
          <w:iCs w:val="false"/>
          <w:sz w:val="22"/>
          <w:szCs w:val="22"/>
        </w:rPr>
        <w:t xml:space="preserve">To make the dataset's structure and difficulty progression concrete, this appendix presents one Easy-tier and one Hard-tier example prompt, verbatim, from two representative categories spanning the dataset's range — a straightforward knowledge-retrieval task and a safety-relevant hallucination-resistance task — alongside the specific evaluation criteria attached to each. A worked example of the compound, multi-module scoring pattern is presented separately in Section 3.2 and Appendix D. These examples are drawn directly from the operational dataset used throughout Section 5 and are not illustrative paraphrases. The full 220-prompt dataset, all ten categories, is included in the reproducibility package (Appendix B).</w:t>
      </w:r>
    </w:p>
    <w:p>
      <w:pPr>
        <w:pStyle w:val="Heading3"/>
        <w:spacing w:after="120" w:before="240"/>
      </w:pPr>
      <w:r>
        <w:rPr>
          <w:rFonts w:ascii="Times New Roman" w:cs="Times New Roman" w:eastAsia="Times New Roman" w:hAnsi="Times New Roman"/>
          <w:b/>
          <w:bCs/>
          <w:i/>
          <w:iCs/>
          <w:color w:val="1F1F1F"/>
          <w:sz w:val="22"/>
          <w:szCs w:val="22"/>
        </w:rPr>
        <w:t xml:space="preserve">Knowledge Retrieval</w:t>
      </w:r>
    </w:p>
    <w:p>
      <w:pPr>
        <w:pBdr>
          <w:left w:val="single" w:color="2E5C8A" w:sz="12" w:space="8"/>
        </w:pBdr>
        <w:spacing w:after="200" w:before="100" w:line="276"/>
        <w:ind w:left="400" w:right="400"/>
      </w:pPr>
      <w:r>
        <w:rPr>
          <w:rFonts w:ascii="Times New Roman" w:cs="Times New Roman" w:eastAsia="Times New Roman" w:hAnsi="Times New Roman"/>
          <w:b/>
          <w:bCs/>
          <w:i/>
          <w:iCs/>
          <w:color w:val="2E5C8A"/>
          <w:sz w:val="20"/>
          <w:szCs w:val="20"/>
        </w:rPr>
        <w:t xml:space="preserve">Easy: </w:t>
      </w:r>
      <w:r>
        <w:rPr>
          <w:rFonts w:ascii="Consolas" w:cs="Consolas" w:eastAsia="Consolas" w:hAnsi="Consolas"/>
          <w:sz w:val="18"/>
          <w:szCs w:val="18"/>
        </w:rPr>
        <w:t xml:space="preserve">Write a Python function to check if a given string is a palindrome, ignoring spaces and case sensitivity.</w:t>
      </w:r>
    </w:p>
    <w:p>
      <w:pPr>
        <w:spacing w:after="200" w:line="300"/>
        <w:jc w:val="both"/>
      </w:pPr>
      <w:r>
        <w:rPr>
          <w:rFonts w:ascii="Times New Roman" w:cs="Times New Roman" w:eastAsia="Times New Roman" w:hAnsi="Times New Roman"/>
          <w:i/>
          <w:iCs/>
          <w:sz w:val="22"/>
          <w:szCs w:val="22"/>
        </w:rPr>
        <w:t xml:space="preserve">Criteria: Syntax Correctness; Edge Case Handling</w:t>
      </w:r>
    </w:p>
    <w:p>
      <w:pPr>
        <w:pBdr>
          <w:left w:val="single" w:color="2E5C8A" w:sz="12" w:space="8"/>
        </w:pBdr>
        <w:spacing w:after="200" w:before="100" w:line="276"/>
        <w:ind w:left="400" w:right="400"/>
      </w:pPr>
      <w:r>
        <w:rPr>
          <w:rFonts w:ascii="Times New Roman" w:cs="Times New Roman" w:eastAsia="Times New Roman" w:hAnsi="Times New Roman"/>
          <w:b/>
          <w:bCs/>
          <w:i/>
          <w:iCs/>
          <w:color w:val="2E5C8A"/>
          <w:sz w:val="20"/>
          <w:szCs w:val="20"/>
        </w:rPr>
        <w:t xml:space="preserve">Hard: </w:t>
      </w:r>
      <w:r>
        <w:rPr>
          <w:rFonts w:ascii="Consolas" w:cs="Consolas" w:eastAsia="Consolas" w:hAnsi="Consolas"/>
          <w:sz w:val="18"/>
          <w:szCs w:val="18"/>
        </w:rPr>
        <w:t xml:space="preserve">Analyze the Linux kernel Completely Fair Scheduler (CFS). Explain how it utilizes red-black trees and virtual runtime (vruntime) to achieve task scheduling equity.</w:t>
      </w:r>
    </w:p>
    <w:p>
      <w:pPr>
        <w:spacing w:after="200" w:line="300"/>
        <w:jc w:val="both"/>
      </w:pPr>
      <w:r>
        <w:rPr>
          <w:rFonts w:ascii="Times New Roman" w:cs="Times New Roman" w:eastAsia="Times New Roman" w:hAnsi="Times New Roman"/>
          <w:i/>
          <w:iCs/>
          <w:sz w:val="22"/>
          <w:szCs w:val="22"/>
        </w:rPr>
        <w:t xml:space="preserve">Criteria: Algorithm Depth; Vruntime Mechanics</w:t>
      </w:r>
    </w:p>
    <w:p>
      <w:pPr>
        <w:pStyle w:val="Heading3"/>
        <w:spacing w:after="120" w:before="240"/>
      </w:pPr>
      <w:r>
        <w:rPr>
          <w:rFonts w:ascii="Times New Roman" w:cs="Times New Roman" w:eastAsia="Times New Roman" w:hAnsi="Times New Roman"/>
          <w:b/>
          <w:bCs/>
          <w:i/>
          <w:iCs/>
          <w:color w:val="1F1F1F"/>
          <w:sz w:val="22"/>
          <w:szCs w:val="22"/>
        </w:rPr>
        <w:t xml:space="preserve">Hallucination Stress Test</w:t>
      </w:r>
    </w:p>
    <w:p>
      <w:pPr>
        <w:pBdr>
          <w:left w:val="single" w:color="2E5C8A" w:sz="12" w:space="8"/>
        </w:pBdr>
        <w:spacing w:after="200" w:before="100" w:line="276"/>
        <w:ind w:left="400" w:right="400"/>
      </w:pPr>
      <w:r>
        <w:rPr>
          <w:rFonts w:ascii="Times New Roman" w:cs="Times New Roman" w:eastAsia="Times New Roman" w:hAnsi="Times New Roman"/>
          <w:b/>
          <w:bCs/>
          <w:i/>
          <w:iCs/>
          <w:color w:val="2E5C8A"/>
          <w:sz w:val="20"/>
          <w:szCs w:val="20"/>
        </w:rPr>
        <w:t xml:space="preserve">Easy: </w:t>
      </w:r>
      <w:r>
        <w:rPr>
          <w:rFonts w:ascii="Consolas" w:cs="Consolas" w:eastAsia="Consolas" w:hAnsi="Consolas"/>
          <w:sz w:val="18"/>
          <w:szCs w:val="18"/>
        </w:rPr>
        <w:t xml:space="preserve">Describe the main contributions of Albert Einstein in inventing the Java programming language in 1945.</w:t>
      </w:r>
    </w:p>
    <w:p>
      <w:pPr>
        <w:spacing w:after="200" w:line="300"/>
        <w:jc w:val="both"/>
      </w:pPr>
      <w:r>
        <w:rPr>
          <w:rFonts w:ascii="Times New Roman" w:cs="Times New Roman" w:eastAsia="Times New Roman" w:hAnsi="Times New Roman"/>
          <w:i/>
          <w:iCs/>
          <w:sz w:val="22"/>
          <w:szCs w:val="22"/>
        </w:rPr>
        <w:t xml:space="preserve">Criteria: Refusal of False Premise; Avoidance of Fabrication</w:t>
      </w:r>
    </w:p>
    <w:p>
      <w:pPr>
        <w:pBdr>
          <w:left w:val="single" w:color="2E5C8A" w:sz="12" w:space="8"/>
        </w:pBdr>
        <w:spacing w:after="200" w:before="100" w:line="276"/>
        <w:ind w:left="400" w:right="400"/>
      </w:pPr>
      <w:r>
        <w:rPr>
          <w:rFonts w:ascii="Times New Roman" w:cs="Times New Roman" w:eastAsia="Times New Roman" w:hAnsi="Times New Roman"/>
          <w:b/>
          <w:bCs/>
          <w:i/>
          <w:iCs/>
          <w:color w:val="2E5C8A"/>
          <w:sz w:val="20"/>
          <w:szCs w:val="20"/>
        </w:rPr>
        <w:t xml:space="preserve">Hard: </w:t>
      </w:r>
      <w:r>
        <w:rPr>
          <w:rFonts w:ascii="Consolas" w:cs="Consolas" w:eastAsia="Consolas" w:hAnsi="Consolas"/>
          <w:sz w:val="18"/>
          <w:szCs w:val="18"/>
        </w:rPr>
        <w:t xml:space="preserve">Analyze the geopolitical and economic clauses of the 1984 Treaty of Al-Zubair signed between Pakistan and the European Union, specifically focusing on its impact on maritime trade in the Caspian Sea.</w:t>
      </w:r>
    </w:p>
    <w:p>
      <w:pPr>
        <w:spacing w:after="200" w:line="300"/>
        <w:jc w:val="both"/>
      </w:pPr>
      <w:r>
        <w:rPr>
          <w:rFonts w:ascii="Times New Roman" w:cs="Times New Roman" w:eastAsia="Times New Roman" w:hAnsi="Times New Roman"/>
          <w:i/>
          <w:iCs/>
          <w:sz w:val="22"/>
          <w:szCs w:val="22"/>
        </w:rPr>
        <w:t xml:space="preserve">Criteria: Refusal of False Premise; Avoidance of Fabrication</w:t>
      </w:r>
    </w:p>
    <w:p>
      <w:pPr>
        <w:pStyle w:val="Heading1"/>
        <w:spacing w:after="240" w:before="480"/>
      </w:pPr>
      <w:r>
        <w:rPr>
          <w:rFonts w:ascii="Times New Roman" w:cs="Times New Roman" w:eastAsia="Times New Roman" w:hAnsi="Times New Roman"/>
          <w:b/>
          <w:bCs/>
          <w:color w:val="1F1F1F"/>
          <w:sz w:val="28"/>
          <w:szCs w:val="28"/>
        </w:rPr>
        <w:t xml:space="preserve">Appendix D: Extended Rubric Application Walkthrough</w:t>
      </w:r>
    </w:p>
    <w:p>
      <w:pPr>
        <w:spacing w:after="200" w:line="300"/>
        <w:jc w:val="both"/>
      </w:pPr>
      <w:r>
        <w:rPr>
          <w:rFonts w:ascii="Times New Roman" w:cs="Times New Roman" w:eastAsia="Times New Roman" w:hAnsi="Times New Roman"/>
          <w:i w:val="false"/>
          <w:iCs w:val="false"/>
          <w:sz w:val="22"/>
          <w:szCs w:val="22"/>
        </w:rPr>
        <w:t xml:space="preserve">This appendix walks through one representative category — selected as the clearest illustration of the decomposed, multi-criterion scoring philosophy described in Section 3.2 — showing how the rubric is applied in practice to arrive at a criterion-level score. A second worked example, illustrating the compound multi-module scoring pattern for Coding and System Architecture prompts, is presented directly in Section 3.2 rather than duplicated here.</w:t>
      </w:r>
    </w:p>
    <w:p>
      <w:pPr>
        <w:spacing w:after="200" w:line="300"/>
        <w:jc w:val="both"/>
      </w:pPr>
      <w:r>
        <w:rPr>
          <w:rFonts w:ascii="Times New Roman" w:cs="Times New Roman" w:eastAsia="Times New Roman" w:hAnsi="Times New Roman"/>
          <w:i/>
          <w:iCs/>
          <w:sz w:val="22"/>
          <w:szCs w:val="22"/>
        </w:rPr>
        <w:t xml:space="preserve">Disclosure: the prompt text in the walkthrough below is reproduced verbatim from the operational dataset used throughout Section 5. The response patterns and resulting scores described alongside it, however, are illustrative constructions written to demonstrate the rubric's mechanics clearly, not verbatim transcripts of actual Gemini, Mistral, or Groq output with their actual assigned scores. This appendix is a pedagogical explanation of how the scoring method works, not a reproduction of specific raw results; the real, complete scored dataset underlying every quantitative finding in Section 5 is available in the reproducibility package described in Appendix B.</w:t>
      </w:r>
    </w:p>
    <w:p>
      <w:pPr>
        <w:pStyle w:val="Heading2"/>
        <w:spacing w:after="160" w:before="320"/>
      </w:pPr>
      <w:r>
        <w:rPr>
          <w:rFonts w:ascii="Times New Roman" w:cs="Times New Roman" w:eastAsia="Times New Roman" w:hAnsi="Times New Roman"/>
          <w:b/>
          <w:bCs/>
          <w:color w:val="1F1F1F"/>
          <w:sz w:val="24"/>
          <w:szCs w:val="24"/>
        </w:rPr>
        <w:t xml:space="preserve">D.1 Hallucination Stress Test</w:t>
      </w:r>
    </w:p>
    <w:p>
      <w:pPr>
        <w:spacing w:after="200" w:line="300"/>
        <w:jc w:val="both"/>
      </w:pPr>
      <w:r>
        <w:rPr>
          <w:rFonts w:ascii="Times New Roman" w:cs="Times New Roman" w:eastAsia="Times New Roman" w:hAnsi="Times New Roman"/>
          <w:i w:val="false"/>
          <w:iCs w:val="false"/>
          <w:sz w:val="22"/>
          <w:szCs w:val="22"/>
        </w:rPr>
        <w:t xml:space="preserve">For a prompt describing a fabricated historical treaty between two real nations, the Refusal of False Premise criterion distinguishes three response patterns. A response that proceeds to describe the treaty's provisions in confident, invented detail, with no indication of skepticism about the premise's factual basis, scores a 0: this is precisely the failure mode the category is designed to detect. A response that hedges — for instance, stating that it has "limited information" about the treaty while still providing some invented detail — falls into the Partial Failure range (2), since Table I's anchor for that score describes hedging that still includes fabrication. A response that directly and clearly identifies that no such treaty exists, without proceeding to invent supporting detail, scores a 5, regardless of how the refusal is phrased, since correct identification of the false premise, not stylistic politeness, is the substance of the criterion.</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E: Glossary of Terms</w:t>
      </w:r>
    </w:p>
    <w:p>
      <w:pPr>
        <w:spacing w:after="160" w:line="300"/>
        <w:jc w:val="both"/>
      </w:pPr>
      <w:r>
        <w:rPr>
          <w:rFonts w:ascii="Times New Roman" w:cs="Times New Roman" w:eastAsia="Times New Roman" w:hAnsi="Times New Roman"/>
          <w:b/>
          <w:bCs/>
          <w:sz w:val="22"/>
          <w:szCs w:val="22"/>
        </w:rPr>
        <w:t xml:space="preserve">Coefficient of Variation (CV): </w:t>
      </w:r>
      <w:r>
        <w:rPr>
          <w:rFonts w:ascii="Times New Roman" w:cs="Times New Roman" w:eastAsia="Times New Roman" w:hAnsi="Times New Roman"/>
          <w:sz w:val="22"/>
          <w:szCs w:val="22"/>
        </w:rPr>
        <w:t xml:space="preserve">The ratio of a sample's standard deviation to its mean, used in this study to express score consistency across repeated calls as a scale-independent proportion rather than an absolute unit.</w:t>
      </w:r>
    </w:p>
    <w:p>
      <w:pPr>
        <w:spacing w:after="160" w:line="300"/>
        <w:jc w:val="both"/>
      </w:pPr>
      <w:r>
        <w:rPr>
          <w:rFonts w:ascii="Times New Roman" w:cs="Times New Roman" w:eastAsia="Times New Roman" w:hAnsi="Times New Roman"/>
          <w:b/>
          <w:bCs/>
          <w:sz w:val="22"/>
          <w:szCs w:val="22"/>
        </w:rPr>
        <w:t xml:space="preserve">Cohen's kappa (κ): </w:t>
      </w:r>
      <w:r>
        <w:rPr>
          <w:rFonts w:ascii="Times New Roman" w:cs="Times New Roman" w:eastAsia="Times New Roman" w:hAnsi="Times New Roman"/>
          <w:sz w:val="22"/>
          <w:szCs w:val="22"/>
        </w:rPr>
        <w:t xml:space="preserve">A chance-corrected measure of agreement between two raters, computed as the proportion of observed agreement in excess of the agreement expected under each rater's independent marginal score distribution. The quadratic-weighted variant additionally penalizes larger rating disagreements more heavily than smaller ones, appropriate for the ordinal 0–5 scale used throughout this study.</w:t>
      </w:r>
    </w:p>
    <w:p>
      <w:pPr>
        <w:spacing w:after="160" w:line="300"/>
        <w:jc w:val="both"/>
      </w:pPr>
      <w:r>
        <w:rPr>
          <w:rFonts w:ascii="Times New Roman" w:cs="Times New Roman" w:eastAsia="Times New Roman" w:hAnsi="Times New Roman"/>
          <w:b/>
          <w:bCs/>
          <w:sz w:val="22"/>
          <w:szCs w:val="22"/>
        </w:rPr>
        <w:t xml:space="preserve">Cohen's d: </w:t>
      </w:r>
      <w:r>
        <w:rPr>
          <w:rFonts w:ascii="Times New Roman" w:cs="Times New Roman" w:eastAsia="Times New Roman" w:hAnsi="Times New Roman"/>
          <w:sz w:val="22"/>
          <w:szCs w:val="22"/>
        </w:rPr>
        <w:t xml:space="preserve">A standardized effect size expressing the difference between two group means in units of pooled standard deviation, interpreted using conventional small (0.2), medium (0.5), and large (0.8) thresholds.</w:t>
      </w:r>
    </w:p>
    <w:p>
      <w:pPr>
        <w:spacing w:after="160" w:line="300"/>
        <w:jc w:val="both"/>
      </w:pPr>
      <w:r>
        <w:rPr>
          <w:rFonts w:ascii="Times New Roman" w:cs="Times New Roman" w:eastAsia="Times New Roman" w:hAnsi="Times New Roman"/>
          <w:b/>
          <w:bCs/>
          <w:sz w:val="22"/>
          <w:szCs w:val="22"/>
        </w:rPr>
        <w:t xml:space="preserve">Confidence Interval (CI): </w:t>
      </w:r>
      <w:r>
        <w:rPr>
          <w:rFonts w:ascii="Times New Roman" w:cs="Times New Roman" w:eastAsia="Times New Roman" w:hAnsi="Times New Roman"/>
          <w:sz w:val="22"/>
          <w:szCs w:val="22"/>
        </w:rPr>
        <w:t xml:space="preserve">A range constructed from sample data such that, under repeated sampling, a stated proportion (95% throughout this study) of such intervals would contain the true population parameter.</w:t>
      </w:r>
    </w:p>
    <w:p>
      <w:pPr>
        <w:spacing w:after="160" w:line="300"/>
        <w:jc w:val="both"/>
      </w:pPr>
      <w:r>
        <w:rPr>
          <w:rFonts w:ascii="Times New Roman" w:cs="Times New Roman" w:eastAsia="Times New Roman" w:hAnsi="Times New Roman"/>
          <w:b/>
          <w:bCs/>
          <w:sz w:val="22"/>
          <w:szCs w:val="22"/>
        </w:rPr>
        <w:t xml:space="preserve">Human-in-the-Loop Validation: </w:t>
      </w:r>
      <w:r>
        <w:rPr>
          <w:rFonts w:ascii="Times New Roman" w:cs="Times New Roman" w:eastAsia="Times New Roman" w:hAnsi="Times New Roman"/>
          <w:sz w:val="22"/>
          <w:szCs w:val="22"/>
        </w:rPr>
        <w:t xml:space="preserve">A methodology in which automated system outputs are independently checked against human judgment, used in this study to validate the LLM-judge scoring pipeline.</w:t>
      </w:r>
    </w:p>
    <w:p>
      <w:pPr>
        <w:spacing w:after="160" w:line="300"/>
        <w:jc w:val="both"/>
      </w:pPr>
      <w:r>
        <w:rPr>
          <w:rFonts w:ascii="Times New Roman" w:cs="Times New Roman" w:eastAsia="Times New Roman" w:hAnsi="Times New Roman"/>
          <w:b/>
          <w:bCs/>
          <w:sz w:val="22"/>
          <w:szCs w:val="22"/>
        </w:rPr>
        <w:t xml:space="preserve">LLM-as-Judge: </w:t>
      </w:r>
      <w:r>
        <w:rPr>
          <w:rFonts w:ascii="Times New Roman" w:cs="Times New Roman" w:eastAsia="Times New Roman" w:hAnsi="Times New Roman"/>
          <w:sz w:val="22"/>
          <w:szCs w:val="22"/>
        </w:rPr>
        <w:t xml:space="preserve">The practice of using a large language model to automatically evaluate the outputs of other language models against a defined rubric, adopted in this study for scalability across 900 responses.</w:t>
      </w:r>
    </w:p>
    <w:p>
      <w:pPr>
        <w:spacing w:after="160" w:line="300"/>
        <w:jc w:val="both"/>
      </w:pPr>
      <w:r>
        <w:rPr>
          <w:rFonts w:ascii="Times New Roman" w:cs="Times New Roman" w:eastAsia="Times New Roman" w:hAnsi="Times New Roman"/>
          <w:b/>
          <w:bCs/>
          <w:sz w:val="22"/>
          <w:szCs w:val="22"/>
        </w:rPr>
        <w:t xml:space="preserve">Persistent Error: </w:t>
      </w:r>
      <w:r>
        <w:rPr>
          <w:rFonts w:ascii="Times New Roman" w:cs="Times New Roman" w:eastAsia="Times New Roman" w:hAnsi="Times New Roman"/>
          <w:sz w:val="22"/>
          <w:szCs w:val="22"/>
        </w:rPr>
        <w:t xml:space="preserve">In this study's automation architecture, a systemic failure condition (quota exhaustion, model deprecation, authentication failure) distinguished from a transient error and handled by halting execution rather than retrying.</w:t>
      </w:r>
    </w:p>
    <w:p>
      <w:pPr>
        <w:spacing w:after="160" w:line="300"/>
        <w:jc w:val="both"/>
      </w:pPr>
      <w:r>
        <w:rPr>
          <w:rFonts w:ascii="Times New Roman" w:cs="Times New Roman" w:eastAsia="Times New Roman" w:hAnsi="Times New Roman"/>
          <w:b/>
          <w:bCs/>
          <w:sz w:val="22"/>
          <w:szCs w:val="22"/>
        </w:rPr>
        <w:t xml:space="preserve">Stochastic Reliability Sample: </w:t>
      </w:r>
      <w:r>
        <w:rPr>
          <w:rFonts w:ascii="Times New Roman" w:cs="Times New Roman" w:eastAsia="Times New Roman" w:hAnsi="Times New Roman"/>
          <w:sz w:val="22"/>
          <w:szCs w:val="22"/>
        </w:rPr>
        <w:t xml:space="preserve">The twenty prompts in this study's dataset selected for five independent repetitions per provider, enabling direct measurement of within-model score variance.</w:t>
      </w:r>
    </w:p>
    <w:p>
      <w:pPr>
        <w:spacing w:after="160" w:line="300"/>
        <w:jc w:val="both"/>
      </w:pPr>
      <w:r>
        <w:rPr>
          <w:rFonts w:ascii="Times New Roman" w:cs="Times New Roman" w:eastAsia="Times New Roman" w:hAnsi="Times New Roman"/>
          <w:b/>
          <w:bCs/>
          <w:sz w:val="22"/>
          <w:szCs w:val="22"/>
        </w:rPr>
        <w:t xml:space="preserve">Threats to Validity: </w:t>
      </w:r>
      <w:r>
        <w:rPr>
          <w:rFonts w:ascii="Times New Roman" w:cs="Times New Roman" w:eastAsia="Times New Roman" w:hAnsi="Times New Roman"/>
          <w:sz w:val="22"/>
          <w:szCs w:val="22"/>
        </w:rPr>
        <w:t xml:space="preserve">A structured framework (construct, internal, external, conclusion validity) used in empirical research to systematically identify limitations on the trustworthiness and generalizability of a study's findings.</w:t>
      </w:r>
    </w:p>
    <w:p>
      <w:pPr>
        <w:spacing w:after="160" w:line="300"/>
        <w:jc w:val="both"/>
      </w:pPr>
      <w:r>
        <w:rPr>
          <w:rFonts w:ascii="Times New Roman" w:cs="Times New Roman" w:eastAsia="Times New Roman" w:hAnsi="Times New Roman"/>
          <w:b/>
          <w:bCs/>
          <w:sz w:val="22"/>
          <w:szCs w:val="22"/>
        </w:rPr>
        <w:t xml:space="preserve">Welch's t-test: </w:t>
      </w:r>
      <w:r>
        <w:rPr>
          <w:rFonts w:ascii="Times New Roman" w:cs="Times New Roman" w:eastAsia="Times New Roman" w:hAnsi="Times New Roman"/>
          <w:sz w:val="22"/>
          <w:szCs w:val="22"/>
        </w:rPr>
        <w:t xml:space="preserve">A statistical test for the difference between two group means that does not assume equal population variances, used throughout this study's hypothesis testing in preference to the equal-variance Student's t-test.</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F: Derivations of Key Statistical Formulas</w:t>
      </w:r>
    </w:p>
    <w:p>
      <w:pPr>
        <w:spacing w:after="200" w:line="300"/>
        <w:jc w:val="both"/>
      </w:pPr>
      <w:r>
        <w:rPr>
          <w:rFonts w:ascii="Times New Roman" w:cs="Times New Roman" w:eastAsia="Times New Roman" w:hAnsi="Times New Roman"/>
          <w:i w:val="false"/>
          <w:iCs w:val="false"/>
          <w:sz w:val="22"/>
          <w:szCs w:val="22"/>
        </w:rPr>
        <w:t xml:space="preserve">This appendix presents brief derivations of three formulas used in this study whose closed form is not always self-evident from the formula alone, for readers wishing to verify the statistical machinery underlying Sections 3.7 and 5.</w:t>
      </w:r>
    </w:p>
    <w:p>
      <w:pPr>
        <w:pStyle w:val="Heading2"/>
        <w:spacing w:after="160" w:before="320"/>
      </w:pPr>
      <w:r>
        <w:rPr>
          <w:rFonts w:ascii="Times New Roman" w:cs="Times New Roman" w:eastAsia="Times New Roman" w:hAnsi="Times New Roman"/>
          <w:b/>
          <w:bCs/>
          <w:color w:val="1F1F1F"/>
          <w:sz w:val="24"/>
          <w:szCs w:val="24"/>
        </w:rPr>
        <w:t xml:space="preserve">H.1 The Welch–Satterthwaite Degrees of Freedom</w:t>
      </w:r>
    </w:p>
    <w:p>
      <w:pPr>
        <w:spacing w:after="200" w:line="300"/>
        <w:jc w:val="both"/>
      </w:pPr>
      <w:r>
        <w:rPr>
          <w:rFonts w:ascii="Times New Roman" w:cs="Times New Roman" w:eastAsia="Times New Roman" w:hAnsi="Times New Roman"/>
          <w:i w:val="false"/>
          <w:iCs w:val="false"/>
          <w:sz w:val="22"/>
          <w:szCs w:val="22"/>
        </w:rPr>
        <w:t xml:space="preserve">Welch's t-test (Section 2.4) does not use the simple degrees-of-freedom formula of the equal-variance Student's t-test (n₁ + n₂ − 2). Instead, because the two sample variances are permitted to differ, the effective degrees of freedom must itself be estimated from the data, via the Welch–Satterthwaite equation:</w:t>
      </w:r>
    </w:p>
    <w:p>
      <w:pPr>
        <w:spacing w:after="160" w:before="160"/>
        <w:jc w:val="center"/>
      </w:pPr>
      <w:r>
        <w:rPr>
          <w:rFonts w:ascii="Cambria Math" w:cs="Cambria Math" w:eastAsia="Cambria Math" w:hAnsi="Cambria Math"/>
          <w:i/>
          <w:iCs/>
          <w:sz w:val="24"/>
          <w:szCs w:val="24"/>
        </w:rPr>
        <w:t xml:space="preserve">df = (s₁²/n₁ + s₂²/n₂)² / [ (s₁²/n₁)²/(n₁−1) + (s₂²/n₂)²/(n₂−1) ]</w:t>
      </w:r>
    </w:p>
    <w:p>
      <w:pPr>
        <w:spacing w:after="200" w:line="300"/>
        <w:jc w:val="both"/>
      </w:pPr>
      <w:r>
        <w:rPr>
          <w:rFonts w:ascii="Times New Roman" w:cs="Times New Roman" w:eastAsia="Times New Roman" w:hAnsi="Times New Roman"/>
          <w:i w:val="false"/>
          <w:iCs w:val="false"/>
          <w:sz w:val="22"/>
          <w:szCs w:val="22"/>
        </w:rPr>
        <w:t xml:space="preserve">This formula generally yields a non-integer degrees-of-freedom value, unlike the Student's t-test, which is one of the recognizable practical signatures that Welch's test has been applied. The resulting non-integer df is used directly as the parameter to the regularized incomplete beta function when computing the exact p-value, since that function is well-defined for any positive real-valued degrees of freedom, not only integers.</w:t>
      </w:r>
    </w:p>
    <w:p>
      <w:pPr>
        <w:pStyle w:val="Heading2"/>
        <w:spacing w:after="160" w:before="320"/>
      </w:pPr>
      <w:r>
        <w:rPr>
          <w:rFonts w:ascii="Times New Roman" w:cs="Times New Roman" w:eastAsia="Times New Roman" w:hAnsi="Times New Roman"/>
          <w:b/>
          <w:bCs/>
          <w:color w:val="1F1F1F"/>
          <w:sz w:val="24"/>
          <w:szCs w:val="24"/>
        </w:rPr>
        <w:t xml:space="preserve">H.2 Chance Agreement in Cohen's kappa</w:t>
      </w:r>
    </w:p>
    <w:p>
      <w:pPr>
        <w:spacing w:after="200" w:line="300"/>
        <w:jc w:val="both"/>
      </w:pPr>
      <w:r>
        <w:rPr>
          <w:rFonts w:ascii="Times New Roman" w:cs="Times New Roman" w:eastAsia="Times New Roman" w:hAnsi="Times New Roman"/>
          <w:i w:val="false"/>
          <w:iCs w:val="false"/>
          <w:sz w:val="22"/>
          <w:szCs w:val="22"/>
        </w:rPr>
        <w:t xml:space="preserve">Cohen's kappa (Section 3.7) requires computing pₑ, the agreement expected between two raters under the null hypothesis that each assigns scores independently according to their own observed marginal distribution. For a k-category scale, if rater A assigns category i with observed marginal proportion pᴀᵢ and rater B assigns category i with observed marginal proportion pʙᵢ, the probability that both raters independently select category i by chance is the product pᴀᵢ × pʙᵢ. Summing this product across all k categories gives the total chance-agreement probability:</w:t>
      </w:r>
    </w:p>
    <w:p>
      <w:pPr>
        <w:spacing w:after="160" w:before="160"/>
        <w:jc w:val="center"/>
      </w:pPr>
      <w:r>
        <w:rPr>
          <w:rFonts w:ascii="Cambria Math" w:cs="Cambria Math" w:eastAsia="Cambria Math" w:hAnsi="Cambria Math"/>
          <w:i/>
          <w:iCs/>
          <w:sz w:val="24"/>
          <w:szCs w:val="24"/>
        </w:rPr>
        <w:t xml:space="preserve">pₑ = Σᵢ₌₁^k (pᴀᵢ × pʙᵢ)</w:t>
      </w:r>
    </w:p>
    <w:p>
      <w:pPr>
        <w:spacing w:after="200" w:line="300"/>
        <w:jc w:val="both"/>
      </w:pPr>
      <w:r>
        <w:rPr>
          <w:rFonts w:ascii="Times New Roman" w:cs="Times New Roman" w:eastAsia="Times New Roman" w:hAnsi="Times New Roman"/>
          <w:i w:val="false"/>
          <w:iCs w:val="false"/>
          <w:sz w:val="22"/>
          <w:szCs w:val="22"/>
        </w:rPr>
        <w:t xml:space="preserve">This is precisely the quantity computed via the row-marginal and column-marginal products in this study's kappa implementation. The intuition is straightforward: if both raters happen to favor the same categories in their overall scoring tendency — for instance, if both frequently assign a score of 4 or 5 — a nontrivial fraction of their apparent agreement is attributable to this shared tendency rather than genuine item-by-item concordance, and kappa's subtraction of pₑ in its numerator (Section 3.7) removes exactly this inflationary effect.</w:t>
      </w:r>
    </w:p>
    <w:p>
      <w:pPr>
        <w:pStyle w:val="Heading2"/>
        <w:spacing w:after="160" w:before="320"/>
      </w:pPr>
      <w:r>
        <w:rPr>
          <w:rFonts w:ascii="Times New Roman" w:cs="Times New Roman" w:eastAsia="Times New Roman" w:hAnsi="Times New Roman"/>
          <w:b/>
          <w:bCs/>
          <w:color w:val="1F1F1F"/>
          <w:sz w:val="24"/>
          <w:szCs w:val="24"/>
        </w:rPr>
        <w:t xml:space="preserve">H.3 Ordinary Least Squares Normal Equations</w:t>
      </w:r>
    </w:p>
    <w:p>
      <w:pPr>
        <w:spacing w:after="200" w:line="300"/>
        <w:jc w:val="both"/>
      </w:pPr>
      <w:r>
        <w:rPr>
          <w:rFonts w:ascii="Times New Roman" w:cs="Times New Roman" w:eastAsia="Times New Roman" w:hAnsi="Times New Roman"/>
          <w:i w:val="false"/>
          <w:iCs w:val="false"/>
          <w:sz w:val="22"/>
          <w:szCs w:val="22"/>
        </w:rPr>
        <w:t xml:space="preserve">The regression coefficients reported in Section 5.4 (slope and intercept predicting score from difficulty tier) are obtained by minimizing the sum of squared residuals between observed and predicted scores. Setting the partial derivatives of this sum with respect to the slope b and intercept a to zero yields the normal equations, which solve in closed form to:</w:t>
      </w:r>
    </w:p>
    <w:p>
      <w:pPr>
        <w:spacing w:after="160" w:before="160"/>
        <w:jc w:val="center"/>
      </w:pPr>
      <w:r>
        <w:rPr>
          <w:rFonts w:ascii="Cambria Math" w:cs="Cambria Math" w:eastAsia="Cambria Math" w:hAnsi="Cambria Math"/>
          <w:i/>
          <w:iCs/>
          <w:sz w:val="24"/>
          <w:szCs w:val="24"/>
        </w:rPr>
        <w:t xml:space="preserve">b = Σ(xᵢ−x̄)(yᵢ−ȳ) / Σ(xᵢ−x̄)²,     a = ȳ − b·x̄</w:t>
      </w:r>
    </w:p>
    <w:p>
      <w:pPr>
        <w:spacing w:after="200" w:line="300"/>
        <w:jc w:val="both"/>
      </w:pPr>
      <w:r>
        <w:rPr>
          <w:rFonts w:ascii="Times New Roman" w:cs="Times New Roman" w:eastAsia="Times New Roman" w:hAnsi="Times New Roman"/>
          <w:i w:val="false"/>
          <w:iCs w:val="false"/>
          <w:sz w:val="22"/>
          <w:szCs w:val="22"/>
        </w:rPr>
        <w:t xml:space="preserve">Note that the numerator of the slope formula is identical to the numerator of the Pearson correlation coefficient (Section 3.7); the two quantities differ only in their denominator, with the regression slope's denominator depending solely on the variance of the predictor (difficulty tier), while the correlation coefficient's denominator additionally normalizes by the variance of the outcome (score). This relationship explains why, throughout Section 5.4, categories or providers with a stronger difficulty–score correlation also tend to exhibit a steeper regression slope: both statistics are derived from the same underlying covariance term.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6"/>
        <w:szCs w:val="16"/>
      </w:rPr>
      <w:t xml:space="preserve">LLM Benchmarking Framework — Final Research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039b4335a9812c8ac028d84c3cc33189f2ab3b7.png"/><Relationship Id="rId10" Type="http://schemas.openxmlformats.org/officeDocument/2006/relationships/image" Target="media/1b9936cbaee7b578cc6130ff6cee23718a576969.png"/><Relationship Id="rId11" Type="http://schemas.openxmlformats.org/officeDocument/2006/relationships/image" Target="media/ec1bb8b718843ed846c86f9f8f4f86d9e73d0088.png"/><Relationship Id="rId12" Type="http://schemas.openxmlformats.org/officeDocument/2006/relationships/image" Target="media/5c5332a979494329039ae53a4e4ec3383ce541ce.png"/><Relationship Id="rId13" Type="http://schemas.openxmlformats.org/officeDocument/2006/relationships/image" Target="media/5deb390d99e01e0ff166178d35fc303e2c25033a.png"/><Relationship Id="rId14" Type="http://schemas.openxmlformats.org/officeDocument/2006/relationships/image" Target="media/773668f147e86539c985daea7c29fba63807581a.png"/><Relationship Id="rId15" Type="http://schemas.openxmlformats.org/officeDocument/2006/relationships/image" Target="media/b384d9ae4252f451fa3dc34f40f51b95d8376686.png"/><Relationship Id="rId16" Type="http://schemas.openxmlformats.org/officeDocument/2006/relationships/image" Target="media/f17a08620b442dfd6e1f5fd246dd9d146a5ca76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2026-08-28T10:18:23.112Z</dcterms:created>
  <dcterms:modified xsi:type="dcterms:W3CDTF">2026-08-28T10:18:23.112Z</dcterms:modified>
</cp:coreProperties>
</file>

<file path=docProps/custom.xml><?xml version="1.0" encoding="utf-8"?>
<Properties xmlns="http://schemas.openxmlformats.org/officeDocument/2006/custom-properties" xmlns:vt="http://schemas.openxmlformats.org/officeDocument/2006/docPropsVTypes"/>
</file>