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B1CC" w14:textId="77777777" w:rsidR="00152AA1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Progress Report: Week 7</w:t>
      </w:r>
    </w:p>
    <w:p w14:paraId="575E91AF" w14:textId="77777777" w:rsidR="00152AA1" w:rsidRDefault="00000000">
      <w:pPr>
        <w:spacing w:after="320"/>
        <w:jc w:val="center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Project Phase: Formal Statistical Analysis</w:t>
      </w:r>
    </w:p>
    <w:p w14:paraId="6207D7B7" w14:textId="77777777" w:rsidR="00152AA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>1. Goal</w:t>
      </w:r>
    </w:p>
    <w:p w14:paraId="61EB6BF5" w14:textId="77777777" w:rsidR="00152AA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goal of Week 7 was to complete the Statistical Analysis requirements specified in the project proposal: Reliability statistics (mean, median, standard deviation, coefficient of variation), confidence intervals, hypothesis testing, effect size, correlation, and regression, applied to the full scored dataset collected and validated in Weeks 4 through 6. This week also consolidated Week 6's inter-rater agreement results into the same statistical report, since the proposal lists inter-rater agreement under the same Statistical Analysis section as the other measures.</w:t>
      </w:r>
    </w:p>
    <w:p w14:paraId="1F998619" w14:textId="77777777" w:rsidR="00152AA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>2. Method</w:t>
      </w:r>
    </w:p>
    <w:p w14:paraId="5FBA3CBB" w14:textId="77777777" w:rsidR="00152AA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Two analysis scripts were built. compute_reliability_statistics.py computes mean, median, standard deviation, and coefficient of variation across the 5 scored runs of each of the 20 stochastic-sample prompts, per provider - directly satisfying the proposal's Reliability requirement. statistical_analysis.py computes 95% confidence intervals on mean score per provider, tests the project's three research hypotheses (H1: reasoning vs retrieval score differences, H2: instruction-following score vs difficulty correlation, H3: hallucination score differences between providers) using Welch's t-test and Cohen's d for effect size, computes correlation between difficulty/latency and score, fits a simple linear regression predicting score from difficulty, and incorporates Week 6's inter-rater agreement results. A third script, build_statistical_report_docx.py, converts both scripts' JSON output into one consolidated, human-readable Word report with formatted tables.</w:t>
      </w:r>
    </w:p>
    <w:p w14:paraId="06B8AF00" w14:textId="77777777" w:rsidR="00152AA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p-value for hypothesis testing is computed using the exact Student's t-distribution (via the regularized incomplete beta function), rather than a normal-distribution approximation, so that significance conclusions are accurate even at the smaller sample sizes present in some category comparisons.</w:t>
      </w:r>
    </w:p>
    <w:p w14:paraId="761E370A" w14:textId="77777777" w:rsidR="00152AA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>3. Process</w:t>
      </w:r>
    </w:p>
    <w:p w14:paraId="003262A3" w14:textId="77777777" w:rsidR="00152AA1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3.1 Reliability Statistics</w:t>
      </w:r>
    </w:p>
    <w:p w14:paraId="27FEBF30" w14:textId="77777777" w:rsidR="00152AA1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</w:rPr>
        <w:t>For each of the 20 stochastic-sample prompts, the 5 independently scored runs (Week 5) were used to compute mean, median, standard deviation, and coefficient of variation, per provider. A lower coefficient of variation indicates a model produced more consistent quality (as scored) across repeated calls to the same prompt.</w:t>
      </w:r>
    </w:p>
    <w:p w14:paraId="3433A1FF" w14:textId="74689A2D" w:rsidR="002D2CC7" w:rsidRDefault="00BD46A1">
      <w:pPr>
        <w:spacing w:after="160" w:line="276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EFA502" wp14:editId="2AC703C4">
            <wp:extent cx="6400800" cy="3600450"/>
            <wp:effectExtent l="0" t="0" r="0" b="0"/>
            <wp:docPr id="11780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02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2E73" w14:textId="39358659" w:rsidR="00BD46A1" w:rsidRDefault="00BD46A1">
      <w:pPr>
        <w:spacing w:after="160" w:line="276" w:lineRule="auto"/>
        <w:rPr>
          <w:lang w:val="en-US"/>
        </w:rPr>
      </w:pPr>
      <w:r>
        <w:rPr>
          <w:noProof/>
        </w:rPr>
        <w:drawing>
          <wp:inline distT="0" distB="0" distL="0" distR="0" wp14:anchorId="556FE3DD" wp14:editId="718B7563">
            <wp:extent cx="6400800" cy="3600450"/>
            <wp:effectExtent l="0" t="0" r="0" b="0"/>
            <wp:docPr id="10735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9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D63E" w14:textId="50B74C28" w:rsidR="002D2CC7" w:rsidRPr="002D2CC7" w:rsidRDefault="00BD46A1">
      <w:pPr>
        <w:spacing w:after="160" w:line="276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8725C5" wp14:editId="21E10631">
            <wp:extent cx="6400800" cy="3133725"/>
            <wp:effectExtent l="0" t="0" r="0" b="9525"/>
            <wp:docPr id="113970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05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460" cy="31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AEAC" w14:textId="77777777" w:rsidR="00152AA1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3.2 Confidence Intervals, Hypothesis Testing, and Effect Size</w:t>
      </w:r>
    </w:p>
    <w:p w14:paraId="13EEDC78" w14:textId="77777777" w:rsidR="00152AA1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</w:rPr>
        <w:t>95% confidence intervals were computed on each provider's mean total score. The three research hypotheses were tested directly against the scored dataset using Welch's t-test (which does not assume equal variance between groups) and Cohen's d as the accompanying effect size measure.</w:t>
      </w:r>
    </w:p>
    <w:p w14:paraId="328BA33F" w14:textId="6470B7A8" w:rsidR="0039711D" w:rsidRPr="0039711D" w:rsidRDefault="0039711D">
      <w:pPr>
        <w:spacing w:after="160" w:line="276" w:lineRule="auto"/>
        <w:rPr>
          <w:lang w:val="en-US"/>
        </w:rPr>
      </w:pPr>
      <w:r>
        <w:rPr>
          <w:noProof/>
        </w:rPr>
        <w:drawing>
          <wp:inline distT="0" distB="0" distL="0" distR="0" wp14:anchorId="53429474" wp14:editId="2E463B1C">
            <wp:extent cx="6400800" cy="3600450"/>
            <wp:effectExtent l="0" t="0" r="0" b="0"/>
            <wp:docPr id="19196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0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2D12" w14:textId="77777777" w:rsidR="0039711D" w:rsidRDefault="0039711D">
      <w:pPr>
        <w:pStyle w:val="Heading2"/>
        <w:spacing w:before="200" w:after="100"/>
        <w:rPr>
          <w:rFonts w:ascii="Calibri" w:eastAsia="Calibri" w:hAnsi="Calibri" w:cs="Calibri"/>
          <w:b/>
          <w:bCs/>
          <w:sz w:val="23"/>
          <w:szCs w:val="23"/>
          <w:lang w:val="en-US"/>
        </w:rPr>
      </w:pPr>
    </w:p>
    <w:p w14:paraId="38A9A3A6" w14:textId="77777777" w:rsidR="0039711D" w:rsidRDefault="0039711D">
      <w:pPr>
        <w:pStyle w:val="Heading2"/>
        <w:spacing w:before="200" w:after="100"/>
        <w:rPr>
          <w:rFonts w:ascii="Calibri" w:eastAsia="Calibri" w:hAnsi="Calibri" w:cs="Calibri"/>
          <w:b/>
          <w:bCs/>
          <w:sz w:val="23"/>
          <w:szCs w:val="23"/>
          <w:lang w:val="en-US"/>
        </w:rPr>
      </w:pPr>
    </w:p>
    <w:p w14:paraId="2A110614" w14:textId="5724C515" w:rsidR="00152AA1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lastRenderedPageBreak/>
        <w:t>3.3 Correlation and Regression</w:t>
      </w:r>
    </w:p>
    <w:p w14:paraId="6A22F3D9" w14:textId="77777777" w:rsidR="00152AA1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</w:rPr>
        <w:t>Pearson correlation was computed between prompt difficulty and score, and between response latency and score, for each provider. A simple linear regression was fitted predicting total score from difficulty tier.</w:t>
      </w:r>
    </w:p>
    <w:p w14:paraId="3AD42FF2" w14:textId="5CD4B39F" w:rsidR="00AE5E17" w:rsidRPr="00AE5E17" w:rsidRDefault="00AE5E17">
      <w:pPr>
        <w:spacing w:after="160" w:line="276" w:lineRule="auto"/>
        <w:rPr>
          <w:lang w:val="en-US"/>
        </w:rPr>
      </w:pPr>
      <w:r>
        <w:rPr>
          <w:noProof/>
        </w:rPr>
        <w:drawing>
          <wp:inline distT="0" distB="0" distL="0" distR="0" wp14:anchorId="66FBCAED" wp14:editId="291309B0">
            <wp:extent cx="6400800" cy="3324225"/>
            <wp:effectExtent l="0" t="0" r="0" b="9525"/>
            <wp:docPr id="13533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1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1401" cy="33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C22D" w14:textId="77777777" w:rsidR="00152AA1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3.4 Consolidated Reporting</w:t>
      </w:r>
    </w:p>
    <w:p w14:paraId="160DF305" w14:textId="77777777" w:rsidR="00152AA1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</w:rPr>
        <w:t>build_statistical_report_docx.py combines the reliability statistics, confidence intervals, hypothesis test results, correlation/regression findings, and Week 6's inter-rater agreement results into one Word document with formatted, color-coded tables, suitable for direct inclusion in the final research report.</w:t>
      </w:r>
    </w:p>
    <w:p w14:paraId="4DFC7DFC" w14:textId="377AD44B" w:rsidR="008B5AC2" w:rsidRPr="008B5AC2" w:rsidRDefault="008B5AC2">
      <w:pPr>
        <w:spacing w:after="160" w:line="276" w:lineRule="auto"/>
        <w:rPr>
          <w:lang w:val="en-US"/>
        </w:rPr>
      </w:pPr>
      <w:r>
        <w:rPr>
          <w:noProof/>
        </w:rPr>
        <w:drawing>
          <wp:inline distT="0" distB="0" distL="0" distR="0" wp14:anchorId="7E2F1A42" wp14:editId="29F7F097">
            <wp:extent cx="6400800" cy="2709862"/>
            <wp:effectExtent l="0" t="0" r="0" b="0"/>
            <wp:docPr id="3784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76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3648" cy="27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2FAB" w14:textId="77777777" w:rsidR="008B5AC2" w:rsidRDefault="008B5AC2">
      <w:pPr>
        <w:pStyle w:val="Heading1"/>
        <w:spacing w:before="280" w:after="140"/>
        <w:rPr>
          <w:rFonts w:ascii="Calibri" w:eastAsia="Calibri" w:hAnsi="Calibri" w:cs="Calibri"/>
          <w:b/>
          <w:bCs/>
          <w:sz w:val="26"/>
          <w:szCs w:val="26"/>
          <w:lang w:val="en-US"/>
        </w:rPr>
      </w:pPr>
    </w:p>
    <w:p w14:paraId="5C4FF6DD" w14:textId="77777777" w:rsidR="008B5AC2" w:rsidRDefault="008B5AC2">
      <w:pPr>
        <w:pStyle w:val="Heading1"/>
        <w:spacing w:before="280" w:after="140"/>
        <w:rPr>
          <w:rFonts w:ascii="Calibri" w:eastAsia="Calibri" w:hAnsi="Calibri" w:cs="Calibri"/>
          <w:b/>
          <w:bCs/>
          <w:sz w:val="26"/>
          <w:szCs w:val="26"/>
          <w:lang w:val="en-US"/>
        </w:rPr>
      </w:pPr>
    </w:p>
    <w:p w14:paraId="59B2320B" w14:textId="07BF98A7" w:rsidR="00152AA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4. Results</w:t>
      </w:r>
    </w:p>
    <w:p w14:paraId="2436C230" w14:textId="2A314041" w:rsidR="00152AA1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eastAsia="Calibri" w:hAnsi="Calibri" w:cs="Calibri"/>
          <w:sz w:val="22"/>
          <w:szCs w:val="22"/>
        </w:rPr>
        <w:t>Reliability statistics computed for all 20 stochastic-sample prompts across all three providers, with coefficient of variation as the key consistency indicator.</w:t>
      </w:r>
      <w:r w:rsidR="00A855C0">
        <w:rPr>
          <w:rFonts w:ascii="Calibri" w:eastAsia="Calibri" w:hAnsi="Calibri" w:cs="Calibri"/>
          <w:sz w:val="22"/>
          <w:szCs w:val="22"/>
          <w:lang w:val="en-US"/>
        </w:rPr>
        <w:br/>
      </w:r>
      <w:r w:rsidR="00A855C0" w:rsidRPr="006F6764">
        <w:drawing>
          <wp:inline distT="0" distB="0" distL="0" distR="0" wp14:anchorId="3E7AD4E8" wp14:editId="09469337">
            <wp:extent cx="4556824" cy="1747520"/>
            <wp:effectExtent l="0" t="0" r="0" b="5080"/>
            <wp:docPr id="189906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4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659" cy="17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7E62" w14:textId="77777777" w:rsidR="00152AA1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eastAsia="Calibri" w:hAnsi="Calibri" w:cs="Calibri"/>
          <w:sz w:val="22"/>
          <w:szCs w:val="22"/>
        </w:rPr>
        <w:t>95% confidence intervals computed for mean score, per provider.</w:t>
      </w:r>
    </w:p>
    <w:p w14:paraId="741A5529" w14:textId="77777777" w:rsidR="00A475F9" w:rsidRPr="00A475F9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eastAsia="Calibri" w:hAnsi="Calibri" w:cs="Calibri"/>
          <w:sz w:val="22"/>
          <w:szCs w:val="22"/>
        </w:rPr>
        <w:t>All three research hypotheses (H1, H2, H3) tested against the scored dataset, with p-values, significance at 0.05, and Cohen's d effect sizes reported.</w:t>
      </w:r>
    </w:p>
    <w:p w14:paraId="0431525E" w14:textId="6DEFBB61" w:rsidR="00152AA1" w:rsidRDefault="00A475F9" w:rsidP="00A475F9">
      <w:pPr>
        <w:pStyle w:val="ListParagraph"/>
        <w:spacing w:after="100" w:line="276" w:lineRule="auto"/>
        <w:ind w:left="720"/>
        <w:rPr>
          <w:lang w:val="en-US"/>
        </w:rPr>
      </w:pPr>
      <w:r w:rsidRPr="00A475F9">
        <w:rPr>
          <w:rFonts w:ascii="Calibri" w:eastAsia="Calibri" w:hAnsi="Calibri" w:cs="Calibri"/>
          <w:sz w:val="22"/>
          <w:szCs w:val="22"/>
          <w:lang w:val="en-US"/>
        </w:rPr>
        <w:drawing>
          <wp:inline distT="0" distB="0" distL="0" distR="0" wp14:anchorId="7120A55F" wp14:editId="73CAC81C">
            <wp:extent cx="4672013" cy="2705735"/>
            <wp:effectExtent l="0" t="0" r="0" b="0"/>
            <wp:docPr id="146010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6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504" cy="27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764">
        <w:rPr>
          <w:rFonts w:ascii="Calibri" w:eastAsia="Calibri" w:hAnsi="Calibri" w:cs="Calibri"/>
          <w:sz w:val="22"/>
          <w:szCs w:val="22"/>
          <w:lang w:val="en-US"/>
        </w:rPr>
        <w:br/>
      </w:r>
    </w:p>
    <w:p w14:paraId="646673DD" w14:textId="77777777" w:rsidR="00A855C0" w:rsidRPr="00A855C0" w:rsidRDefault="00A855C0" w:rsidP="00A475F9">
      <w:pPr>
        <w:pStyle w:val="ListParagraph"/>
        <w:spacing w:after="100" w:line="276" w:lineRule="auto"/>
        <w:ind w:left="720"/>
        <w:rPr>
          <w:lang w:val="en-US"/>
        </w:rPr>
      </w:pPr>
    </w:p>
    <w:p w14:paraId="5D97C102" w14:textId="0BA2962F" w:rsidR="00A475F9" w:rsidRPr="00845509" w:rsidRDefault="00000000" w:rsidP="00F454D4"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eastAsia="Calibri" w:hAnsi="Calibri" w:cs="Calibri"/>
          <w:sz w:val="22"/>
          <w:szCs w:val="22"/>
        </w:rPr>
        <w:t>Correlation and regression analysis completed relating prompt difficulty and latency to score.</w:t>
      </w:r>
    </w:p>
    <w:p w14:paraId="01DCE65C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07A034CE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7E1C6B62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6155CB1B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2CBE4C3E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0CC77B32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06494D12" w14:textId="77777777" w:rsidR="00845509" w:rsidRDefault="00845509" w:rsidP="00845509">
      <w:pPr>
        <w:pStyle w:val="ListParagraph"/>
        <w:spacing w:after="100" w:line="276" w:lineRule="auto"/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14:paraId="389D54B9" w14:textId="77777777" w:rsidR="00845509" w:rsidRPr="00F454D4" w:rsidRDefault="00845509" w:rsidP="00845509">
      <w:pPr>
        <w:pStyle w:val="ListParagraph"/>
        <w:spacing w:after="100" w:line="276" w:lineRule="auto"/>
        <w:ind w:left="720"/>
      </w:pPr>
    </w:p>
    <w:p w14:paraId="4F3B7B55" w14:textId="77777777" w:rsidR="00152AA1" w:rsidRPr="00A475F9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Week 6's inter-rater agreement results consolidated into the same statistical report.</w:t>
      </w:r>
    </w:p>
    <w:p w14:paraId="7C03F242" w14:textId="209D4C43" w:rsidR="00A475F9" w:rsidRDefault="00A475F9" w:rsidP="00A475F9">
      <w:pPr>
        <w:pStyle w:val="ListParagraph"/>
        <w:spacing w:after="100" w:line="276" w:lineRule="auto"/>
        <w:ind w:left="720"/>
      </w:pPr>
      <w:r w:rsidRPr="00A475F9">
        <w:drawing>
          <wp:inline distT="0" distB="0" distL="0" distR="0" wp14:anchorId="4D835DC9" wp14:editId="6CC2A07F">
            <wp:extent cx="4461714" cy="3933825"/>
            <wp:effectExtent l="0" t="0" r="0" b="0"/>
            <wp:docPr id="109163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926" cy="39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ADF8" w14:textId="77777777" w:rsidR="00152AA1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Next Steps</w:t>
      </w:r>
    </w:p>
    <w:p w14:paraId="370DE04E" w14:textId="77777777" w:rsidR="00152AA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Proceed to Week 8: compile the final comprehensive research report (50-80 pages per the proposal), consolidating all seven weeks' methodology, results, and statistical findings, along with the reproducibility package (source code, datasets, logs, and this project's full documentation) and final presentation.</w:t>
      </w:r>
    </w:p>
    <w:sectPr w:rsidR="00152A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E4A9F"/>
    <w:multiLevelType w:val="hybridMultilevel"/>
    <w:tmpl w:val="E518514E"/>
    <w:lvl w:ilvl="0" w:tplc="998ADB66">
      <w:start w:val="1"/>
      <w:numFmt w:val="bullet"/>
      <w:lvlText w:val="●"/>
      <w:lvlJc w:val="left"/>
      <w:pPr>
        <w:ind w:left="720" w:hanging="360"/>
      </w:pPr>
    </w:lvl>
    <w:lvl w:ilvl="1" w:tplc="84F4026A">
      <w:start w:val="1"/>
      <w:numFmt w:val="bullet"/>
      <w:lvlText w:val="○"/>
      <w:lvlJc w:val="left"/>
      <w:pPr>
        <w:ind w:left="1440" w:hanging="360"/>
      </w:pPr>
    </w:lvl>
    <w:lvl w:ilvl="2" w:tplc="0D608C44">
      <w:start w:val="1"/>
      <w:numFmt w:val="bullet"/>
      <w:lvlText w:val="■"/>
      <w:lvlJc w:val="left"/>
      <w:pPr>
        <w:ind w:left="2160" w:hanging="360"/>
      </w:pPr>
    </w:lvl>
    <w:lvl w:ilvl="3" w:tplc="7B8E8B0C">
      <w:start w:val="1"/>
      <w:numFmt w:val="bullet"/>
      <w:lvlText w:val="●"/>
      <w:lvlJc w:val="left"/>
      <w:pPr>
        <w:ind w:left="2880" w:hanging="360"/>
      </w:pPr>
    </w:lvl>
    <w:lvl w:ilvl="4" w:tplc="E4FE9B0C">
      <w:start w:val="1"/>
      <w:numFmt w:val="bullet"/>
      <w:lvlText w:val="○"/>
      <w:lvlJc w:val="left"/>
      <w:pPr>
        <w:ind w:left="3600" w:hanging="360"/>
      </w:pPr>
    </w:lvl>
    <w:lvl w:ilvl="5" w:tplc="C770B860">
      <w:start w:val="1"/>
      <w:numFmt w:val="bullet"/>
      <w:lvlText w:val="■"/>
      <w:lvlJc w:val="left"/>
      <w:pPr>
        <w:ind w:left="4320" w:hanging="360"/>
      </w:pPr>
    </w:lvl>
    <w:lvl w:ilvl="6" w:tplc="DA1013BC">
      <w:start w:val="1"/>
      <w:numFmt w:val="bullet"/>
      <w:lvlText w:val="●"/>
      <w:lvlJc w:val="left"/>
      <w:pPr>
        <w:ind w:left="5040" w:hanging="360"/>
      </w:pPr>
    </w:lvl>
    <w:lvl w:ilvl="7" w:tplc="90AECC42">
      <w:start w:val="1"/>
      <w:numFmt w:val="bullet"/>
      <w:lvlText w:val="●"/>
      <w:lvlJc w:val="left"/>
      <w:pPr>
        <w:ind w:left="5760" w:hanging="360"/>
      </w:pPr>
    </w:lvl>
    <w:lvl w:ilvl="8" w:tplc="A808E0EC">
      <w:start w:val="1"/>
      <w:numFmt w:val="bullet"/>
      <w:lvlText w:val="●"/>
      <w:lvlJc w:val="left"/>
      <w:pPr>
        <w:ind w:left="6480" w:hanging="360"/>
      </w:pPr>
    </w:lvl>
  </w:abstractNum>
  <w:num w:numId="1" w16cid:durableId="544219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A1"/>
    <w:rsid w:val="00152AA1"/>
    <w:rsid w:val="002D2CC7"/>
    <w:rsid w:val="0039711D"/>
    <w:rsid w:val="00443222"/>
    <w:rsid w:val="006F6764"/>
    <w:rsid w:val="00845509"/>
    <w:rsid w:val="008B5AC2"/>
    <w:rsid w:val="00A412EC"/>
    <w:rsid w:val="00A475F9"/>
    <w:rsid w:val="00A855C0"/>
    <w:rsid w:val="00AE5E17"/>
    <w:rsid w:val="00BD46A1"/>
    <w:rsid w:val="00C406CB"/>
    <w:rsid w:val="00F4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B26C"/>
  <w15:docId w15:val="{48E0E1F3-7C69-4996-8F85-A590F95A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Jazib Asad</cp:lastModifiedBy>
  <cp:revision>15</cp:revision>
  <dcterms:created xsi:type="dcterms:W3CDTF">2026-08-24T14:48:00Z</dcterms:created>
  <dcterms:modified xsi:type="dcterms:W3CDTF">2026-08-25T11:15:00Z</dcterms:modified>
</cp:coreProperties>
</file>