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pPr>
        <w:pStyle w:val="BodyText"/>
      </w:pPr>
      <w:r>
        <w:t xml:space="preserve">Este trabajo se estructura en dos partes. En la primer parte, de caracter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pPr>
        <w:pStyle w:val="BodyText"/>
      </w:pPr>
      <w:r>
        <w:t xml:space="preserve">En la segunda parte, de índole práctica, se lleva a cabo el desarrollo y la documentación de la obra que da sentido a la tesis, donde se presenta un conjunto de experimentos audiovisuales analógico-digitales libremente titulados como</w:t>
      </w:r>
      <w:r>
        <w:t xml:space="preserve"> </w:t>
      </w:r>
      <w:r>
        <w:t xml:space="preserve">“</w:t>
      </w:r>
      <w:r>
        <w:t xml:space="preserve">Films Automáticos</w:t>
      </w:r>
      <w:r>
        <w:t xml:space="preserve">”</w:t>
      </w:r>
      <w:r>
        <w:t xml:space="preserve">: una serie de animaciones por computadora y arte generativo transferidos a fílmico en 35 mm para ser reproducidos en proyectores de diapositivas modificados. Alrededor de esta obra se documentan experimentos, pruebas e iteraciones específicas del proceso.</w:t>
      </w:r>
    </w:p>
    <w:p>
      <w:pPr>
        <w:pStyle w:val="BodyText"/>
      </w:pPr>
      <w:r>
        <w:t xml:space="preserve">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bookmarkStart w:id="20" w:name="palabras-clave"/>
    <w:p>
      <w:pPr>
        <w:pStyle w:val="Heading2"/>
      </w:pPr>
      <w:r>
        <w:t xml:space="preserve">Palabras clave</w:t>
      </w:r>
    </w:p>
    <w:p>
      <w:pPr>
        <w:pStyle w:val="FirstParagraph"/>
      </w:pPr>
      <w:r>
        <w:t xml:space="preserve">Preservación, hibridización, analógico, digital, automatismo, formatos, películas, fílmico, circuit bending, loop.</w:t>
      </w:r>
    </w:p>
    <w:bookmarkEnd w:id="20"/>
    <w:bookmarkEnd w:id="21"/>
    <w:bookmarkStart w:id="25" w:name="prólogo"/>
    <w:p>
      <w:pPr>
        <w:pStyle w:val="Heading1"/>
      </w:pPr>
      <w:r>
        <w:t xml:space="preserve">Prólogo</w:t>
      </w:r>
    </w:p>
    <w:p>
      <w:pPr>
        <w:pStyle w:val="FirstParagraph"/>
      </w:pPr>
      <w:r>
        <w:t xml:space="preserve">Nací en 1992 en la ciudad de San Carlos de Bariloche. Al estar tan lejos de la capital siento que siempre tuvimos cierto</w:t>
      </w:r>
      <w:r>
        <w:t xml:space="preserve"> </w:t>
      </w:r>
      <w:r>
        <w:t xml:space="preserve">“</w:t>
      </w:r>
      <w:r>
        <w:t xml:space="preserve">delay</w:t>
      </w:r>
      <w:r>
        <w:t xml:space="preserve">”</w:t>
      </w:r>
      <w:r>
        <w:t xml:space="preserve"> </w:t>
      </w:r>
      <w:r>
        <w:t xml:space="preserve">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2"/>
      </w:r>
      <w:r>
        <w:t xml:space="preserve">. El proyecto derivó luego en una videoinstalación y ganó algunos premios y reconocimientos</w:t>
      </w:r>
      <w:r>
        <w:rPr>
          <w:rStyle w:val="FootnoteReference"/>
        </w:rPr>
        <w:footnoteReference w:id="23"/>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 Nitrato argentino, una historia del cine de los primeros tiempos, editado por C. Cappa y el museo</w:t>
      </w:r>
      <w:r>
        <w:rPr>
          <w:rStyle w:val="FootnoteReference"/>
        </w:rPr>
        <w:footnoteReference w:id="24"/>
      </w:r>
      <w:r>
        <w:t xml:space="preserve">.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5"/>
    <w:bookmarkStart w:id="28" w:name="introducción"/>
    <w:p>
      <w:pPr>
        <w:pStyle w:val="Heading1"/>
      </w:pPr>
      <w:r>
        <w:t xml:space="preserve">Introducción</w:t>
      </w:r>
    </w:p>
    <w:bookmarkStart w:id="26" w:name="una-obligación-incuestionable"/>
    <w:p>
      <w:pPr>
        <w:pStyle w:val="Heading2"/>
      </w:pPr>
      <w:r>
        <w:t xml:space="preserve">Una obligación incuestionable</w:t>
      </w:r>
    </w:p>
    <w:p>
      <w:pPr>
        <w:pStyle w:val="FirstParagraph"/>
      </w:pPr>
      <w:r>
        <w:t xml:space="preserve">En el prólogo al libro Clasificar para Preservar del investigador español en cine Alfonso del Amo García se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w:t>
      </w:r>
      <w:r>
        <w:t xml:space="preserve"> </w:t>
      </w:r>
      <w:r>
        <w:t xml:space="preserve">“</w:t>
      </w:r>
      <w:r>
        <w:t xml:space="preserve">manual de preservación</w:t>
      </w:r>
      <w:r>
        <w:t xml:space="preserve">”</w:t>
      </w:r>
      <w:r>
        <w:t xml:space="preserve"> </w:t>
      </w:r>
      <w:r>
        <w:t xml:space="preserve">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w:t>
      </w:r>
      <w:r>
        <w:t xml:space="preserve"> </w:t>
      </w:r>
      <w:r>
        <w:t xml:space="preserve">“</w:t>
      </w:r>
      <w:r>
        <w:t xml:space="preserve">abierto</w:t>
      </w:r>
      <w:r>
        <w:t xml:space="preserve">”</w:t>
      </w:r>
      <w:r>
        <w:t xml:space="preserve"> </w:t>
      </w:r>
      <w:r>
        <w:t xml:space="preserve">de las computadoras e internet. En la web 2.0 se prioriza la creación de contenido por parte del usuario a través de sitios y aplicaciones.</w:t>
      </w:r>
    </w:p>
    <w:p>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w:t>
      </w:r>
      <w:r>
        <w:t xml:space="preserve"> </w:t>
      </w:r>
      <w:r>
        <w:t xml:space="preserve">“</w:t>
      </w:r>
      <w:r>
        <w:t xml:space="preserve">imagen pobre</w:t>
      </w:r>
      <w:r>
        <w:t xml:space="preserve">”</w:t>
      </w:r>
      <w:r>
        <w:t xml:space="preserve"> </w:t>
      </w:r>
      <w:r>
        <w:t xml:space="preserve">como</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et al., 2014)</w:t>
      </w:r>
    </w:p>
    <w:p>
      <w:pPr>
        <w:pStyle w:val="BodyText"/>
      </w:pPr>
      <w:r>
        <w:t xml:space="preserve">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bookmarkEnd w:id="26"/>
    <w:bookmarkStart w:id="27" w:name="la-preservación-involuntaria"/>
    <w:p>
      <w:pPr>
        <w:pStyle w:val="Heading2"/>
      </w:pPr>
      <w:r>
        <w:t xml:space="preserve">La Preservación Involuntaria</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 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 mintear su animación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hibridación</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hibridación e iteración es que observo una preservación involuntaria: las decisiones estéticas y técnicas que quizás determinan la única copia que queda de algo importante que queríamos recordar.</w:t>
      </w:r>
    </w:p>
    <w:bookmarkEnd w:id="27"/>
    <w:bookmarkEnd w:id="28"/>
    <w:bookmarkStart w:id="33" w:name="bibliografía"/>
    <w:p>
      <w:pPr>
        <w:pStyle w:val="Heading1"/>
      </w:pPr>
      <w:r>
        <w:t xml:space="preserve">Bibliografía</w:t>
      </w:r>
    </w:p>
    <w:bookmarkStart w:id="32" w:name="refs"/>
    <w:bookmarkStart w:id="29" w:name="ref-amogarciaClasificarParaPreservar2008"/>
    <w:p>
      <w:pPr>
        <w:pStyle w:val="Bibliography"/>
      </w:pPr>
      <w:r>
        <w:t xml:space="preserve">Amo García, A. del. (2008).</w:t>
      </w:r>
      <w:r>
        <w:t xml:space="preserve"> </w:t>
      </w:r>
      <w:r>
        <w:rPr>
          <w:i/>
          <w:iCs/>
        </w:rPr>
        <w:t xml:space="preserve">Clasificar para preservar</w:t>
      </w:r>
      <w:r>
        <w:t xml:space="preserve">.</w:t>
      </w:r>
      <w:r>
        <w:t xml:space="preserve"> </w:t>
      </w:r>
      <w:r>
        <w:t xml:space="preserve">Conaculta Cineteca Nacional Filmoteca Espa</w:t>
      </w:r>
      <w:r>
        <w:t xml:space="preserve">ñ</w:t>
      </w:r>
      <w:r>
        <w:t xml:space="preserve">ola</w:t>
      </w:r>
      <w:r>
        <w:t xml:space="preserve">.</w:t>
      </w:r>
    </w:p>
    <w:bookmarkEnd w:id="29"/>
    <w:bookmarkStart w:id="30"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30"/>
    <w:bookmarkStart w:id="31" w:name="ref-steyerlCondenadosPantalla2014"/>
    <w:p>
      <w:pPr>
        <w:pStyle w:val="Bibliography"/>
      </w:pPr>
      <w:r>
        <w:t xml:space="preserve">Steyerl, H., Berardi, F., &amp; Expósito, M. (2014).</w:t>
      </w:r>
      <w:r>
        <w:t xml:space="preserve"> </w:t>
      </w:r>
      <w:r>
        <w:rPr>
          <w:i/>
          <w:iCs/>
        </w:rPr>
        <w:t xml:space="preserve">Los condenados de la pantalla</w:t>
      </w:r>
      <w:r>
        <w:t xml:space="preserve">.</w:t>
      </w:r>
      <w:r>
        <w:t xml:space="preserve"> </w:t>
      </w:r>
      <w:r>
        <w:t xml:space="preserve">Caja Negra</w:t>
      </w:r>
      <w:r>
        <w:t xml:space="preserve">.</w:t>
      </w:r>
    </w:p>
    <w:bookmarkEnd w:id="31"/>
    <w:bookmarkEnd w:id="32"/>
    <w:bookmarkEnd w:id="33"/>
    <w:sectPr w:rsidR="00653575">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https://wkurz.com/home/productsEN.html. Accedido 6 de febrero de 2024. Ver https://vimeo.com/22015773</w:t>
      </w:r>
    </w:p>
  </w:footnote>
  <w:footnote w:id="23">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4">
    <w:p>
      <w:pPr>
        <w:pStyle w:val="FootnoteText"/>
      </w:pPr>
      <w:r>
        <w:rPr>
          <w:rStyle w:val="FootnoteReference"/>
        </w:rPr>
        <w:footnoteRef/>
      </w:r>
      <w:r>
        <w:t xml:space="preserve"> </w:t>
      </w:r>
      <w:r>
        <w:t xml:space="preserve">Cappa, Carolina. et al. Nitrato argentino, una historia del cine de los primeros tiempos. Museo del Cine, 2019.</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10050C"/>
    <w:rsid w:val="001B0533"/>
    <w:rsid w:val="002706EA"/>
    <w:rsid w:val="002B1C89"/>
    <w:rsid w:val="002C6B38"/>
    <w:rsid w:val="00412BB9"/>
    <w:rsid w:val="004612A6"/>
    <w:rsid w:val="00534C4F"/>
    <w:rsid w:val="00653575"/>
    <w:rsid w:val="00696DE1"/>
    <w:rsid w:val="006D4543"/>
    <w:rsid w:val="008E1B02"/>
    <w:rsid w:val="008F5D69"/>
    <w:rsid w:val="00A17B18"/>
    <w:rsid w:val="00A24B11"/>
    <w:rsid w:val="00A466F9"/>
    <w:rsid w:val="00AE5D74"/>
    <w:rsid w:val="00B1117C"/>
    <w:rsid w:val="00BB4AF4"/>
    <w:rsid w:val="00C42C6D"/>
    <w:rsid w:val="00C445C3"/>
    <w:rsid w:val="00CB5839"/>
    <w:rsid w:val="00CD61B3"/>
    <w:rsid w:val="00EE202D"/>
    <w:rsid w:val="00F03BC7"/>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A17B18"/>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8F5D6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BodyText"/>
    <w:uiPriority w:val="9"/>
    <w:unhideWhenUsed/>
    <w:qFormat/>
    <w:rsid w:val="001B0533"/>
    <w:pPr>
      <w:spacing w:line="240" w:lineRule="auto"/>
    </w:pPr>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BB4AF4"/>
    <w:pPr>
      <w:jc w:val="center"/>
    </w:pPr>
    <w:rPr>
      <w:rFonts w:ascii="Arial" w:cs="Arial" w:hAnsi="Arial"/>
      <w:sz w:val="20"/>
      <w:szCs w:val="20"/>
    </w:rPr>
  </w:style>
  <w:style w:customStyle="1" w:styleId="Figure" w:type="paragraph">
    <w:name w:val="Figure"/>
    <w:basedOn w:val="Normal"/>
  </w:style>
  <w:style w:customStyle="1" w:styleId="CaptionedFigure" w:type="paragraph">
    <w:name w:val="Captioned Figure"/>
    <w:basedOn w:val="Figure"/>
    <w:rsid w:val="00F03BC7"/>
    <w:pPr>
      <w:keepNext/>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C42C6D"/>
    <w:pPr>
      <w:tabs>
        <w:tab w:leader="dot" w:pos="9350" w:val="right"/>
      </w:tabs>
      <w:spacing w:after="100" w:line="360" w:lineRule="auto"/>
      <w:ind w:left="240"/>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A24B11"/>
    <w:rPr>
      <w:color w:themeColor="followedHyperlink"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2165</Words>
  <Characters>12342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14479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2024-02-13T23:27:40Z</dcterms:created>
  <dcterms:modified xsi:type="dcterms:W3CDTF">2024-02-13T23:27:40Z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