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32827" w14:textId="77777777" w:rsidR="002706EA" w:rsidRPr="008F5D69" w:rsidRDefault="00000000" w:rsidP="008F5D69">
      <w:pPr>
        <w:pStyle w:val="Title"/>
      </w:pPr>
      <w:r w:rsidRPr="008F5D69">
        <w:t>La Preservación Involuntaria</w:t>
      </w:r>
    </w:p>
    <w:p w14:paraId="31C86611" w14:textId="77777777" w:rsidR="002706EA" w:rsidRPr="008F5D69" w:rsidRDefault="00000000" w:rsidP="008F5D69">
      <w:pPr>
        <w:pStyle w:val="Author"/>
      </w:pPr>
      <w:r w:rsidRPr="008F5D69">
        <w:t>Javier de Azkue</w:t>
      </w:r>
    </w:p>
    <w:p w14:paraId="7000646D" w14:textId="77777777" w:rsidR="002706EA" w:rsidRPr="008F5D69" w:rsidRDefault="00000000" w:rsidP="008F5D69">
      <w:pPr>
        <w:pStyle w:val="Heading1"/>
      </w:pPr>
      <w:bookmarkStart w:id="0" w:name="resumen"/>
      <w:r w:rsidRPr="008F5D69">
        <w:t>Resumen</w:t>
      </w:r>
    </w:p>
    <w:p w14:paraId="5A19AA06" w14:textId="77777777" w:rsidR="002706EA" w:rsidRPr="008F5D69" w:rsidRDefault="00000000" w:rsidP="008F5D69">
      <w:pPr>
        <w:pStyle w:val="BodyText"/>
      </w:pPr>
      <w:r w:rsidRPr="008F5D69">
        <w:t>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14:paraId="259C8EE9" w14:textId="77777777" w:rsidR="002706EA" w:rsidRPr="008F5D69" w:rsidRDefault="00000000" w:rsidP="008F5D69">
      <w:pPr>
        <w:pStyle w:val="BodyText"/>
      </w:pPr>
      <w:r w:rsidRPr="008F5D69">
        <w:t>En la tesis se analizan las diferencias entre preservación y acceso, los archivos cinematográficos, los archivos de internet, las obras de artistas audiovisuales independientes y su distribución, el avance tecnológico en el campo de la informática en paralelo a las prácticas y experimentaciones artísticas, la piratería digital, y hasta el avance, proliferación y ocaso de los Token No Fungibles (NFTs). Al mismo tiempo, se estudian autores con prácticas artísticas o archivísticas en línea con la tesis para ilustrar el estilo formal y estético al que se apunta investigar.</w:t>
      </w:r>
    </w:p>
    <w:p w14:paraId="02233540" w14:textId="77777777" w:rsidR="002706EA" w:rsidRPr="008F5D69" w:rsidRDefault="00000000" w:rsidP="008F5D69">
      <w:pPr>
        <w:pStyle w:val="BodyText"/>
      </w:pPr>
      <w:r w:rsidRPr="008F5D69">
        <w:t>En el campo práctico se propone un trayecto de experimentación híbrido entre analógico y digital, a través de obras por computadora con iteraciones y generaciones en distintos formatos y medios. La propuesta busca evidenciar el dispositivo, reflexionar sobre la historia de los soportes y las tecnologías, y sumar al universo estético y formal de la tesis. En estas relaciones se busca que el interlocutor reflexione sobre el valor de la responsabilidad y la dimensión del tiempo en la preservación digital.</w:t>
      </w:r>
    </w:p>
    <w:p w14:paraId="1BBE78FF" w14:textId="77777777" w:rsidR="002706EA" w:rsidRPr="008F5D69" w:rsidRDefault="00000000" w:rsidP="008F5D69">
      <w:pPr>
        <w:pStyle w:val="Heading1"/>
      </w:pPr>
      <w:bookmarkStart w:id="1" w:name="prólogo"/>
      <w:bookmarkEnd w:id="0"/>
      <w:r w:rsidRPr="008F5D69">
        <w:lastRenderedPageBreak/>
        <w:t>Prólogo</w:t>
      </w:r>
    </w:p>
    <w:p w14:paraId="75349093" w14:textId="77777777" w:rsidR="002706EA" w:rsidRPr="008F5D69" w:rsidRDefault="00000000" w:rsidP="008F5D69">
      <w:pPr>
        <w:pStyle w:val="BodyText"/>
      </w:pPr>
      <w:r w:rsidRPr="008F5D69">
        <w:t>Nací en 1992 en la ciudad de San Carlos de Bariloche. Al estar tan lejos de la capital siento que siempre tuvimos cierto “delay” con la llegada de algunas tecnologías, lo que creo que me hizo creativo y resolutivo, y también me hizo conocer diferentes generaciones de computadoras y dispositivos audiovisuales. A pesar de ser un millenial tengo recuerdos de estar en el techo de mi casa girando la antena de TV para mejorar la señal del único canal de aire que nos llegaba, o de limpiar los cabezales de la videocasetera y hacer las conexiones de video con la tele.</w:t>
      </w:r>
    </w:p>
    <w:p w14:paraId="7C9B423F" w14:textId="77777777" w:rsidR="002706EA" w:rsidRPr="008F5D69" w:rsidRDefault="00000000" w:rsidP="008F5D69">
      <w:pPr>
        <w:pStyle w:val="BodyText"/>
      </w:pPr>
      <w:r w:rsidRPr="008F5D69">
        <w:t>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14:paraId="6B496BFC" w14:textId="77777777" w:rsidR="002706EA" w:rsidRPr="008F5D69" w:rsidRDefault="00000000" w:rsidP="008F5D69">
      <w:pPr>
        <w:pStyle w:val="BodyText"/>
      </w:pPr>
      <w:r w:rsidRPr="008F5D69">
        <w:t>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14:paraId="7AC0A18C" w14:textId="77777777" w:rsidR="002706EA" w:rsidRPr="008F5D69" w:rsidRDefault="00000000" w:rsidP="008F5D69">
      <w:pPr>
        <w:pStyle w:val="BodyText"/>
      </w:pPr>
      <w:r w:rsidRPr="008F5D69">
        <w:t>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 “hogareña”, y por otro lado, de nuevo, los títulos “electrónicos” del film. Más adelante mi madre volvería de Suecia por trabajo y nos traería una cámara digital, y con su capacidad de grabar video, sería mi puerta de entrada a mis primeros experimentos audiovisuales.</w:t>
      </w:r>
    </w:p>
    <w:p w14:paraId="4B027391" w14:textId="77777777" w:rsidR="002706EA" w:rsidRPr="008F5D69" w:rsidRDefault="00000000" w:rsidP="008F5D69">
      <w:pPr>
        <w:pStyle w:val="BodyText"/>
      </w:pPr>
      <w:r w:rsidRPr="008F5D69">
        <w:t xml:space="preserve">Años más tarde me mudé a Buenos Aires y estudié Diseño Imagen y Sonido en la UBA. Como todos (supongo), entré queriendo dirigir como Tarantino, pero al final </w:t>
      </w:r>
      <w:r w:rsidRPr="008F5D69">
        <w:lastRenderedPageBreak/>
        <w:t>terminé más interesado en la técnica. Para la tesis de la carrera estaba interesado en el tema de “la resolución”: había visto en el BAFICI del 2014 una restauración en 4k de La Épica del Everest, de John Noel, y me fascinó poder ver esas imágenes del pasado en “tan buena calidad”. Quería trabajar en esta línea, me interesaba el género del found footage.</w:t>
      </w:r>
    </w:p>
    <w:p w14:paraId="38185752" w14:textId="77777777" w:rsidR="002706EA" w:rsidRPr="008F5D69" w:rsidRDefault="00000000" w:rsidP="008F5D69">
      <w:pPr>
        <w:pStyle w:val="BodyText"/>
      </w:pPr>
      <w:r w:rsidRPr="008F5D69">
        <w:t>Para esto, yo sabía de la existencia entre mi familia de una película en 16 mm de mi abuelo Horacio. “El viaje del Henrietta”: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14:paraId="18DAAFDF" w14:textId="77777777" w:rsidR="002706EA" w:rsidRPr="008F5D69" w:rsidRDefault="00000000" w:rsidP="008F5D69">
      <w:pPr>
        <w:pStyle w:val="BodyText"/>
      </w:pPr>
      <w:r w:rsidRPr="008F5D69">
        <w:t>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1899B1A4" w14:textId="77777777" w:rsidR="002706EA" w:rsidRPr="008F5D69" w:rsidRDefault="00000000" w:rsidP="008F5D69">
      <w:pPr>
        <w:pStyle w:val="BodyText"/>
      </w:pPr>
      <w:r w:rsidRPr="008F5D69">
        <w:t xml:space="preserve">El proyecto se transformó en otra cosa: pasé de la búsqueda por la “buena resolución” 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w:t>
      </w:r>
      <w:r w:rsidRPr="008F5D69">
        <w:lastRenderedPageBreak/>
        <w:t>llamado W. Kurz</w:t>
      </w:r>
      <w:r w:rsidRPr="008F5D69">
        <w:rPr>
          <w:rStyle w:val="FootnoteReference"/>
          <w:vertAlign w:val="baseline"/>
        </w:rPr>
        <w:footnoteReference w:id="1"/>
      </w:r>
      <w:r w:rsidRPr="008F5D69">
        <w:t>. El proyecto derivó luego en una videoinstalación y ganó algunos premios y reconocimientos</w:t>
      </w:r>
      <w:r w:rsidRPr="008F5D69">
        <w:rPr>
          <w:rStyle w:val="FootnoteReference"/>
          <w:vertAlign w:val="baseline"/>
        </w:rPr>
        <w:footnoteReference w:id="2"/>
      </w:r>
      <w:r w:rsidRPr="008F5D69">
        <w:t>.</w:t>
      </w:r>
    </w:p>
    <w:p w14:paraId="5B4099D2" w14:textId="77777777" w:rsidR="002706EA" w:rsidRPr="008F5D69" w:rsidRDefault="00000000" w:rsidP="008F5D69">
      <w:pPr>
        <w:pStyle w:val="BodyText"/>
      </w:pPr>
      <w:r w:rsidRPr="008F5D69">
        <w:t>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 Nitrato argentino, una historia del cine de los primeros tiempos, editado por C. Cappa y el museo</w:t>
      </w:r>
      <w:r w:rsidRPr="008F5D69">
        <w:rPr>
          <w:rStyle w:val="FootnoteReference"/>
          <w:vertAlign w:val="baseline"/>
        </w:rPr>
        <w:footnoteReference w:id="3"/>
      </w:r>
      <w:r w:rsidRPr="008F5D69">
        <w:t>. Este sistema de digitalización y conservación del 2014 me acompañó hasta el día de hoy y es, en una versión más nueva, una de las herramientas de experimentación que se llevará a cabo en la presente tesis.</w:t>
      </w:r>
    </w:p>
    <w:p w14:paraId="585A04CC" w14:textId="77777777" w:rsidR="002706EA" w:rsidRPr="008F5D69" w:rsidRDefault="00000000" w:rsidP="008F5D69">
      <w:pPr>
        <w:pStyle w:val="BodyText"/>
      </w:pPr>
      <w:r w:rsidRPr="008F5D69">
        <w:t>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14:paraId="1076FB73" w14:textId="77777777" w:rsidR="002706EA" w:rsidRPr="008F5D69" w:rsidRDefault="00000000" w:rsidP="008F5D69">
      <w:pPr>
        <w:pStyle w:val="BodyText"/>
      </w:pPr>
      <w:r w:rsidRPr="008F5D69">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w:t>
      </w:r>
      <w:r w:rsidRPr="008F5D69">
        <w:lastRenderedPageBreak/>
        <w:t>lo que uno cree, y cuando menos lo esperemos, quizás determinan la única copia que queda de algo importante que queremos recordar.</w:t>
      </w:r>
    </w:p>
    <w:p w14:paraId="3F992F7D" w14:textId="77777777" w:rsidR="002706EA" w:rsidRPr="008F5D69" w:rsidRDefault="00000000" w:rsidP="008F5D69">
      <w:pPr>
        <w:pStyle w:val="Heading1"/>
      </w:pPr>
      <w:bookmarkStart w:id="2" w:name="introducción"/>
      <w:bookmarkEnd w:id="1"/>
      <w:r w:rsidRPr="008F5D69">
        <w:t>Introducción</w:t>
      </w:r>
    </w:p>
    <w:p w14:paraId="72BF978A" w14:textId="77777777" w:rsidR="002706EA" w:rsidRPr="008F5D69" w:rsidRDefault="00000000" w:rsidP="008F5D69">
      <w:pPr>
        <w:pStyle w:val="Heading2"/>
      </w:pPr>
      <w:bookmarkStart w:id="3" w:name="una-obligación-incuestionable"/>
      <w:r w:rsidRPr="008F5D69">
        <w:t>Una obligación incuestionable</w:t>
      </w:r>
    </w:p>
    <w:p w14:paraId="3B256DC3" w14:textId="77777777" w:rsidR="002706EA" w:rsidRPr="008F5D69" w:rsidRDefault="00000000" w:rsidP="008F5D69">
      <w:pPr>
        <w:pStyle w:val="BodyText"/>
      </w:pPr>
      <w:r w:rsidRPr="008F5D69">
        <w:t>En el prólogo al libro Clasificar para Preservar del investigador español en cine Alfonso del Amo García se plantea la “obligación incuestionable” de las civilizaciones de “preservar la memoria y la historia”. El texto asevera que “mediante la palabra repetida y atesorada en piedra, pergamino y papel, sabemos quiénes somos y cuál es nuestro lugar en el mundo” (Amo García, 2008).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 “manual de preservación” 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25F0A995" w14:textId="77777777" w:rsidR="002706EA" w:rsidRPr="008F5D69" w:rsidRDefault="00000000" w:rsidP="008F5D69">
      <w:pPr>
        <w:pStyle w:val="BodyText"/>
      </w:pPr>
      <w:r w:rsidRPr="008F5D69">
        <w:t>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 “abierto” de las computadoras e internet. En la web 2.0 se prioriza la creación de contenido por parte del usuario a través de sitios y aplicaciones.</w:t>
      </w:r>
    </w:p>
    <w:p w14:paraId="1CA68782" w14:textId="77777777" w:rsidR="002706EA" w:rsidRPr="008F5D69" w:rsidRDefault="00000000" w:rsidP="008F5D69">
      <w:pPr>
        <w:pStyle w:val="BodyText"/>
      </w:pPr>
      <w:r w:rsidRPr="008F5D69">
        <w:lastRenderedPageBreak/>
        <w:t>Por otro lado, así como Alfonso del Amo Cuarón destaca también en su guía las bondades de rescatar materiales fílmicos dando acceso a ellos (proyectándolos), es provechoso compararlo con la piratería, el exceso de imágenes, los remixes, los torrents. Hito Steyerl habla de la “imagen pobre” como “copias en movimiento”. La imagen pobre “…transforma la calidad en accesibilidad, el valor de exhibición en valor de culto, las películas en clips, la contemplación en distracción. La imagen es liberada de las criptas del cine y los archivos y empujada a la incertidumbre digital a costa de su propia sustancia” (Steyerl et al., 2014)</w:t>
      </w:r>
    </w:p>
    <w:p w14:paraId="3BA9398E" w14:textId="77777777" w:rsidR="002706EA" w:rsidRPr="008F5D69" w:rsidRDefault="00000000" w:rsidP="008F5D69">
      <w:pPr>
        <w:pStyle w:val="BodyText"/>
      </w:pPr>
      <w:r w:rsidRPr="008F5D69">
        <w:t>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14:paraId="6611C052" w14:textId="77777777" w:rsidR="002706EA" w:rsidRPr="008F5D69" w:rsidRDefault="00000000" w:rsidP="008F5D69">
      <w:pPr>
        <w:pStyle w:val="Heading2"/>
      </w:pPr>
      <w:bookmarkStart w:id="4" w:name="la-preservación-involuntaria"/>
      <w:bookmarkEnd w:id="3"/>
      <w:r w:rsidRPr="008F5D69">
        <w:t>La Preservación Involuntaria</w:t>
      </w:r>
    </w:p>
    <w:p w14:paraId="520BEB6B" w14:textId="77777777" w:rsidR="002706EA" w:rsidRPr="008F5D69" w:rsidRDefault="00000000" w:rsidP="008F5D69">
      <w:pPr>
        <w:pStyle w:val="BodyText"/>
      </w:pPr>
      <w:r w:rsidRPr="008F5D69">
        <w:t>Un realizador experimental encuentra una película Super 8 junto a la basura caminando por su barrio. Inspirado, vuelve a su casa y decide pintar el celuloide a mano con marcadores y pinceles, influenciado por sus ídolos Len Lye, Norman McLaren y Stan Brakhage. Digitaliza las películas cuadro a cuadro con un scanner de su casa y sin necesidad de un proyector reconstruye el movimiento en su computadora. Satisfecho con el resultado hace un backup en un disco externo y sube el video a Instagram y Vimeo. Recibe un par de likes. Algunos foros de animación publican su creación e incluso descubre que otros usuarios lo descargan y lo vuelven a subir.</w:t>
      </w:r>
    </w:p>
    <w:p w14:paraId="2E535BB6" w14:textId="77777777" w:rsidR="002706EA" w:rsidRPr="008F5D69" w:rsidRDefault="00000000" w:rsidP="008F5D69">
      <w:pPr>
        <w:pStyle w:val="BodyText"/>
      </w:pPr>
      <w:r w:rsidRPr="008F5D69">
        <w:t xml:space="preserve">Es 2020: el realizador lee sobre el auge de las cripto y los NFT. Decide mintear su animación en la blockchain y sin entender mucho la pone a la venta en www.HicEtNunc.xyz en formato gif. Este .gif queda para siempre loopeando en estos sitios, respaldado por tecnologías de bloques, algoritmos y sistemas de guardado IPFS </w:t>
      </w:r>
      <w:r w:rsidRPr="008F5D69">
        <w:lastRenderedPageBreak/>
        <w:t>(Inter Planetary File System). Un anónimo le compra la obra por 20 tezos, la moneda que utiliza esa red. La obra ya se reprodujo y copió cientos de veces.</w:t>
      </w:r>
    </w:p>
    <w:p w14:paraId="4EF227EA" w14:textId="77777777" w:rsidR="002706EA" w:rsidRPr="008F5D69" w:rsidRDefault="00000000" w:rsidP="008F5D69">
      <w:pPr>
        <w:pStyle w:val="BodyText"/>
      </w:pPr>
      <w:r w:rsidRPr="008F5D69">
        <w:t>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3AF20AD5" w14:textId="77777777" w:rsidR="002706EA" w:rsidRPr="008F5D69" w:rsidRDefault="00000000" w:rsidP="008F5D69">
      <w:pPr>
        <w:pStyle w:val="BodyText"/>
      </w:pPr>
      <w:r w:rsidRPr="008F5D69">
        <w:t>Esta es la “hibridación” que me interesa. Como se menciona en el prólogo, uno podría pensar que en estas escaladas tecnológicas y en el flujo de trabajo de quienes “crean arte y lo suben a la web” hay una actitud de preservación involuntaria que a la larga, quizás, es una salvación para las obras digitales.</w:t>
      </w:r>
    </w:p>
    <w:p w14:paraId="72966A83" w14:textId="77777777" w:rsidR="002706EA" w:rsidRPr="008F5D69" w:rsidRDefault="00000000" w:rsidP="008F5D69">
      <w:pPr>
        <w:pStyle w:val="BodyText"/>
      </w:pPr>
      <w:r w:rsidRPr="008F5D69">
        <w:t>Pero preservar es un verbo ambiguo: a pesar de su definición más pura de “conservar la forma original de algo a lo largo del tiempo”,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14:paraId="0F811B54" w14:textId="77777777" w:rsidR="002706EA" w:rsidRPr="008F5D69" w:rsidRDefault="00000000" w:rsidP="008F5D69">
      <w:pPr>
        <w:pStyle w:val="BodyText"/>
      </w:pPr>
      <w:r w:rsidRPr="008F5D69">
        <w:t>En este tipo de hibridación e iteración es que observo una preservación involuntaria: las decisiones estéticas y técnicas que quizás determinan la única copia que queda de algo importante que queríamos recordar.</w:t>
      </w:r>
    </w:p>
    <w:p w14:paraId="6702232E" w14:textId="426A28D8" w:rsidR="002706EA" w:rsidRPr="008F5D69" w:rsidRDefault="008F5D69" w:rsidP="008F5D69">
      <w:pPr>
        <w:pStyle w:val="Heading1"/>
      </w:pPr>
      <w:bookmarkStart w:id="5" w:name="references"/>
      <w:bookmarkEnd w:id="2"/>
      <w:bookmarkEnd w:id="4"/>
      <w:r w:rsidRPr="008F5D69">
        <w:t>Referencias</w:t>
      </w:r>
    </w:p>
    <w:p w14:paraId="580C885B" w14:textId="77777777" w:rsidR="002706EA" w:rsidRPr="008F5D69" w:rsidRDefault="00000000" w:rsidP="008F5D69">
      <w:pPr>
        <w:pStyle w:val="Bibliography"/>
      </w:pPr>
      <w:bookmarkStart w:id="6" w:name="ref-amogarciaClasificarParaPreservar2008"/>
      <w:bookmarkStart w:id="7" w:name="refs"/>
      <w:r w:rsidRPr="008F5D69">
        <w:t>Amo García, A. del. (2008). Clasificar para preservar. Conaculta Cineteca Nacional Filmoteca Española.</w:t>
      </w:r>
    </w:p>
    <w:p w14:paraId="73D7F36E" w14:textId="77777777" w:rsidR="002706EA" w:rsidRPr="008F5D69" w:rsidRDefault="00000000" w:rsidP="008F5D69">
      <w:pPr>
        <w:pStyle w:val="Bibliography"/>
      </w:pPr>
      <w:bookmarkStart w:id="8" w:name="ref-pierceSurvivalAmericanSilent2013"/>
      <w:bookmarkEnd w:id="6"/>
      <w:r w:rsidRPr="008F5D69">
        <w:lastRenderedPageBreak/>
        <w:t>Pierce, D. (2013). The survival of American silent feature films, 1912-1929. Council on Library and Information Resources and The Library of Congress.</w:t>
      </w:r>
    </w:p>
    <w:p w14:paraId="3EA2C423" w14:textId="77777777" w:rsidR="002706EA" w:rsidRPr="008F5D69" w:rsidRDefault="00000000" w:rsidP="008F5D69">
      <w:pPr>
        <w:pStyle w:val="Bibliography"/>
      </w:pPr>
      <w:bookmarkStart w:id="9" w:name="ref-steyerlCondenadosPantalla2014"/>
      <w:bookmarkEnd w:id="8"/>
      <w:r w:rsidRPr="008F5D69">
        <w:t>Steyerl, H., Berardi, F., &amp; Expósito, M. (2014). Los condenados de la pantalla. Caja Negra.</w:t>
      </w:r>
      <w:bookmarkEnd w:id="5"/>
      <w:bookmarkEnd w:id="7"/>
      <w:bookmarkEnd w:id="9"/>
    </w:p>
    <w:sectPr w:rsidR="002706EA" w:rsidRPr="008F5D6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D3FDF" w14:textId="77777777" w:rsidR="00EE202D" w:rsidRDefault="00EE202D">
      <w:pPr>
        <w:spacing w:after="0"/>
      </w:pPr>
      <w:r>
        <w:separator/>
      </w:r>
    </w:p>
  </w:endnote>
  <w:endnote w:type="continuationSeparator" w:id="0">
    <w:p w14:paraId="0C1ADEB4" w14:textId="77777777" w:rsidR="00EE202D" w:rsidRDefault="00EE202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C7B90" w14:textId="77777777" w:rsidR="00EE202D" w:rsidRDefault="00EE202D">
      <w:r>
        <w:separator/>
      </w:r>
    </w:p>
  </w:footnote>
  <w:footnote w:type="continuationSeparator" w:id="0">
    <w:p w14:paraId="2EFA094A" w14:textId="77777777" w:rsidR="00EE202D" w:rsidRDefault="00EE202D">
      <w:r>
        <w:continuationSeparator/>
      </w:r>
    </w:p>
  </w:footnote>
  <w:footnote w:id="1">
    <w:p w14:paraId="14606E65" w14:textId="77777777" w:rsidR="002706EA" w:rsidRPr="008F5D69" w:rsidRDefault="00000000">
      <w:pPr>
        <w:pStyle w:val="FootnoteText"/>
        <w:rPr>
          <w:rFonts w:ascii="Arial" w:hAnsi="Arial" w:cs="Arial"/>
        </w:rPr>
      </w:pPr>
      <w:r w:rsidRPr="008F5D69">
        <w:rPr>
          <w:rStyle w:val="FootnoteReference"/>
          <w:rFonts w:ascii="Arial" w:hAnsi="Arial" w:cs="Arial"/>
        </w:rPr>
        <w:footnoteRef/>
      </w:r>
      <w:r w:rsidRPr="008F5D69">
        <w:rPr>
          <w:rFonts w:ascii="Arial" w:hAnsi="Arial" w:cs="Arial"/>
        </w:rPr>
        <w:t xml:space="preserve"> https://wkurz.com/home/productsEN.html. Accedido 6 de febrero de 2024. Ver https://vimeo.com/22015773</w:t>
      </w:r>
    </w:p>
  </w:footnote>
  <w:footnote w:id="2">
    <w:p w14:paraId="5277E006" w14:textId="77777777" w:rsidR="002706EA" w:rsidRPr="008F5D69" w:rsidRDefault="00000000">
      <w:pPr>
        <w:pStyle w:val="FootnoteText"/>
        <w:rPr>
          <w:rFonts w:ascii="Arial" w:hAnsi="Arial" w:cs="Arial"/>
        </w:rPr>
      </w:pPr>
      <w:r w:rsidRPr="008F5D69">
        <w:rPr>
          <w:rStyle w:val="FootnoteReference"/>
          <w:rFonts w:ascii="Arial" w:hAnsi="Arial" w:cs="Arial"/>
        </w:rPr>
        <w:footnoteRef/>
      </w:r>
      <w:r w:rsidRPr="008F5D69">
        <w:rPr>
          <w:rFonts w:ascii="Arial" w:hAnsi="Arial" w:cs="Arial"/>
        </w:rP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3">
    <w:p w14:paraId="5BDA1D05" w14:textId="77777777" w:rsidR="002706EA" w:rsidRPr="008F5D69" w:rsidRDefault="00000000">
      <w:pPr>
        <w:pStyle w:val="FootnoteText"/>
        <w:rPr>
          <w:rFonts w:ascii="Arial" w:hAnsi="Arial" w:cs="Arial"/>
        </w:rPr>
      </w:pPr>
      <w:r w:rsidRPr="008F5D69">
        <w:rPr>
          <w:rStyle w:val="FootnoteReference"/>
          <w:rFonts w:ascii="Arial" w:hAnsi="Arial" w:cs="Arial"/>
        </w:rPr>
        <w:footnoteRef/>
      </w:r>
      <w:r w:rsidRPr="008F5D69">
        <w:rPr>
          <w:rFonts w:ascii="Arial" w:hAnsi="Arial" w:cs="Arial"/>
        </w:rPr>
        <w:t xml:space="preserve"> Cappa, Carolina. et al. Nitrato argentino, una historia del cine de los primeros tiempos. Museo del Cine, 2019.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420218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706EA"/>
    <w:rsid w:val="002706EA"/>
    <w:rsid w:val="008F5D69"/>
    <w:rsid w:val="00EE2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A63B97"/>
  <w15:docId w15:val="{AE812DC0-04D2-554A-9989-BA0D2A4DF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8F5D69"/>
    <w:pPr>
      <w:keepNext/>
      <w:keepLines/>
      <w:spacing w:before="480" w:after="0" w:line="360" w:lineRule="auto"/>
      <w:outlineLvl w:val="0"/>
    </w:pPr>
    <w:rPr>
      <w:rFonts w:ascii="Arial" w:eastAsiaTheme="majorEastAsia" w:hAnsi="Arial" w:cs="Arial"/>
      <w:b/>
      <w:bCs/>
      <w:sz w:val="32"/>
      <w:szCs w:val="32"/>
    </w:rPr>
  </w:style>
  <w:style w:type="paragraph" w:styleId="Heading2">
    <w:name w:val="heading 2"/>
    <w:basedOn w:val="Normal"/>
    <w:next w:val="BodyText"/>
    <w:uiPriority w:val="9"/>
    <w:unhideWhenUsed/>
    <w:qFormat/>
    <w:rsid w:val="008F5D69"/>
    <w:pPr>
      <w:keepNext/>
      <w:keepLines/>
      <w:spacing w:before="200" w:after="0" w:line="360" w:lineRule="auto"/>
      <w:outlineLvl w:val="1"/>
    </w:pPr>
    <w:rPr>
      <w:rFonts w:ascii="Arial" w:eastAsiaTheme="majorEastAsia" w:hAnsi="Arial" w:cs="Arial"/>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2074</Words>
  <Characters>11828</Characters>
  <Application>Microsoft Office Word</Application>
  <DocSecurity>0</DocSecurity>
  <Lines>98</Lines>
  <Paragraphs>27</Paragraphs>
  <ScaleCrop>false</ScaleCrop>
  <Company/>
  <LinksUpToDate>false</LinksUpToDate>
  <CharactersWithSpaces>13875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cp:lastModifiedBy>Javier de Azkue</cp:lastModifiedBy>
  <cp:revision>2</cp:revision>
  <dcterms:created xsi:type="dcterms:W3CDTF">2024-02-12T23:04:00Z</dcterms:created>
  <dcterms:modified xsi:type="dcterms:W3CDTF">2024-02-12T23:13:00Z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bib/bib.bib</vt:lpwstr>
  </property>
  <property fmtid="{D5CDD505-2E9C-101B-9397-08002B2CF9AE}" pid="3" name="csl">
    <vt:lpwstr>bib/apa.csl</vt:lpwstr>
  </property>
  <property fmtid="{D5CDD505-2E9C-101B-9397-08002B2CF9AE}" pid="4" name="output">
    <vt:lpwstr/>
  </property>
  <property fmtid="{D5CDD505-2E9C-101B-9397-08002B2CF9AE}" pid="5" name="toc-title">
    <vt:lpwstr>Indice</vt:lpwstr>
  </property>
</Properties>
</file>