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1C3C3D" w14:textId="77777777" w:rsidR="0076037C" w:rsidRDefault="00000000">
      <w:pPr>
        <w:pStyle w:val="Title"/>
      </w:pPr>
      <w:r>
        <w:t>La Preservación Involuntaria</w:t>
      </w:r>
    </w:p>
    <w:p w14:paraId="4B3FEE7D" w14:textId="77777777" w:rsidR="0076037C" w:rsidRDefault="00000000">
      <w:pPr>
        <w:pStyle w:val="Author"/>
      </w:pPr>
      <w:r>
        <w:t>Javier de Azkue</w:t>
      </w:r>
    </w:p>
    <w:bookmarkStart w:id="0" w:name="_Toc159490107" w:displacedByCustomXml="next"/>
    <w:sdt>
      <w:sdtPr>
        <w:rPr>
          <w:rFonts w:asciiTheme="minorHAnsi" w:eastAsiaTheme="minorHAnsi" w:hAnsiTheme="minorHAnsi" w:cstheme="minorBidi"/>
          <w:b w:val="0"/>
          <w:bCs w:val="0"/>
          <w:sz w:val="24"/>
          <w:szCs w:val="24"/>
        </w:rPr>
        <w:id w:val="22612918"/>
        <w:docPartObj>
          <w:docPartGallery w:val="Table of Contents"/>
          <w:docPartUnique/>
        </w:docPartObj>
      </w:sdtPr>
      <w:sdtContent>
        <w:p w14:paraId="6EAD14D6" w14:textId="77777777" w:rsidR="0076037C" w:rsidRDefault="00000000">
          <w:pPr>
            <w:pStyle w:val="TOCHeading"/>
          </w:pPr>
          <w:r>
            <w:t>Indice</w:t>
          </w:r>
          <w:bookmarkEnd w:id="0"/>
        </w:p>
        <w:p w14:paraId="0105575F" w14:textId="77777777" w:rsidR="00EC3113"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59490107" w:history="1">
            <w:r w:rsidR="00EC3113" w:rsidRPr="003C5C39">
              <w:rPr>
                <w:rStyle w:val="Hyperlink"/>
                <w:noProof/>
              </w:rPr>
              <w:t>Indice</w:t>
            </w:r>
            <w:r w:rsidR="00EC3113">
              <w:rPr>
                <w:noProof/>
                <w:webHidden/>
              </w:rPr>
              <w:tab/>
            </w:r>
            <w:r w:rsidR="00EC3113">
              <w:rPr>
                <w:noProof/>
                <w:webHidden/>
              </w:rPr>
              <w:fldChar w:fldCharType="begin"/>
            </w:r>
            <w:r w:rsidR="00EC3113">
              <w:rPr>
                <w:noProof/>
                <w:webHidden/>
              </w:rPr>
              <w:instrText xml:space="preserve"> PAGEREF _Toc159490107 \h </w:instrText>
            </w:r>
            <w:r w:rsidR="00EC3113">
              <w:rPr>
                <w:noProof/>
                <w:webHidden/>
              </w:rPr>
            </w:r>
            <w:r w:rsidR="00EC3113">
              <w:rPr>
                <w:noProof/>
                <w:webHidden/>
              </w:rPr>
              <w:fldChar w:fldCharType="separate"/>
            </w:r>
            <w:r w:rsidR="00EC3113">
              <w:rPr>
                <w:noProof/>
                <w:webHidden/>
              </w:rPr>
              <w:t>2</w:t>
            </w:r>
            <w:r w:rsidR="00EC3113">
              <w:rPr>
                <w:noProof/>
                <w:webHidden/>
              </w:rPr>
              <w:fldChar w:fldCharType="end"/>
            </w:r>
          </w:hyperlink>
        </w:p>
        <w:p w14:paraId="44F59447" w14:textId="77777777" w:rsidR="00EC3113" w:rsidRDefault="00EC3113">
          <w:pPr>
            <w:pStyle w:val="TOC1"/>
            <w:rPr>
              <w:rFonts w:asciiTheme="minorHAnsi" w:eastAsiaTheme="minorEastAsia" w:hAnsiTheme="minorHAnsi" w:cstheme="minorBidi"/>
              <w:noProof/>
              <w:kern w:val="2"/>
              <w:lang w:val="en-AR"/>
              <w14:ligatures w14:val="standardContextual"/>
            </w:rPr>
          </w:pPr>
          <w:hyperlink w:anchor="_Toc159490108" w:history="1">
            <w:r w:rsidRPr="003C5C39">
              <w:rPr>
                <w:rStyle w:val="Hyperlink"/>
                <w:noProof/>
              </w:rPr>
              <w:t>Resumen</w:t>
            </w:r>
            <w:r>
              <w:rPr>
                <w:noProof/>
                <w:webHidden/>
              </w:rPr>
              <w:tab/>
            </w:r>
            <w:r>
              <w:rPr>
                <w:noProof/>
                <w:webHidden/>
              </w:rPr>
              <w:fldChar w:fldCharType="begin"/>
            </w:r>
            <w:r>
              <w:rPr>
                <w:noProof/>
                <w:webHidden/>
              </w:rPr>
              <w:instrText xml:space="preserve"> PAGEREF _Toc159490108 \h </w:instrText>
            </w:r>
            <w:r>
              <w:rPr>
                <w:noProof/>
                <w:webHidden/>
              </w:rPr>
            </w:r>
            <w:r>
              <w:rPr>
                <w:noProof/>
                <w:webHidden/>
              </w:rPr>
              <w:fldChar w:fldCharType="separate"/>
            </w:r>
            <w:r>
              <w:rPr>
                <w:noProof/>
                <w:webHidden/>
              </w:rPr>
              <w:t>3</w:t>
            </w:r>
            <w:r>
              <w:rPr>
                <w:noProof/>
                <w:webHidden/>
              </w:rPr>
              <w:fldChar w:fldCharType="end"/>
            </w:r>
          </w:hyperlink>
        </w:p>
        <w:p w14:paraId="1C464D8D"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09" w:history="1">
            <w:r w:rsidRPr="003C5C39">
              <w:rPr>
                <w:rStyle w:val="Hyperlink"/>
              </w:rPr>
              <w:t>Palabras clave</w:t>
            </w:r>
            <w:r>
              <w:rPr>
                <w:webHidden/>
              </w:rPr>
              <w:tab/>
            </w:r>
            <w:r>
              <w:rPr>
                <w:webHidden/>
              </w:rPr>
              <w:fldChar w:fldCharType="begin"/>
            </w:r>
            <w:r>
              <w:rPr>
                <w:webHidden/>
              </w:rPr>
              <w:instrText xml:space="preserve"> PAGEREF _Toc159490109 \h </w:instrText>
            </w:r>
            <w:r>
              <w:rPr>
                <w:webHidden/>
              </w:rPr>
            </w:r>
            <w:r>
              <w:rPr>
                <w:webHidden/>
              </w:rPr>
              <w:fldChar w:fldCharType="separate"/>
            </w:r>
            <w:r>
              <w:rPr>
                <w:webHidden/>
              </w:rPr>
              <w:t>4</w:t>
            </w:r>
            <w:r>
              <w:rPr>
                <w:webHidden/>
              </w:rPr>
              <w:fldChar w:fldCharType="end"/>
            </w:r>
          </w:hyperlink>
        </w:p>
        <w:p w14:paraId="5019CC6D" w14:textId="77777777" w:rsidR="00EC3113" w:rsidRDefault="00EC3113">
          <w:pPr>
            <w:pStyle w:val="TOC1"/>
            <w:rPr>
              <w:rFonts w:asciiTheme="minorHAnsi" w:eastAsiaTheme="minorEastAsia" w:hAnsiTheme="minorHAnsi" w:cstheme="minorBidi"/>
              <w:noProof/>
              <w:kern w:val="2"/>
              <w:lang w:val="en-AR"/>
              <w14:ligatures w14:val="standardContextual"/>
            </w:rPr>
          </w:pPr>
          <w:hyperlink w:anchor="_Toc159490110" w:history="1">
            <w:r w:rsidRPr="003C5C39">
              <w:rPr>
                <w:rStyle w:val="Hyperlink"/>
                <w:noProof/>
              </w:rPr>
              <w:t>Prólogo</w:t>
            </w:r>
            <w:r>
              <w:rPr>
                <w:noProof/>
                <w:webHidden/>
              </w:rPr>
              <w:tab/>
            </w:r>
            <w:r>
              <w:rPr>
                <w:noProof/>
                <w:webHidden/>
              </w:rPr>
              <w:fldChar w:fldCharType="begin"/>
            </w:r>
            <w:r>
              <w:rPr>
                <w:noProof/>
                <w:webHidden/>
              </w:rPr>
              <w:instrText xml:space="preserve"> PAGEREF _Toc159490110 \h </w:instrText>
            </w:r>
            <w:r>
              <w:rPr>
                <w:noProof/>
                <w:webHidden/>
              </w:rPr>
            </w:r>
            <w:r>
              <w:rPr>
                <w:noProof/>
                <w:webHidden/>
              </w:rPr>
              <w:fldChar w:fldCharType="separate"/>
            </w:r>
            <w:r>
              <w:rPr>
                <w:noProof/>
                <w:webHidden/>
              </w:rPr>
              <w:t>5</w:t>
            </w:r>
            <w:r>
              <w:rPr>
                <w:noProof/>
                <w:webHidden/>
              </w:rPr>
              <w:fldChar w:fldCharType="end"/>
            </w:r>
          </w:hyperlink>
        </w:p>
        <w:p w14:paraId="08C43FE7" w14:textId="77777777" w:rsidR="00EC3113" w:rsidRDefault="00EC3113">
          <w:pPr>
            <w:pStyle w:val="TOC1"/>
            <w:rPr>
              <w:rFonts w:asciiTheme="minorHAnsi" w:eastAsiaTheme="minorEastAsia" w:hAnsiTheme="minorHAnsi" w:cstheme="minorBidi"/>
              <w:noProof/>
              <w:kern w:val="2"/>
              <w:lang w:val="en-AR"/>
              <w14:ligatures w14:val="standardContextual"/>
            </w:rPr>
          </w:pPr>
          <w:hyperlink w:anchor="_Toc159490111" w:history="1">
            <w:r w:rsidRPr="003C5C39">
              <w:rPr>
                <w:rStyle w:val="Hyperlink"/>
                <w:noProof/>
              </w:rPr>
              <w:t>Introducción</w:t>
            </w:r>
            <w:r>
              <w:rPr>
                <w:noProof/>
                <w:webHidden/>
              </w:rPr>
              <w:tab/>
            </w:r>
            <w:r>
              <w:rPr>
                <w:noProof/>
                <w:webHidden/>
              </w:rPr>
              <w:fldChar w:fldCharType="begin"/>
            </w:r>
            <w:r>
              <w:rPr>
                <w:noProof/>
                <w:webHidden/>
              </w:rPr>
              <w:instrText xml:space="preserve"> PAGEREF _Toc159490111 \h </w:instrText>
            </w:r>
            <w:r>
              <w:rPr>
                <w:noProof/>
                <w:webHidden/>
              </w:rPr>
            </w:r>
            <w:r>
              <w:rPr>
                <w:noProof/>
                <w:webHidden/>
              </w:rPr>
              <w:fldChar w:fldCharType="separate"/>
            </w:r>
            <w:r>
              <w:rPr>
                <w:noProof/>
                <w:webHidden/>
              </w:rPr>
              <w:t>8</w:t>
            </w:r>
            <w:r>
              <w:rPr>
                <w:noProof/>
                <w:webHidden/>
              </w:rPr>
              <w:fldChar w:fldCharType="end"/>
            </w:r>
          </w:hyperlink>
        </w:p>
        <w:p w14:paraId="6BD42D46"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2" w:history="1">
            <w:r w:rsidRPr="003C5C39">
              <w:rPr>
                <w:rStyle w:val="Hyperlink"/>
              </w:rPr>
              <w:t>Una obligación incuestionable</w:t>
            </w:r>
            <w:r>
              <w:rPr>
                <w:webHidden/>
              </w:rPr>
              <w:tab/>
            </w:r>
            <w:r>
              <w:rPr>
                <w:webHidden/>
              </w:rPr>
              <w:fldChar w:fldCharType="begin"/>
            </w:r>
            <w:r>
              <w:rPr>
                <w:webHidden/>
              </w:rPr>
              <w:instrText xml:space="preserve"> PAGEREF _Toc159490112 \h </w:instrText>
            </w:r>
            <w:r>
              <w:rPr>
                <w:webHidden/>
              </w:rPr>
            </w:r>
            <w:r>
              <w:rPr>
                <w:webHidden/>
              </w:rPr>
              <w:fldChar w:fldCharType="separate"/>
            </w:r>
            <w:r>
              <w:rPr>
                <w:webHidden/>
              </w:rPr>
              <w:t>8</w:t>
            </w:r>
            <w:r>
              <w:rPr>
                <w:webHidden/>
              </w:rPr>
              <w:fldChar w:fldCharType="end"/>
            </w:r>
          </w:hyperlink>
        </w:p>
        <w:p w14:paraId="45D9C4A6"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3" w:history="1">
            <w:r w:rsidRPr="003C5C39">
              <w:rPr>
                <w:rStyle w:val="Hyperlink"/>
              </w:rPr>
              <w:t>La Preservación Involuntaria</w:t>
            </w:r>
            <w:r>
              <w:rPr>
                <w:webHidden/>
              </w:rPr>
              <w:tab/>
            </w:r>
            <w:r>
              <w:rPr>
                <w:webHidden/>
              </w:rPr>
              <w:fldChar w:fldCharType="begin"/>
            </w:r>
            <w:r>
              <w:rPr>
                <w:webHidden/>
              </w:rPr>
              <w:instrText xml:space="preserve"> PAGEREF _Toc159490113 \h </w:instrText>
            </w:r>
            <w:r>
              <w:rPr>
                <w:webHidden/>
              </w:rPr>
            </w:r>
            <w:r>
              <w:rPr>
                <w:webHidden/>
              </w:rPr>
              <w:fldChar w:fldCharType="separate"/>
            </w:r>
            <w:r>
              <w:rPr>
                <w:webHidden/>
              </w:rPr>
              <w:t>9</w:t>
            </w:r>
            <w:r>
              <w:rPr>
                <w:webHidden/>
              </w:rPr>
              <w:fldChar w:fldCharType="end"/>
            </w:r>
          </w:hyperlink>
        </w:p>
        <w:p w14:paraId="4E59F5A3" w14:textId="77777777" w:rsidR="00EC3113" w:rsidRDefault="00EC3113">
          <w:pPr>
            <w:pStyle w:val="TOC1"/>
            <w:rPr>
              <w:rFonts w:asciiTheme="minorHAnsi" w:eastAsiaTheme="minorEastAsia" w:hAnsiTheme="minorHAnsi" w:cstheme="minorBidi"/>
              <w:noProof/>
              <w:kern w:val="2"/>
              <w:lang w:val="en-AR"/>
              <w14:ligatures w14:val="standardContextual"/>
            </w:rPr>
          </w:pPr>
          <w:hyperlink w:anchor="_Toc159490114" w:history="1">
            <w:r w:rsidRPr="003C5C39">
              <w:rPr>
                <w:rStyle w:val="Hyperlink"/>
                <w:noProof/>
              </w:rPr>
              <w:t>Antecedentes teóricos y referentes artísticos</w:t>
            </w:r>
            <w:r>
              <w:rPr>
                <w:noProof/>
                <w:webHidden/>
              </w:rPr>
              <w:tab/>
            </w:r>
            <w:r>
              <w:rPr>
                <w:noProof/>
                <w:webHidden/>
              </w:rPr>
              <w:fldChar w:fldCharType="begin"/>
            </w:r>
            <w:r>
              <w:rPr>
                <w:noProof/>
                <w:webHidden/>
              </w:rPr>
              <w:instrText xml:space="preserve"> PAGEREF _Toc159490114 \h </w:instrText>
            </w:r>
            <w:r>
              <w:rPr>
                <w:noProof/>
                <w:webHidden/>
              </w:rPr>
            </w:r>
            <w:r>
              <w:rPr>
                <w:noProof/>
                <w:webHidden/>
              </w:rPr>
              <w:fldChar w:fldCharType="separate"/>
            </w:r>
            <w:r>
              <w:rPr>
                <w:noProof/>
                <w:webHidden/>
              </w:rPr>
              <w:t>11</w:t>
            </w:r>
            <w:r>
              <w:rPr>
                <w:noProof/>
                <w:webHidden/>
              </w:rPr>
              <w:fldChar w:fldCharType="end"/>
            </w:r>
          </w:hyperlink>
        </w:p>
        <w:p w14:paraId="6C31462E"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5" w:history="1">
            <w:r w:rsidRPr="003C5C39">
              <w:rPr>
                <w:rStyle w:val="Hyperlink"/>
              </w:rPr>
              <w:t>Preservación y acceso</w:t>
            </w:r>
            <w:r>
              <w:rPr>
                <w:webHidden/>
              </w:rPr>
              <w:tab/>
            </w:r>
            <w:r>
              <w:rPr>
                <w:webHidden/>
              </w:rPr>
              <w:fldChar w:fldCharType="begin"/>
            </w:r>
            <w:r>
              <w:rPr>
                <w:webHidden/>
              </w:rPr>
              <w:instrText xml:space="preserve"> PAGEREF _Toc159490115 \h </w:instrText>
            </w:r>
            <w:r>
              <w:rPr>
                <w:webHidden/>
              </w:rPr>
            </w:r>
            <w:r>
              <w:rPr>
                <w:webHidden/>
              </w:rPr>
              <w:fldChar w:fldCharType="separate"/>
            </w:r>
            <w:r>
              <w:rPr>
                <w:webHidden/>
              </w:rPr>
              <w:t>11</w:t>
            </w:r>
            <w:r>
              <w:rPr>
                <w:webHidden/>
              </w:rPr>
              <w:fldChar w:fldCharType="end"/>
            </w:r>
          </w:hyperlink>
        </w:p>
        <w:p w14:paraId="395E35FE"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6" w:history="1">
            <w:r w:rsidRPr="003C5C39">
              <w:rPr>
                <w:rStyle w:val="Hyperlink"/>
              </w:rPr>
              <w:t>Internet Archive (el archivo de internet)</w:t>
            </w:r>
            <w:r>
              <w:rPr>
                <w:webHidden/>
              </w:rPr>
              <w:tab/>
            </w:r>
            <w:r>
              <w:rPr>
                <w:webHidden/>
              </w:rPr>
              <w:fldChar w:fldCharType="begin"/>
            </w:r>
            <w:r>
              <w:rPr>
                <w:webHidden/>
              </w:rPr>
              <w:instrText xml:space="preserve"> PAGEREF _Toc159490116 \h </w:instrText>
            </w:r>
            <w:r>
              <w:rPr>
                <w:webHidden/>
              </w:rPr>
            </w:r>
            <w:r>
              <w:rPr>
                <w:webHidden/>
              </w:rPr>
              <w:fldChar w:fldCharType="separate"/>
            </w:r>
            <w:r>
              <w:rPr>
                <w:webHidden/>
              </w:rPr>
              <w:t>12</w:t>
            </w:r>
            <w:r>
              <w:rPr>
                <w:webHidden/>
              </w:rPr>
              <w:fldChar w:fldCharType="end"/>
            </w:r>
          </w:hyperlink>
        </w:p>
        <w:p w14:paraId="6E4A1EAC"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7" w:history="1">
            <w:r w:rsidRPr="003C5C39">
              <w:rPr>
                <w:rStyle w:val="Hyperlink"/>
              </w:rPr>
              <w:t>Consorcio de expertos en Media Arts</w:t>
            </w:r>
            <w:r>
              <w:rPr>
                <w:webHidden/>
              </w:rPr>
              <w:tab/>
            </w:r>
            <w:r>
              <w:rPr>
                <w:webHidden/>
              </w:rPr>
              <w:fldChar w:fldCharType="begin"/>
            </w:r>
            <w:r>
              <w:rPr>
                <w:webHidden/>
              </w:rPr>
              <w:instrText xml:space="preserve"> PAGEREF _Toc159490117 \h </w:instrText>
            </w:r>
            <w:r>
              <w:rPr>
                <w:webHidden/>
              </w:rPr>
            </w:r>
            <w:r>
              <w:rPr>
                <w:webHidden/>
              </w:rPr>
              <w:fldChar w:fldCharType="separate"/>
            </w:r>
            <w:r>
              <w:rPr>
                <w:webHidden/>
              </w:rPr>
              <w:t>13</w:t>
            </w:r>
            <w:r>
              <w:rPr>
                <w:webHidden/>
              </w:rPr>
              <w:fldChar w:fldCharType="end"/>
            </w:r>
          </w:hyperlink>
        </w:p>
        <w:p w14:paraId="2C879EAD"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8" w:history="1">
            <w:r w:rsidRPr="003C5C39">
              <w:rPr>
                <w:rStyle w:val="Hyperlink"/>
              </w:rPr>
              <w:t>Cameron’s World</w:t>
            </w:r>
            <w:r>
              <w:rPr>
                <w:webHidden/>
              </w:rPr>
              <w:tab/>
            </w:r>
            <w:r>
              <w:rPr>
                <w:webHidden/>
              </w:rPr>
              <w:fldChar w:fldCharType="begin"/>
            </w:r>
            <w:r>
              <w:rPr>
                <w:webHidden/>
              </w:rPr>
              <w:instrText xml:space="preserve"> PAGEREF _Toc159490118 \h </w:instrText>
            </w:r>
            <w:r>
              <w:rPr>
                <w:webHidden/>
              </w:rPr>
            </w:r>
            <w:r>
              <w:rPr>
                <w:webHidden/>
              </w:rPr>
              <w:fldChar w:fldCharType="separate"/>
            </w:r>
            <w:r>
              <w:rPr>
                <w:webHidden/>
              </w:rPr>
              <w:t>14</w:t>
            </w:r>
            <w:r>
              <w:rPr>
                <w:webHidden/>
              </w:rPr>
              <w:fldChar w:fldCharType="end"/>
            </w:r>
          </w:hyperlink>
        </w:p>
        <w:p w14:paraId="69DF25CB"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19" w:history="1">
            <w:r w:rsidRPr="003C5C39">
              <w:rPr>
                <w:rStyle w:val="Hyperlink"/>
              </w:rPr>
              <w:t>Brian Mackern</w:t>
            </w:r>
            <w:r>
              <w:rPr>
                <w:webHidden/>
              </w:rPr>
              <w:tab/>
            </w:r>
            <w:r>
              <w:rPr>
                <w:webHidden/>
              </w:rPr>
              <w:fldChar w:fldCharType="begin"/>
            </w:r>
            <w:r>
              <w:rPr>
                <w:webHidden/>
              </w:rPr>
              <w:instrText xml:space="preserve"> PAGEREF _Toc159490119 \h </w:instrText>
            </w:r>
            <w:r>
              <w:rPr>
                <w:webHidden/>
              </w:rPr>
            </w:r>
            <w:r>
              <w:rPr>
                <w:webHidden/>
              </w:rPr>
              <w:fldChar w:fldCharType="separate"/>
            </w:r>
            <w:r>
              <w:rPr>
                <w:webHidden/>
              </w:rPr>
              <w:t>15</w:t>
            </w:r>
            <w:r>
              <w:rPr>
                <w:webHidden/>
              </w:rPr>
              <w:fldChar w:fldCharType="end"/>
            </w:r>
          </w:hyperlink>
        </w:p>
        <w:p w14:paraId="30B9B982"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20" w:history="1">
            <w:r w:rsidRPr="003C5C39">
              <w:rPr>
                <w:rStyle w:val="Hyperlink"/>
              </w:rPr>
              <w:t>Bill Brand y Artist Films</w:t>
            </w:r>
            <w:r>
              <w:rPr>
                <w:webHidden/>
              </w:rPr>
              <w:tab/>
            </w:r>
            <w:r>
              <w:rPr>
                <w:webHidden/>
              </w:rPr>
              <w:fldChar w:fldCharType="begin"/>
            </w:r>
            <w:r>
              <w:rPr>
                <w:webHidden/>
              </w:rPr>
              <w:instrText xml:space="preserve"> PAGEREF _Toc159490120 \h </w:instrText>
            </w:r>
            <w:r>
              <w:rPr>
                <w:webHidden/>
              </w:rPr>
            </w:r>
            <w:r>
              <w:rPr>
                <w:webHidden/>
              </w:rPr>
              <w:fldChar w:fldCharType="separate"/>
            </w:r>
            <w:r>
              <w:rPr>
                <w:webHidden/>
              </w:rPr>
              <w:t>17</w:t>
            </w:r>
            <w:r>
              <w:rPr>
                <w:webHidden/>
              </w:rPr>
              <w:fldChar w:fldCharType="end"/>
            </w:r>
          </w:hyperlink>
        </w:p>
        <w:p w14:paraId="600E851E"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21" w:history="1">
            <w:r w:rsidRPr="003C5C39">
              <w:rPr>
                <w:rStyle w:val="Hyperlink"/>
              </w:rPr>
              <w:t>Computer Art en celuloide y en papel</w:t>
            </w:r>
            <w:r>
              <w:rPr>
                <w:webHidden/>
              </w:rPr>
              <w:tab/>
            </w:r>
            <w:r>
              <w:rPr>
                <w:webHidden/>
              </w:rPr>
              <w:fldChar w:fldCharType="begin"/>
            </w:r>
            <w:r>
              <w:rPr>
                <w:webHidden/>
              </w:rPr>
              <w:instrText xml:space="preserve"> PAGEREF _Toc159490121 \h </w:instrText>
            </w:r>
            <w:r>
              <w:rPr>
                <w:webHidden/>
              </w:rPr>
            </w:r>
            <w:r>
              <w:rPr>
                <w:webHidden/>
              </w:rPr>
              <w:fldChar w:fldCharType="separate"/>
            </w:r>
            <w:r>
              <w:rPr>
                <w:webHidden/>
              </w:rPr>
              <w:t>18</w:t>
            </w:r>
            <w:r>
              <w:rPr>
                <w:webHidden/>
              </w:rPr>
              <w:fldChar w:fldCharType="end"/>
            </w:r>
          </w:hyperlink>
        </w:p>
        <w:p w14:paraId="2815C863"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22" w:history="1">
            <w:r w:rsidRPr="003C5C39">
              <w:rPr>
                <w:rStyle w:val="Hyperlink"/>
              </w:rPr>
              <w:t>Datos en celuloide</w:t>
            </w:r>
            <w:r>
              <w:rPr>
                <w:webHidden/>
              </w:rPr>
              <w:tab/>
            </w:r>
            <w:r>
              <w:rPr>
                <w:webHidden/>
              </w:rPr>
              <w:fldChar w:fldCharType="begin"/>
            </w:r>
            <w:r>
              <w:rPr>
                <w:webHidden/>
              </w:rPr>
              <w:instrText xml:space="preserve"> PAGEREF _Toc159490122 \h </w:instrText>
            </w:r>
            <w:r>
              <w:rPr>
                <w:webHidden/>
              </w:rPr>
            </w:r>
            <w:r>
              <w:rPr>
                <w:webHidden/>
              </w:rPr>
              <w:fldChar w:fldCharType="separate"/>
            </w:r>
            <w:r>
              <w:rPr>
                <w:webHidden/>
              </w:rPr>
              <w:t>23</w:t>
            </w:r>
            <w:r>
              <w:rPr>
                <w:webHidden/>
              </w:rPr>
              <w:fldChar w:fldCharType="end"/>
            </w:r>
          </w:hyperlink>
        </w:p>
        <w:p w14:paraId="66B53470"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23" w:history="1">
            <w:r w:rsidRPr="003C5C39">
              <w:rPr>
                <w:rStyle w:val="Hyperlink"/>
              </w:rPr>
              <w:t>La Web Permanente: sistemas descentralizados de preservación</w:t>
            </w:r>
            <w:r>
              <w:rPr>
                <w:webHidden/>
              </w:rPr>
              <w:tab/>
            </w:r>
            <w:r>
              <w:rPr>
                <w:webHidden/>
              </w:rPr>
              <w:fldChar w:fldCharType="begin"/>
            </w:r>
            <w:r>
              <w:rPr>
                <w:webHidden/>
              </w:rPr>
              <w:instrText xml:space="preserve"> PAGEREF _Toc159490123 \h </w:instrText>
            </w:r>
            <w:r>
              <w:rPr>
                <w:webHidden/>
              </w:rPr>
            </w:r>
            <w:r>
              <w:rPr>
                <w:webHidden/>
              </w:rPr>
              <w:fldChar w:fldCharType="separate"/>
            </w:r>
            <w:r>
              <w:rPr>
                <w:webHidden/>
              </w:rPr>
              <w:t>26</w:t>
            </w:r>
            <w:r>
              <w:rPr>
                <w:webHidden/>
              </w:rPr>
              <w:fldChar w:fldCharType="end"/>
            </w:r>
          </w:hyperlink>
        </w:p>
        <w:p w14:paraId="50A9888D" w14:textId="77777777" w:rsidR="00EC3113" w:rsidRDefault="00EC3113">
          <w:pPr>
            <w:pStyle w:val="TOC2"/>
            <w:rPr>
              <w:rFonts w:asciiTheme="minorHAnsi" w:eastAsiaTheme="minorEastAsia" w:hAnsiTheme="minorHAnsi" w:cstheme="minorBidi"/>
              <w:kern w:val="2"/>
              <w:lang w:val="en-AR"/>
              <w14:ligatures w14:val="standardContextual"/>
            </w:rPr>
          </w:pPr>
          <w:hyperlink w:anchor="_Toc159490124" w:history="1">
            <w:r w:rsidRPr="003C5C39">
              <w:rPr>
                <w:rStyle w:val="Hyperlink"/>
              </w:rPr>
              <w:t>La imagen pobre y los archivos involuntarios</w:t>
            </w:r>
            <w:r>
              <w:rPr>
                <w:webHidden/>
              </w:rPr>
              <w:tab/>
            </w:r>
            <w:r>
              <w:rPr>
                <w:webHidden/>
              </w:rPr>
              <w:fldChar w:fldCharType="begin"/>
            </w:r>
            <w:r>
              <w:rPr>
                <w:webHidden/>
              </w:rPr>
              <w:instrText xml:space="preserve"> PAGEREF _Toc159490124 \h </w:instrText>
            </w:r>
            <w:r>
              <w:rPr>
                <w:webHidden/>
              </w:rPr>
            </w:r>
            <w:r>
              <w:rPr>
                <w:webHidden/>
              </w:rPr>
              <w:fldChar w:fldCharType="separate"/>
            </w:r>
            <w:r>
              <w:rPr>
                <w:webHidden/>
              </w:rPr>
              <w:t>27</w:t>
            </w:r>
            <w:r>
              <w:rPr>
                <w:webHidden/>
              </w:rPr>
              <w:fldChar w:fldCharType="end"/>
            </w:r>
          </w:hyperlink>
        </w:p>
        <w:p w14:paraId="12E8573A" w14:textId="77777777" w:rsidR="00EC3113" w:rsidRDefault="00EC3113">
          <w:pPr>
            <w:pStyle w:val="TOC1"/>
            <w:rPr>
              <w:rFonts w:asciiTheme="minorHAnsi" w:eastAsiaTheme="minorEastAsia" w:hAnsiTheme="minorHAnsi" w:cstheme="minorBidi"/>
              <w:noProof/>
              <w:kern w:val="2"/>
              <w:lang w:val="en-AR"/>
              <w14:ligatures w14:val="standardContextual"/>
            </w:rPr>
          </w:pPr>
          <w:hyperlink w:anchor="_Toc159490125" w:history="1">
            <w:r w:rsidRPr="003C5C39">
              <w:rPr>
                <w:rStyle w:val="Hyperlink"/>
                <w:noProof/>
              </w:rPr>
              <w:t>Bibliografía</w:t>
            </w:r>
            <w:r>
              <w:rPr>
                <w:noProof/>
                <w:webHidden/>
              </w:rPr>
              <w:tab/>
            </w:r>
            <w:r>
              <w:rPr>
                <w:noProof/>
                <w:webHidden/>
              </w:rPr>
              <w:fldChar w:fldCharType="begin"/>
            </w:r>
            <w:r>
              <w:rPr>
                <w:noProof/>
                <w:webHidden/>
              </w:rPr>
              <w:instrText xml:space="preserve"> PAGEREF _Toc159490125 \h </w:instrText>
            </w:r>
            <w:r>
              <w:rPr>
                <w:noProof/>
                <w:webHidden/>
              </w:rPr>
            </w:r>
            <w:r>
              <w:rPr>
                <w:noProof/>
                <w:webHidden/>
              </w:rPr>
              <w:fldChar w:fldCharType="separate"/>
            </w:r>
            <w:r>
              <w:rPr>
                <w:noProof/>
                <w:webHidden/>
              </w:rPr>
              <w:t>30</w:t>
            </w:r>
            <w:r>
              <w:rPr>
                <w:noProof/>
                <w:webHidden/>
              </w:rPr>
              <w:fldChar w:fldCharType="end"/>
            </w:r>
          </w:hyperlink>
        </w:p>
        <w:p w14:paraId="766702EA" w14:textId="77777777" w:rsidR="0076037C" w:rsidRDefault="00000000">
          <w:r>
            <w:fldChar w:fldCharType="end"/>
          </w:r>
        </w:p>
      </w:sdtContent>
    </w:sdt>
    <w:p w14:paraId="68E7C9B6" w14:textId="77777777" w:rsidR="0076037C" w:rsidRDefault="00000000">
      <w:pPr>
        <w:pStyle w:val="Heading1"/>
      </w:pPr>
      <w:bookmarkStart w:id="1" w:name="_Toc159490108"/>
      <w:r>
        <w:lastRenderedPageBreak/>
        <w:t>Resumen</w:t>
      </w:r>
      <w:bookmarkEnd w:id="1"/>
    </w:p>
    <w:p w14:paraId="1F322AF4" w14:textId="77777777" w:rsidR="0076037C" w:rsidRDefault="00000000">
      <w:pPr>
        <w:pStyle w:val="FirstParagraph"/>
      </w:pPr>
      <w:r>
        <w:t>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62A69254" w14:textId="77777777" w:rsidR="0076037C" w:rsidRDefault="00000000">
      <w:pPr>
        <w:pStyle w:val="BodyText"/>
      </w:pPr>
      <w:r>
        <w:t>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14:paraId="2B48897E" w14:textId="77777777" w:rsidR="0076037C" w:rsidRDefault="00000000">
      <w:pPr>
        <w:pStyle w:val="BodyText"/>
      </w:pPr>
      <w:r>
        <w:t>En la segunda parte, de índole práctica, se lleva a cabo el desarrollo y la documentación de un conjunto de experimentos audiovisuales analógico-digitales libremente titulados como “Films Automáticos”: una serie de animaciones por computadora y arte generativo transferidos a fílmico en 35 mm para ser reproducidos en proyectores de diapositivas modificados. Alrededor de esta obra se documentan experimentos, pruebas e iteraciones específicas del proceso.</w:t>
      </w:r>
    </w:p>
    <w:p w14:paraId="18CF6C9C" w14:textId="77777777" w:rsidR="0076037C" w:rsidRDefault="00000000">
      <w:pPr>
        <w:pStyle w:val="BodyText"/>
      </w:pPr>
      <w:r>
        <w:t>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68865B3C" w14:textId="77777777" w:rsidR="0076037C" w:rsidRDefault="00000000">
      <w:pPr>
        <w:pStyle w:val="Heading2"/>
      </w:pPr>
      <w:bookmarkStart w:id="2" w:name="_Toc159490109"/>
      <w:r>
        <w:lastRenderedPageBreak/>
        <w:t>Palabras clave</w:t>
      </w:r>
      <w:bookmarkEnd w:id="2"/>
    </w:p>
    <w:p w14:paraId="05670057" w14:textId="77777777" w:rsidR="0076037C" w:rsidRDefault="00000000">
      <w:pPr>
        <w:pStyle w:val="FirstParagraph"/>
      </w:pPr>
      <w:r>
        <w:t>Preservación, híbrido, analógico, digital, automatismo, formatos, películas, fílmico, circuit bending, loop.</w:t>
      </w:r>
    </w:p>
    <w:p w14:paraId="5B84C087" w14:textId="77777777" w:rsidR="0076037C" w:rsidRDefault="00000000">
      <w:pPr>
        <w:pStyle w:val="Heading1"/>
      </w:pPr>
      <w:bookmarkStart w:id="3" w:name="_Toc159490110"/>
      <w:r>
        <w:lastRenderedPageBreak/>
        <w:t>Prólogo</w:t>
      </w:r>
      <w:bookmarkEnd w:id="3"/>
    </w:p>
    <w:p w14:paraId="0EDADA5B" w14:textId="77777777" w:rsidR="0076037C" w:rsidRDefault="00000000">
      <w:pPr>
        <w:pStyle w:val="FirstParagraph"/>
      </w:pPr>
      <w:r>
        <w:t>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14:paraId="7CF78A54" w14:textId="77777777" w:rsidR="0076037C" w:rsidRDefault="00000000">
      <w:pPr>
        <w:pStyle w:val="BodyText"/>
      </w:pPr>
      <w:r>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3F82BE57" w14:textId="77777777" w:rsidR="0076037C" w:rsidRDefault="00000000">
      <w:pPr>
        <w:pStyle w:val="BodyText"/>
      </w:pPr>
      <w:r>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15CCD2F8" w14:textId="77777777" w:rsidR="0076037C" w:rsidRDefault="00000000">
      <w:pPr>
        <w:pStyle w:val="BodyText"/>
      </w:pPr>
      <w:r>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6DC632E2" w14:textId="77777777" w:rsidR="0076037C" w:rsidRDefault="00000000">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 “la resolución”: había visto en el BAFICI del 2014 una restauración en </w:t>
      </w:r>
      <w:r>
        <w:lastRenderedPageBreak/>
        <w:t>4k de La Épica del Everest, de John Noel, y me fascinó poder ver esas imágenes del pasado en “tan buena calidad”. Quería trabajar en esta línea, me interesaba el género del found footage.</w:t>
      </w:r>
    </w:p>
    <w:p w14:paraId="679AEA2E" w14:textId="77777777" w:rsidR="0076037C" w:rsidRDefault="00000000">
      <w:pPr>
        <w:pStyle w:val="BodyText"/>
      </w:pPr>
      <w:r>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3D16DE12" w14:textId="77777777" w:rsidR="0076037C" w:rsidRDefault="00000000">
      <w:pPr>
        <w:pStyle w:val="BodyText"/>
      </w:pPr>
      <w:r>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31523FF1" w14:textId="77777777" w:rsidR="0076037C" w:rsidRDefault="00000000">
      <w:pPr>
        <w:pStyle w:val="BodyText"/>
      </w:pPr>
      <w:r>
        <w:t>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1"/>
      </w:r>
      <w:r>
        <w:t>. El proyecto derivó luego en una videoinstalación y ganó algunos premios y reconocimientos</w:t>
      </w:r>
      <w:r>
        <w:rPr>
          <w:rStyle w:val="FootnoteReference"/>
        </w:rPr>
        <w:footnoteReference w:id="2"/>
      </w:r>
      <w:r>
        <w:t>.</w:t>
      </w:r>
    </w:p>
    <w:p w14:paraId="3B6BCD81" w14:textId="77777777" w:rsidR="0076037C" w:rsidRDefault="00000000">
      <w:pPr>
        <w:pStyle w:val="BodyText"/>
      </w:pPr>
      <w:r>
        <w:lastRenderedPageBreak/>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llevará a cabo en la presente tesis.</w:t>
      </w:r>
    </w:p>
    <w:p w14:paraId="31B7963F" w14:textId="77777777" w:rsidR="0076037C" w:rsidRDefault="00000000">
      <w:pPr>
        <w:pStyle w:val="BodyText"/>
      </w:pPr>
      <w:r>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6B0BB431" w14:textId="77777777" w:rsidR="0076037C" w:rsidRDefault="00000000">
      <w:pPr>
        <w:pStyle w:val="BodyText"/>
      </w:pPr>
      <w:r>
        <w:t>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p w14:paraId="3B0CBCAE" w14:textId="77777777" w:rsidR="0076037C" w:rsidRDefault="00000000">
      <w:pPr>
        <w:pStyle w:val="Heading1"/>
      </w:pPr>
      <w:bookmarkStart w:id="4" w:name="_Toc159490111"/>
      <w:r>
        <w:lastRenderedPageBreak/>
        <w:t>Introducción</w:t>
      </w:r>
      <w:bookmarkEnd w:id="4"/>
    </w:p>
    <w:p w14:paraId="72AF22DE" w14:textId="77777777" w:rsidR="0076037C" w:rsidRDefault="00000000">
      <w:pPr>
        <w:pStyle w:val="Heading2"/>
      </w:pPr>
      <w:bookmarkStart w:id="5" w:name="_Toc159490112"/>
      <w:r>
        <w:t>Una obligación incuestionable</w:t>
      </w:r>
      <w:bookmarkEnd w:id="5"/>
    </w:p>
    <w:p w14:paraId="43D99FAD" w14:textId="77777777" w:rsidR="0076037C" w:rsidRDefault="00000000">
      <w:pPr>
        <w:pStyle w:val="FirstParagraph"/>
      </w:pPr>
      <w:r>
        <w:t>En el prólogo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0ECF8199" w14:textId="77777777" w:rsidR="0076037C" w:rsidRDefault="00000000">
      <w:pPr>
        <w:pStyle w:val="BodyText"/>
      </w:pPr>
      <w:r>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49AB8494" w14:textId="77777777" w:rsidR="0076037C" w:rsidRDefault="00000000">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 “imagen pobre” como “copias en movimiento”. La imagen pobre “…transforma la calidad en accesibilidad, el valor de exhibición en </w:t>
      </w:r>
      <w:r>
        <w:lastRenderedPageBreak/>
        <w:t>valor de culto, las películas en clips, la contemplación en distracción. La imagen es liberada de las criptas del cine y los archivos y empujada a la incertidumbre digital a costa de su propia sustancia” (Steyerl et al., 2014)</w:t>
      </w:r>
    </w:p>
    <w:p w14:paraId="5409EBDE" w14:textId="77777777" w:rsidR="0076037C" w:rsidRDefault="00000000">
      <w:pPr>
        <w:pStyle w:val="BodyText"/>
      </w:pPr>
      <w:r>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1BAA9624" w14:textId="77777777" w:rsidR="0076037C" w:rsidRDefault="00000000">
      <w:pPr>
        <w:pStyle w:val="Heading2"/>
      </w:pPr>
      <w:bookmarkStart w:id="6" w:name="_Toc159490113"/>
      <w:r>
        <w:t>La Preservación Involuntaria</w:t>
      </w:r>
      <w:bookmarkEnd w:id="6"/>
    </w:p>
    <w:p w14:paraId="7A4EAB88" w14:textId="77777777" w:rsidR="0076037C" w:rsidRDefault="00000000">
      <w:pPr>
        <w:pStyle w:val="FirstParagraph"/>
      </w:pPr>
      <w:r>
        <w:t>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14:paraId="3717730C" w14:textId="77777777" w:rsidR="0076037C" w:rsidRDefault="00000000">
      <w:pPr>
        <w:pStyle w:val="BodyText"/>
      </w:pPr>
      <w:r>
        <w:t>Es 2020: el realizador lee sobre el auge de las criptomonedas y los NFT. Decide “mintear” 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14:paraId="19A569E7" w14:textId="77777777" w:rsidR="0076037C" w:rsidRDefault="00000000">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t>
      </w:r>
      <w:r>
        <w:lastRenderedPageBreak/>
        <w:t>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79DC94E3" w14:textId="77777777" w:rsidR="0076037C" w:rsidRDefault="00000000">
      <w:pPr>
        <w:pStyle w:val="BodyText"/>
      </w:pPr>
      <w:r>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1E48BDBB" w14:textId="77777777" w:rsidR="0076037C" w:rsidRDefault="00000000">
      <w:pPr>
        <w:pStyle w:val="BodyText"/>
      </w:pPr>
      <w:r>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67A36CBF" w14:textId="77777777" w:rsidR="0076037C" w:rsidRDefault="00000000">
      <w:pPr>
        <w:pStyle w:val="BodyText"/>
      </w:pPr>
      <w:r>
        <w:t>En este tipo de hibridación e iteración es que observo una preservación involuntaria: las decisiones estéticas y técnicas que quizás determinan la única copia que queda de algo importante que queríamos recordar.</w:t>
      </w:r>
    </w:p>
    <w:p w14:paraId="038FD5F9" w14:textId="77777777" w:rsidR="0076037C" w:rsidRDefault="00000000">
      <w:pPr>
        <w:pStyle w:val="Heading1"/>
      </w:pPr>
      <w:bookmarkStart w:id="7" w:name="_Toc159490114"/>
      <w:r>
        <w:lastRenderedPageBreak/>
        <w:t>Antecedentes teóricos y referentes artísticos</w:t>
      </w:r>
      <w:bookmarkEnd w:id="7"/>
    </w:p>
    <w:p w14:paraId="40106B3A" w14:textId="77777777" w:rsidR="0076037C" w:rsidRDefault="00000000">
      <w:pPr>
        <w:pStyle w:val="FirstParagraph"/>
      </w:pPr>
      <w:r>
        <w:t>En este primer capítulo se ponen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p w14:paraId="50EE6BA2" w14:textId="77777777" w:rsidR="0076037C" w:rsidRDefault="00000000">
      <w:pPr>
        <w:pStyle w:val="Heading2"/>
      </w:pPr>
      <w:bookmarkStart w:id="8" w:name="_Toc159490115"/>
      <w:r>
        <w:t>Preservación y acceso</w:t>
      </w:r>
      <w:bookmarkEnd w:id="8"/>
    </w:p>
    <w:p w14:paraId="65A3FE57" w14:textId="77777777" w:rsidR="0076037C" w:rsidRDefault="00000000">
      <w:pPr>
        <w:pStyle w:val="FirstParagraph"/>
      </w:pPr>
      <w:r>
        <w:t>Sería pertinente introducir al concepto de “preservación” y diferenciarlo del de “acceso” porque muchas veces se entrecruzan.</w:t>
      </w:r>
    </w:p>
    <w:p w14:paraId="5F613D4D" w14:textId="77777777" w:rsidR="0076037C" w:rsidRDefault="00000000">
      <w:pPr>
        <w:pStyle w:val="BodyText"/>
      </w:pPr>
      <w:r>
        <w:t>Preservar patrimonio cultural consiste principalmente en conservar su “forma original” frente a las adversidades del paso del tiempo, o frente a accidentes o acciones humanas; y muchas veces consiste también en “restaurarlo” (o volverlo) a esa forma. “Dar acceso” 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14:paraId="307989D1" w14:textId="77777777" w:rsidR="0076037C" w:rsidRDefault="00000000">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w:t>
      </w:r>
      <w:r>
        <w:lastRenderedPageBreak/>
        <w:t>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 (Cappa et al., 2019)</w:t>
      </w:r>
      <w:r>
        <w:rPr>
          <w:rStyle w:val="FootnoteReference"/>
        </w:rPr>
        <w:footnoteReference w:id="3"/>
      </w:r>
      <w:r>
        <w:t>.</w:t>
      </w:r>
    </w:p>
    <w:p w14:paraId="41A8DE68" w14:textId="77777777" w:rsidR="0076037C" w:rsidRDefault="00000000">
      <w:pPr>
        <w:pStyle w:val="BodyText"/>
      </w:pPr>
      <w:r>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06692090" w14:textId="77777777" w:rsidR="0076037C" w:rsidRDefault="00000000">
      <w:pPr>
        <w:pStyle w:val="BodyText"/>
      </w:pPr>
      <w:r>
        <w:t>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videos back to life” promete uno de los canales más famosos, con sus upscalings</w:t>
      </w:r>
      <w:r>
        <w:rPr>
          <w:rStyle w:val="FootnoteReference"/>
        </w:rPr>
        <w:footnoteReference w:id="4"/>
      </w:r>
      <w:r>
        <w:t xml:space="preserve"> a 4K e interpolación de 60 fotogramas por segundo. El problema aquí quizás sea que no se está apelando a la definición más pura de restauración: lo que se busca es realismo.</w:t>
      </w:r>
    </w:p>
    <w:p w14:paraId="0A12F38E" w14:textId="77777777" w:rsidR="0076037C" w:rsidRDefault="00000000">
      <w:pPr>
        <w:pStyle w:val="Heading2"/>
      </w:pPr>
      <w:bookmarkStart w:id="9" w:name="_Toc159490116"/>
      <w:r>
        <w:t>Internet Archive (el archivo de internet)</w:t>
      </w:r>
      <w:bookmarkEnd w:id="9"/>
    </w:p>
    <w:p w14:paraId="14164DC1" w14:textId="77777777" w:rsidR="0076037C" w:rsidRDefault="00000000">
      <w:pPr>
        <w:pStyle w:val="FirstParagraph"/>
      </w:pPr>
      <w:r>
        <w:rPr>
          <w:i/>
          <w:iCs/>
        </w:rPr>
        <w:t>Internet Archive</w:t>
      </w:r>
      <w:r>
        <w:t xml:space="preserve"> (archivo de Internet) es una biblioteca digital sin fines de lucro dedicada al archivo y conservación preservación de sitios web, libros, audio, software, imágenes, películas y videos. Funciona como un sitio de consulta </w:t>
      </w:r>
      <w:r>
        <w:lastRenderedPageBreak/>
        <w:t>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36B19D4F" w14:textId="77777777" w:rsidR="0076037C" w:rsidRDefault="00000000">
      <w:pPr>
        <w:pStyle w:val="BodyText"/>
      </w:pPr>
      <w:r>
        <w:t xml:space="preserve">Sin duda uno de sus mayores atractivos es la Wayback Machine,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p w14:paraId="56ECC261" w14:textId="77777777" w:rsidR="0076037C" w:rsidRDefault="00000000">
      <w:pPr>
        <w:pStyle w:val="Heading2"/>
      </w:pPr>
      <w:bookmarkStart w:id="10" w:name="_Toc159490117"/>
      <w:r>
        <w:t>Consorcio de expertos en Media Arts</w:t>
      </w:r>
      <w:bookmarkEnd w:id="10"/>
    </w:p>
    <w:p w14:paraId="53E9E58B" w14:textId="77777777" w:rsidR="0076037C" w:rsidRDefault="00000000">
      <w:pPr>
        <w:pStyle w:val="FirstParagraph"/>
      </w:pPr>
      <w:r>
        <w:t xml:space="preserve">Por otro lado, como con los sitios web, la preservación de las “time-based media works” (obras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w:t>
      </w:r>
      <w:r>
        <w:lastRenderedPageBreak/>
        <w:t>tecnológicas. En nuestro país, por ejemplo, hay muy poco desarrollo al respecto, lo que puede llevar a creer que no hay historia.</w:t>
      </w:r>
    </w:p>
    <w:p w14:paraId="4F17EB53" w14:textId="77777777" w:rsidR="0076037C" w:rsidRDefault="00000000">
      <w:pPr>
        <w:pStyle w:val="BodyText"/>
      </w:pPr>
      <w:r>
        <w:t xml:space="preserve">El </w:t>
      </w:r>
      <w:hyperlink r:id="rId7">
        <w:r>
          <w:rPr>
            <w:rStyle w:val="Hyperlink"/>
          </w:rPr>
          <w:t>Matters in media art</w:t>
        </w:r>
      </w:hyperlink>
      <w:r>
        <w:t xml:space="preserve"> es un proyecto de cooperación entre instituciones como los museos MoMA y TATE alrededor de la preservación de obras de este tipo, consultando </w:t>
      </w:r>
      <w:proofErr w:type="gramStart"/>
      <w:r>
        <w:t>a</w:t>
      </w:r>
      <w:proofErr w:type="gramEnd"/>
      <w:r>
        <w:t xml:space="preserve">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(“Matters in Media Art  MoMA,” n.d.).</w:t>
      </w:r>
    </w:p>
    <w:p w14:paraId="63ABA338" w14:textId="77777777" w:rsidR="0076037C" w:rsidRDefault="00000000">
      <w:pPr>
        <w:pStyle w:val="BodyText"/>
      </w:pPr>
      <w:r>
        <w:t>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14:paraId="4AA193E7" w14:textId="77777777" w:rsidR="0076037C" w:rsidRDefault="00000000">
      <w:pPr>
        <w:pStyle w:val="BodyText"/>
      </w:pPr>
      <w:r>
        <w:t xml:space="preserve">En esta línea podríamos citar el ejemplo del </w:t>
      </w:r>
      <w:r>
        <w:rPr>
          <w:i/>
          <w:iCs/>
        </w:rPr>
        <w:t>Computerspiele Museum</w:t>
      </w:r>
      <w:r>
        <w:t xml:space="preserve"> en Berlín, un museo dedicado a la conservación y preservación de videojuegos, desde el software al hardware, financiado por el Consejo Internacional de Museos.</w:t>
      </w:r>
    </w:p>
    <w:p w14:paraId="33B3E8B9" w14:textId="77777777" w:rsidR="0076037C" w:rsidRDefault="00000000">
      <w:pPr>
        <w:pStyle w:val="BodyText"/>
      </w:pPr>
      <w:r>
        <w:t>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 “involuntarias” que otras.</w:t>
      </w:r>
    </w:p>
    <w:p w14:paraId="17F3D8F3" w14:textId="77777777" w:rsidR="0076037C" w:rsidRDefault="00000000">
      <w:pPr>
        <w:pStyle w:val="Heading2"/>
      </w:pPr>
      <w:bookmarkStart w:id="11" w:name="_Toc159490118"/>
      <w:r>
        <w:t>Cameron’s World</w:t>
      </w:r>
      <w:bookmarkEnd w:id="11"/>
    </w:p>
    <w:p w14:paraId="00D6B0A8" w14:textId="77777777" w:rsidR="0076037C" w:rsidRDefault="00000000">
      <w:pPr>
        <w:pStyle w:val="FirstParagraph"/>
      </w:pPr>
      <w:hyperlink r:id="rId8">
        <w:r>
          <w:rPr>
            <w:rStyle w:val="Hyperlink"/>
          </w:rPr>
          <w:t>Cameron’s World</w:t>
        </w:r>
      </w:hyperlink>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w:t>
      </w:r>
      <w:r>
        <w:lastRenderedPageBreak/>
        <w:t>temático y estético en un largo scroll repleto de gifs, con una suerte de “emulador” del explorador por excelencia de esas épocas, el Netscape Navigator (disfrazado para el proyecto como “Catscape Navigator”), que nos permite ingresar a los hipervínculos y conocer más.</w:t>
      </w:r>
    </w:p>
    <w:p w14:paraId="4743D05B" w14:textId="77777777" w:rsidR="0076037C" w:rsidRDefault="00000000">
      <w:pPr>
        <w:pStyle w:val="BodyText"/>
      </w:pPr>
      <w:r>
        <w:t>Esta “carta de amor al viejo internet” (Askin, 2015) , como la plantea su autor, además de una obra en sí misma, es un pequeño trabajo de preservación independiente que podríamos sumar a esta lista de esfuerzos destacados y por fuera de la maquinaria y el circuito tradicional de preservación.</w:t>
      </w:r>
    </w:p>
    <w:p w14:paraId="0F9D1D29" w14:textId="77777777" w:rsidR="0076037C" w:rsidRDefault="00000000">
      <w:pPr>
        <w:pStyle w:val="CaptionedFigure"/>
      </w:pPr>
      <w:r>
        <w:drawing>
          <wp:inline distT="0" distB="0" distL="0" distR="0" wp14:anchorId="10BD2964" wp14:editId="43E995EE">
            <wp:extent cx="5753100" cy="2178986"/>
            <wp:effectExtent l="0" t="0" r="0" b="0"/>
            <wp:docPr id="36" name="Picture" descr="Askin, C. Cameron’s World." title="Askin, C. _Cameron’s World_."/>
            <wp:cNvGraphicFramePr/>
            <a:graphic xmlns:a="http://schemas.openxmlformats.org/drawingml/2006/main">
              <a:graphicData uri="http://schemas.openxmlformats.org/drawingml/2006/picture">
                <pic:pic xmlns:pic="http://schemas.openxmlformats.org/drawingml/2006/picture">
                  <pic:nvPicPr>
                    <pic:cNvPr id="37" name="Picture" descr="./assets/camerons-world.jpg"/>
                    <pic:cNvPicPr>
                      <a:picLocks noChangeAspect="1" noChangeArrowheads="1"/>
                    </pic:cNvPicPr>
                  </pic:nvPicPr>
                  <pic:blipFill>
                    <a:blip r:embed="rId9"/>
                    <a:stretch>
                      <a:fillRect/>
                    </a:stretch>
                  </pic:blipFill>
                  <pic:spPr bwMode="auto">
                    <a:xfrm>
                      <a:off x="0" y="0"/>
                      <a:ext cx="5753100" cy="2178986"/>
                    </a:xfrm>
                    <a:prstGeom prst="rect">
                      <a:avLst/>
                    </a:prstGeom>
                    <a:noFill/>
                    <a:ln w="9525">
                      <a:noFill/>
                      <a:headEnd/>
                      <a:tailEnd/>
                    </a:ln>
                  </pic:spPr>
                </pic:pic>
              </a:graphicData>
            </a:graphic>
          </wp:inline>
        </w:drawing>
      </w:r>
    </w:p>
    <w:p w14:paraId="197474A1" w14:textId="77777777" w:rsidR="0076037C" w:rsidRDefault="00000000">
      <w:pPr>
        <w:pStyle w:val="ImageCaption"/>
      </w:pPr>
      <w:r>
        <w:t xml:space="preserve">Askin, C. </w:t>
      </w:r>
      <w:r>
        <w:rPr>
          <w:i/>
        </w:rPr>
        <w:t>Cameron’s World</w:t>
      </w:r>
      <w:r>
        <w:t>.</w:t>
      </w:r>
    </w:p>
    <w:p w14:paraId="23AB09F3" w14:textId="77777777" w:rsidR="0076037C" w:rsidRDefault="00000000">
      <w:pPr>
        <w:pStyle w:val="Heading2"/>
      </w:pPr>
      <w:bookmarkStart w:id="12" w:name="_Toc159490119"/>
      <w:r>
        <w:t>Brian Mackern</w:t>
      </w:r>
      <w:bookmarkEnd w:id="12"/>
    </w:p>
    <w:p w14:paraId="73A9715C" w14:textId="77777777" w:rsidR="0076037C"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14:paraId="466EDE91" w14:textId="77777777" w:rsidR="0076037C" w:rsidRDefault="00000000">
      <w:pPr>
        <w:pStyle w:val="BodyText"/>
      </w:pPr>
      <w:r>
        <w:t>Su proyecto Máquina Podrida (</w:t>
      </w:r>
      <w:r>
        <w:rPr>
          <w:i/>
          <w:iCs/>
        </w:rPr>
        <w:t>aka La Desdentada</w:t>
      </w:r>
      <w:r>
        <w:t xml:space="preserve">) consistió en una exposición de su propia computadora portátil que lo acompañó desde 1999 a 2004, en la que desarrolló muchas de sus obras como artista, y en la que además archivó obras de otros en relación al net art, como Jodi, Superbad, Rafael Lozano-Hemmer, entre </w:t>
      </w:r>
      <w:r>
        <w:lastRenderedPageBreak/>
        <w:t>otros (</w:t>
      </w:r>
      <w:r>
        <w:rPr>
          <w:i/>
          <w:iCs/>
        </w:rPr>
        <w:t>La Maquina Podrida / Brian Mackern</w:t>
      </w:r>
      <w:r>
        <w:t>, n.d.).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 (</w:t>
      </w:r>
      <w:r>
        <w:rPr>
          <w:i/>
          <w:iCs/>
        </w:rPr>
        <w:t>MEIAC - Museo Extremeño e Iberoamericano de Arte Contemporáneo</w:t>
      </w:r>
      <w:r>
        <w:t>, n.d.).</w:t>
      </w:r>
    </w:p>
    <w:p w14:paraId="265D3C2A" w14:textId="77777777" w:rsidR="0076037C" w:rsidRDefault="00000000">
      <w:pPr>
        <w:pStyle w:val="BodyText"/>
      </w:pPr>
      <w:r>
        <w:t>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14:paraId="61D9E8C7" w14:textId="77777777" w:rsidR="0076037C" w:rsidRDefault="00000000">
      <w:pPr>
        <w:pStyle w:val="CaptionedFigure"/>
      </w:pPr>
      <w:r>
        <w:drawing>
          <wp:inline distT="0" distB="0" distL="0" distR="0" wp14:anchorId="73299291" wp14:editId="1CE8ACFA">
            <wp:extent cx="5753100" cy="3835400"/>
            <wp:effectExtent l="0" t="0" r="0" b="0"/>
            <wp:docPr id="40" name="Picture" descr="Mackern, B. (2015). La máquina podrida. Accedido 15 de Febrero 2024 desde https://netart.org.uy/podrida_ceart"/>
            <wp:cNvGraphicFramePr/>
            <a:graphic xmlns:a="http://schemas.openxmlformats.org/drawingml/2006/main">
              <a:graphicData uri="http://schemas.openxmlformats.org/drawingml/2006/picture">
                <pic:pic xmlns:pic="http://schemas.openxmlformats.org/drawingml/2006/picture">
                  <pic:nvPicPr>
                    <pic:cNvPr id="41" name="Picture" descr="./assets/SAM_5524.jpg"/>
                    <pic:cNvPicPr>
                      <a:picLocks noChangeAspect="1" noChangeArrowheads="1"/>
                    </pic:cNvPicPr>
                  </pic:nvPicPr>
                  <pic:blipFill>
                    <a:blip r:embed="rId10"/>
                    <a:stretch>
                      <a:fillRect/>
                    </a:stretch>
                  </pic:blipFill>
                  <pic:spPr bwMode="auto">
                    <a:xfrm>
                      <a:off x="0" y="0"/>
                      <a:ext cx="5753100" cy="3835400"/>
                    </a:xfrm>
                    <a:prstGeom prst="rect">
                      <a:avLst/>
                    </a:prstGeom>
                    <a:noFill/>
                    <a:ln w="9525">
                      <a:noFill/>
                      <a:headEnd/>
                      <a:tailEnd/>
                    </a:ln>
                  </pic:spPr>
                </pic:pic>
              </a:graphicData>
            </a:graphic>
          </wp:inline>
        </w:drawing>
      </w:r>
    </w:p>
    <w:p w14:paraId="7FC40C1B" w14:textId="77777777" w:rsidR="0076037C" w:rsidRDefault="00000000">
      <w:pPr>
        <w:pStyle w:val="ImageCaption"/>
      </w:pPr>
      <w:r>
        <w:t xml:space="preserve">Mackern, B. (2015). </w:t>
      </w:r>
      <w:r>
        <w:rPr>
          <w:i/>
        </w:rPr>
        <w:t>La máquina podrida</w:t>
      </w:r>
      <w:r>
        <w:t>. Accedido 15 de Febrero 2024 desde https://netart.org.uy/podrida_ceart</w:t>
      </w:r>
    </w:p>
    <w:p w14:paraId="1F1164A4" w14:textId="77777777" w:rsidR="0076037C" w:rsidRDefault="00000000">
      <w:pPr>
        <w:pStyle w:val="Heading2"/>
      </w:pPr>
      <w:bookmarkStart w:id="13" w:name="_Toc159490120"/>
      <w:r>
        <w:lastRenderedPageBreak/>
        <w:t>Bill Brand y Artist Films</w:t>
      </w:r>
      <w:bookmarkEnd w:id="13"/>
    </w:p>
    <w:p w14:paraId="794EB2BA" w14:textId="77777777" w:rsidR="0076037C" w:rsidRDefault="00000000">
      <w:pPr>
        <w:pStyle w:val="FirstParagraph"/>
      </w:pPr>
      <w:r>
        <w:t>Siguiendo esta idea de lo “independiente” se podría retomar la temática cinematográfica, quizás pasando primero por las dificultades que plantea la preservación de obras de artistas, por fuera del circuito industrial, y particularmente de obras en formato fílmico, lo que nos traerá más cerca de la hibridación que se menciona en la tesis.</w:t>
      </w:r>
    </w:p>
    <w:p w14:paraId="5B2B90E4" w14:textId="77777777" w:rsidR="0076037C" w:rsidRDefault="00000000">
      <w:pPr>
        <w:pStyle w:val="BodyText"/>
      </w:pPr>
      <w:r>
        <w:t>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la obra. En esta forma de trabajo surge lo que él bautiza como “The accidental preservationist” (el preservador accidental), entendiéndose a él mismo como experto en preservación y conservación recién en los últimos años de su carrera, viendo en perspectiva que fueron sus intereses y sus búsquedas lo que lo que lo llevaron a descubrirse en ese sector (Lampert, 2006, pp. 35–43).</w:t>
      </w:r>
    </w:p>
    <w:p w14:paraId="31625677" w14:textId="77777777" w:rsidR="0076037C" w:rsidRDefault="00000000">
      <w:pPr>
        <w:pStyle w:val="BodyText"/>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249BF2B1" w14:textId="77777777" w:rsidR="0076037C" w:rsidRDefault="00000000">
      <w:pPr>
        <w:pStyle w:val="BodyText"/>
      </w:pPr>
      <w:r>
        <w:t>Su obra más conocida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 (Lampert, 2006, pp. 69–78).</w:t>
      </w:r>
    </w:p>
    <w:p w14:paraId="0DBA3384" w14:textId="77777777" w:rsidR="0076037C" w:rsidRDefault="00000000">
      <w:pPr>
        <w:pStyle w:val="CaptionedFigure"/>
      </w:pPr>
      <w:r>
        <w:lastRenderedPageBreak/>
        <w:drawing>
          <wp:inline distT="0" distB="0" distL="0" distR="0" wp14:anchorId="2540C6AB" wp14:editId="41124B6A">
            <wp:extent cx="5753100" cy="3843070"/>
            <wp:effectExtent l="0" t="0" r="0" b="0"/>
            <wp:docPr id="44" name="Picture" descr="Brand, B. (1980). Masstransiscope Illustration. Accedido 15 de Febrero de 2024 desde https://www.billbrand.net/public-art"/>
            <wp:cNvGraphicFramePr/>
            <a:graphic xmlns:a="http://schemas.openxmlformats.org/drawingml/2006/main">
              <a:graphicData uri="http://schemas.openxmlformats.org/drawingml/2006/picture">
                <pic:pic xmlns:pic="http://schemas.openxmlformats.org/drawingml/2006/picture">
                  <pic:nvPicPr>
                    <pic:cNvPr id="45" name="Picture" descr="./assets/masstransiscope+illustration.jpg"/>
                    <pic:cNvPicPr>
                      <a:picLocks noChangeAspect="1" noChangeArrowheads="1"/>
                    </pic:cNvPicPr>
                  </pic:nvPicPr>
                  <pic:blipFill>
                    <a:blip r:embed="rId11"/>
                    <a:stretch>
                      <a:fillRect/>
                    </a:stretch>
                  </pic:blipFill>
                  <pic:spPr bwMode="auto">
                    <a:xfrm>
                      <a:off x="0" y="0"/>
                      <a:ext cx="5753100" cy="3843070"/>
                    </a:xfrm>
                    <a:prstGeom prst="rect">
                      <a:avLst/>
                    </a:prstGeom>
                    <a:noFill/>
                    <a:ln w="9525">
                      <a:noFill/>
                      <a:headEnd/>
                      <a:tailEnd/>
                    </a:ln>
                  </pic:spPr>
                </pic:pic>
              </a:graphicData>
            </a:graphic>
          </wp:inline>
        </w:drawing>
      </w:r>
    </w:p>
    <w:p w14:paraId="3B56FFCF" w14:textId="77777777" w:rsidR="0076037C" w:rsidRDefault="00000000">
      <w:pPr>
        <w:pStyle w:val="ImageCaption"/>
      </w:pPr>
      <w:r>
        <w:t xml:space="preserve">Brand, B. (1980). </w:t>
      </w:r>
      <w:r>
        <w:rPr>
          <w:i/>
        </w:rPr>
        <w:t>Masstransiscope Illustration</w:t>
      </w:r>
      <w:r>
        <w:t>. Accedido 15 de Febrero de 2024 desde https://www.billbrand.net/public-art</w:t>
      </w:r>
    </w:p>
    <w:p w14:paraId="13A06C2A" w14:textId="77777777" w:rsidR="0076037C" w:rsidRDefault="00000000">
      <w:pPr>
        <w:pStyle w:val="Heading2"/>
      </w:pPr>
      <w:bookmarkStart w:id="14" w:name="_Toc159490121"/>
      <w:r>
        <w:t>Computer Art en celuloide y en papel</w:t>
      </w:r>
      <w:bookmarkEnd w:id="14"/>
    </w:p>
    <w:p w14:paraId="0C623112" w14:textId="77777777" w:rsidR="0076037C" w:rsidRDefault="00000000">
      <w:pPr>
        <w:pStyle w:val="FirstParagraph"/>
      </w:pPr>
      <w:r>
        <w:t xml:space="preserve">Siguiendo con las hibridaciones, en los inicios del </w:t>
      </w:r>
      <w:r>
        <w:rPr>
          <w:i/>
          <w:iCs/>
        </w:rPr>
        <w:t>computer art</w:t>
      </w:r>
      <w:r>
        <w:t>,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14:paraId="2E0140A7" w14:textId="77777777" w:rsidR="0076037C" w:rsidRDefault="00000000">
      <w:pPr>
        <w:pStyle w:val="BodyText"/>
      </w:pPr>
      <w:r>
        <w:t>“In the early days, computing was a blind process. Artist gave instructions using punch cards but wouldn’t see the results of their program for hours or even days.” [En los primeros tiempos, la computación era un proceso a ciegas. Los artistas daban instrucciones con tarjetas perforadas pero no verían los resultados del programa por horas o incluso días] (Valyi-Nagy, 2022)</w:t>
      </w:r>
    </w:p>
    <w:p w14:paraId="011A1A98" w14:textId="77777777" w:rsidR="0076037C" w:rsidRDefault="00000000">
      <w:pPr>
        <w:pStyle w:val="BodyText"/>
      </w:pPr>
      <w:r>
        <w:t xml:space="preserve">Las “computadoras mecánicas” que utilizaban los hermanos Whitney en los 50, por ejemplo, se trataban de cañones antiaéreos de la Segunda Guerra Mundial </w:t>
      </w:r>
      <w:r>
        <w:lastRenderedPageBreak/>
        <w:t xml:space="preserve">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617AD71D" w14:textId="77777777" w:rsidR="0076037C" w:rsidRDefault="00000000">
      <w:pPr>
        <w:pStyle w:val="BlockText"/>
      </w:pPr>
      <w:r>
        <w:t>“I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 (Whitney, 1980, p. 184).</w:t>
      </w:r>
    </w:p>
    <w:p w14:paraId="409B5F95" w14:textId="77777777" w:rsidR="0076037C" w:rsidRDefault="00000000">
      <w:pPr>
        <w:pStyle w:val="CaptionedFigure"/>
      </w:pPr>
      <w:r>
        <w:lastRenderedPageBreak/>
        <w:drawing>
          <wp:inline distT="0" distB="0" distL="0" distR="0" wp14:anchorId="75E3EB4F" wp14:editId="43C732AE">
            <wp:extent cx="5753100" cy="4389615"/>
            <wp:effectExtent l="0" t="0" r="0" b="0"/>
            <wp:docPr id="48" name="Picture" descr="Whitney, J., &amp; Whitney, J. (1947). Pacoima Court studio, Studio City, CA. Whitney Editions™, Los Angeles, CA. Accedido 15 de Febrero de 2024 desde https://canyoncinema.com/2023/03/14/new-artist-members-john-and-james-whitney/ (Canyon Cinema, 2023)"/>
            <wp:cNvGraphicFramePr/>
            <a:graphic xmlns:a="http://schemas.openxmlformats.org/drawingml/2006/main">
              <a:graphicData uri="http://schemas.openxmlformats.org/drawingml/2006/picture">
                <pic:pic xmlns:pic="http://schemas.openxmlformats.org/drawingml/2006/picture">
                  <pic:nvPicPr>
                    <pic:cNvPr id="49" name="Picture" descr="./assets/Whitneys_1.jpg"/>
                    <pic:cNvPicPr>
                      <a:picLocks noChangeAspect="1" noChangeArrowheads="1"/>
                    </pic:cNvPicPr>
                  </pic:nvPicPr>
                  <pic:blipFill>
                    <a:blip r:embed="rId12"/>
                    <a:stretch>
                      <a:fillRect/>
                    </a:stretch>
                  </pic:blipFill>
                  <pic:spPr bwMode="auto">
                    <a:xfrm>
                      <a:off x="0" y="0"/>
                      <a:ext cx="5753100" cy="4389615"/>
                    </a:xfrm>
                    <a:prstGeom prst="rect">
                      <a:avLst/>
                    </a:prstGeom>
                    <a:noFill/>
                    <a:ln w="9525">
                      <a:noFill/>
                      <a:headEnd/>
                      <a:tailEnd/>
                    </a:ln>
                  </pic:spPr>
                </pic:pic>
              </a:graphicData>
            </a:graphic>
          </wp:inline>
        </w:drawing>
      </w:r>
    </w:p>
    <w:p w14:paraId="23AEB996" w14:textId="77777777" w:rsidR="0076037C" w:rsidRDefault="00000000">
      <w:pPr>
        <w:pStyle w:val="ImageCaption"/>
      </w:pPr>
      <w:r>
        <w:t xml:space="preserve">Whitney, J., &amp; Whitney, J. (1947). </w:t>
      </w:r>
      <w:r>
        <w:rPr>
          <w:i/>
        </w:rPr>
        <w:t>Pacoima Court studio, Studio City, CA.</w:t>
      </w:r>
      <w:r>
        <w:t xml:space="preserve"> Whitney Editions™, Los Angeles, CA. Accedido 15 de Febrero de 2024 desde https://canyoncinema.com/2023/03/14/new-artist-members-john-and-james-whitney/ (</w:t>
      </w:r>
      <w:r>
        <w:rPr>
          <w:i/>
        </w:rPr>
        <w:t>Canyon Cinema</w:t>
      </w:r>
      <w:r>
        <w:t>, 2023)</w:t>
      </w:r>
    </w:p>
    <w:p w14:paraId="01127CE6" w14:textId="77777777" w:rsidR="0076037C" w:rsidRDefault="00000000">
      <w:pPr>
        <w:pStyle w:val="BodyText"/>
      </w:pPr>
      <w:r>
        <w:t xml:space="preserve">Los fotogramas originales en papel para la truca fueron eventualmente reemplazados por haces de luz, aunque eventualmente los Whitney abandonaron esa “absurdidad que producía poco más que un equivalente al rayo catódico de un osciloscopio” (Whitney, 1980, p. 184) para trabajar con computadoras digitales a partir de los años 70. Fotografiaban cuadro a cuadro el monitor para imprimir en fílmico la animación, con las ventajas de la velocidad y la posibilidad de la interacción en vivo a través del teclado (Whitney, 1980, p. 197). Así es el caso de </w:t>
      </w:r>
      <w:r>
        <w:rPr>
          <w:i/>
          <w:iCs/>
        </w:rPr>
        <w:t>Matrix I</w:t>
      </w:r>
      <w:r>
        <w:t xml:space="preserve">, </w:t>
      </w:r>
      <w:r>
        <w:rPr>
          <w:i/>
          <w:iCs/>
        </w:rPr>
        <w:t>II</w:t>
      </w:r>
      <w:r>
        <w:t xml:space="preserve"> y </w:t>
      </w:r>
      <w:r>
        <w:rPr>
          <w:i/>
          <w:iCs/>
        </w:rPr>
        <w:t>III</w:t>
      </w:r>
      <w:r>
        <w:t xml:space="preserve"> (1971-72).</w:t>
      </w:r>
    </w:p>
    <w:p w14:paraId="3D4E2905" w14:textId="77777777" w:rsidR="0076037C" w:rsidRDefault="00000000">
      <w:pPr>
        <w:pStyle w:val="CaptionedFigure"/>
      </w:pPr>
      <w:r>
        <w:lastRenderedPageBreak/>
        <w:drawing>
          <wp:inline distT="0" distB="0" distL="0" distR="0" wp14:anchorId="4BF01627" wp14:editId="548EA0F2">
            <wp:extent cx="5753100" cy="1573898"/>
            <wp:effectExtent l="0" t="0" r="0" b="0"/>
            <wp:docPr id="51" name="Picture" descr="Matrix I (Whitney, 1980, p. 77)"/>
            <wp:cNvGraphicFramePr/>
            <a:graphic xmlns:a="http://schemas.openxmlformats.org/drawingml/2006/main">
              <a:graphicData uri="http://schemas.openxmlformats.org/drawingml/2006/picture">
                <pic:pic xmlns:pic="http://schemas.openxmlformats.org/drawingml/2006/picture">
                  <pic:nvPicPr>
                    <pic:cNvPr id="52" name="Picture" descr="./assets/matrix.jpg"/>
                    <pic:cNvPicPr>
                      <a:picLocks noChangeAspect="1" noChangeArrowheads="1"/>
                    </pic:cNvPicPr>
                  </pic:nvPicPr>
                  <pic:blipFill>
                    <a:blip r:embed="rId13"/>
                    <a:stretch>
                      <a:fillRect/>
                    </a:stretch>
                  </pic:blipFill>
                  <pic:spPr bwMode="auto">
                    <a:xfrm>
                      <a:off x="0" y="0"/>
                      <a:ext cx="5753100" cy="1573898"/>
                    </a:xfrm>
                    <a:prstGeom prst="rect">
                      <a:avLst/>
                    </a:prstGeom>
                    <a:noFill/>
                    <a:ln w="9525">
                      <a:noFill/>
                      <a:headEnd/>
                      <a:tailEnd/>
                    </a:ln>
                  </pic:spPr>
                </pic:pic>
              </a:graphicData>
            </a:graphic>
          </wp:inline>
        </w:drawing>
      </w:r>
    </w:p>
    <w:p w14:paraId="7A8877C3" w14:textId="77777777" w:rsidR="0076037C" w:rsidRDefault="00000000">
      <w:pPr>
        <w:pStyle w:val="ImageCaption"/>
      </w:pPr>
      <w:r>
        <w:rPr>
          <w:i/>
        </w:rPr>
        <w:t>Matrix I</w:t>
      </w:r>
      <w:r>
        <w:t xml:space="preserve"> (Whitney, 1980, p. 77)</w:t>
      </w:r>
    </w:p>
    <w:p w14:paraId="60675C10" w14:textId="77777777" w:rsidR="0076037C" w:rsidRDefault="00000000">
      <w:pPr>
        <w:pStyle w:val="BodyText"/>
      </w:pPr>
      <w:r>
        <w:t xml:space="preserve">En el documental de John Musilli </w:t>
      </w:r>
      <w:r>
        <w:rPr>
          <w:i/>
          <w:iCs/>
        </w:rPr>
        <w:t>The film art of John Whitney, Sr.</w:t>
      </w:r>
      <w:r>
        <w:t xml:space="preserve"> (1975) Whitney compara su trabajo con la música, por compartir con ella la experiencia “tensional” y la “harmonía visual”. El animador describe una suerte de sinestesia sonora al hablar de la búsqueda humana por la “música visual” (</w:t>
      </w:r>
      <w:r>
        <w:rPr>
          <w:i/>
          <w:iCs/>
        </w:rPr>
        <w:t>Visual Music</w:t>
      </w:r>
      <w:r>
        <w:t xml:space="preserve"> en inglés) a lo largo de la historia, desde Leonardo da Vinci, quien fue de los primeros en poner en palabras esta idea, hasta la cronología de los </w:t>
      </w:r>
      <w:r>
        <w:rPr>
          <w:i/>
          <w:iCs/>
        </w:rPr>
        <w:t>Color Organs</w:t>
      </w:r>
      <w:r>
        <w:t>, invenciones que buscaban generar luz y color como si se tocara un instrumento musical. Al percibir entonces sus invenciones como instrumentos de música visual, lo que más lamenta Whitney en el documental es “el problema del control directo”, o la falta de interacción en tiempo real con la máquina, imaginando en este sentido un futuro con sus sueños realizados (</w:t>
      </w:r>
      <w:r>
        <w:rPr>
          <w:i/>
          <w:iCs/>
        </w:rPr>
        <w:t>The Film Art of John Whitney, Sr.</w:t>
      </w:r>
      <w:r>
        <w:t>, 1974).</w:t>
      </w:r>
    </w:p>
    <w:p w14:paraId="7843C520" w14:textId="77777777" w:rsidR="0076037C" w:rsidRDefault="00000000">
      <w:pPr>
        <w:pStyle w:val="BodyText"/>
      </w:pPr>
      <w:r>
        <w:t xml:space="preserve">Los experimentos audiovisuales de los Whitney dejan en claro hoy la particularidad del soporte, además del valor documental y, por ejemplo, la posibilidad de hacer copias nuevas 50 años después. A pesar de esto, las copias disponibles en plataformas como Youtube (o incluso en DVDs oficiales de los artistas) son de muy baja resolución, rescatadas quizás de copias analógicas en VHS. El </w:t>
      </w:r>
      <w:r>
        <w:rPr>
          <w:i/>
          <w:iCs/>
        </w:rPr>
        <w:t>Academy Film Archive</w:t>
      </w:r>
      <w:r>
        <w:t xml:space="preserve"> de la Academia de Artes y Ciencias Cinematográficas (AMPAS por sus siglas en inglés) preserva docenas de los films de los Whitney (“John Whitney (Animator),” 2023).</w:t>
      </w:r>
    </w:p>
    <w:p w14:paraId="5AEE4B5E" w14:textId="77777777" w:rsidR="0076037C" w:rsidRDefault="00000000">
      <w:pPr>
        <w:pStyle w:val="BodyText"/>
      </w:pPr>
      <w:r>
        <w:t xml:space="preserve">Volviendo a los soportes, hablemos del papel. La artista húngara Vera Molnar (que casualmente perteneció al mismo colectivo artístico que el mendocino Julio Le Parc en París) al igual que otros artistas como Georg Ness, Frieder Nake o Michael Noll, trabajaban en papel con plotters. Traducían a papel instrucciones y procedimientos. La historiadora Zsofi Valyi-Nagy describe en un dossier sobre Vera Molnar que la artista se especializaba en los “Drum Plotters”, que a diferencia de los “Flatbed </w:t>
      </w:r>
      <w:r>
        <w:lastRenderedPageBreak/>
        <w:t>Plotters” tenían una fuente continua de papel, como una impresora (Valyi-Nagy, 2022). Valyi-Nagy hace una observación muy atinada con respecto al soporte principal de Molnar:</w:t>
      </w:r>
    </w:p>
    <w:p w14:paraId="02CE40F9" w14:textId="77777777" w:rsidR="0076037C" w:rsidRDefault="00000000">
      <w:pPr>
        <w:pStyle w:val="BodyText"/>
      </w:pPr>
      <w:r>
        <w:t>“The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 (Valyi-Nagy, 2022).</w:t>
      </w:r>
    </w:p>
    <w:p w14:paraId="3D9F528B" w14:textId="77777777" w:rsidR="0076037C" w:rsidRDefault="00000000">
      <w:pPr>
        <w:pStyle w:val="CaptionedFigure"/>
      </w:pPr>
      <w:r>
        <w:drawing>
          <wp:inline distT="0" distB="0" distL="0" distR="0" wp14:anchorId="7EC14864" wp14:editId="5803146B">
            <wp:extent cx="5753100" cy="3850382"/>
            <wp:effectExtent l="0" t="0" r="0" b="0"/>
            <wp:docPr id="54" name="Picture" descr="Vera Molnar in her Paris studio in 2018. Galerie Oniris–Rennes. Accedido 16 de Febrero desde https://news.artnet.com/art-world/vera-molnar-venice-biennale-2098046"/>
            <wp:cNvGraphicFramePr/>
            <a:graphic xmlns:a="http://schemas.openxmlformats.org/drawingml/2006/main">
              <a:graphicData uri="http://schemas.openxmlformats.org/drawingml/2006/picture">
                <pic:pic xmlns:pic="http://schemas.openxmlformats.org/drawingml/2006/picture">
                  <pic:nvPicPr>
                    <pic:cNvPr id="55" name="Picture" descr="./assets/Ofisx-1920x1285.jpg"/>
                    <pic:cNvPicPr>
                      <a:picLocks noChangeAspect="1" noChangeArrowheads="1"/>
                    </pic:cNvPicPr>
                  </pic:nvPicPr>
                  <pic:blipFill>
                    <a:blip r:embed="rId14"/>
                    <a:stretch>
                      <a:fillRect/>
                    </a:stretch>
                  </pic:blipFill>
                  <pic:spPr bwMode="auto">
                    <a:xfrm>
                      <a:off x="0" y="0"/>
                      <a:ext cx="5753100" cy="3850382"/>
                    </a:xfrm>
                    <a:prstGeom prst="rect">
                      <a:avLst/>
                    </a:prstGeom>
                    <a:noFill/>
                    <a:ln w="9525">
                      <a:noFill/>
                      <a:headEnd/>
                      <a:tailEnd/>
                    </a:ln>
                  </pic:spPr>
                </pic:pic>
              </a:graphicData>
            </a:graphic>
          </wp:inline>
        </w:drawing>
      </w:r>
    </w:p>
    <w:p w14:paraId="242E8048" w14:textId="77777777" w:rsidR="0076037C" w:rsidRDefault="00000000">
      <w:pPr>
        <w:pStyle w:val="ImageCaption"/>
      </w:pPr>
      <w:r>
        <w:rPr>
          <w:i/>
        </w:rPr>
        <w:t>Vera Molnar in her Paris studio in 2018</w:t>
      </w:r>
      <w:r>
        <w:t>. Galerie Oniris–Rennes. Accedido 16 de Febrero desde https://news.artnet.com/art-world/vera-molnar-venice-biennale-2098046</w:t>
      </w:r>
    </w:p>
    <w:p w14:paraId="26FC1636" w14:textId="77777777" w:rsidR="0076037C" w:rsidRDefault="00000000">
      <w:pPr>
        <w:pStyle w:val="BodyText"/>
      </w:pPr>
      <w:r>
        <w:t xml:space="preserve">En esta misma línea es interesante traer a colación los “Paper Prints”, un sistema guardado de propiedad intelectual para películas hacia finales del siglo XIX y </w:t>
      </w:r>
      <w:r>
        <w:lastRenderedPageBreak/>
        <w:t>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 (“Paper Print,” 2023).</w:t>
      </w:r>
    </w:p>
    <w:p w14:paraId="2FECD71B" w14:textId="77777777" w:rsidR="0076037C" w:rsidRDefault="00000000">
      <w:pPr>
        <w:pStyle w:val="CaptionedFigure"/>
      </w:pPr>
      <w:r>
        <w:drawing>
          <wp:inline distT="0" distB="0" distL="0" distR="0" wp14:anchorId="093342E3" wp14:editId="0E99B52A">
            <wp:extent cx="5753100" cy="3747342"/>
            <wp:effectExtent l="0" t="0" r="0" b="0"/>
            <wp:docPr id="57" name="Picture" descr="A la izquierda: Dickson, W. K.-L. (1889). Edison Kinetoscopic Record of a Sneeze. (Dickson, 1889). A la derecha: Frank Wylie, S. (2005). Paper print of The Untamable Whiskers (Le roi du maquillage, 1904), Georges Méliès greeting to the camera. (Ohio, 27 October 2005, 04:50:39)"/>
            <wp:cNvGraphicFramePr/>
            <a:graphic xmlns:a="http://schemas.openxmlformats.org/drawingml/2006/main">
              <a:graphicData uri="http://schemas.openxmlformats.org/drawingml/2006/picture">
                <pic:pic xmlns:pic="http://schemas.openxmlformats.org/drawingml/2006/picture">
                  <pic:nvPicPr>
                    <pic:cNvPr id="58" name="Picture" descr="./assets/Edison.jpg"/>
                    <pic:cNvPicPr>
                      <a:picLocks noChangeAspect="1" noChangeArrowheads="1"/>
                    </pic:cNvPicPr>
                  </pic:nvPicPr>
                  <pic:blipFill>
                    <a:blip r:embed="rId15"/>
                    <a:stretch>
                      <a:fillRect/>
                    </a:stretch>
                  </pic:blipFill>
                  <pic:spPr bwMode="auto">
                    <a:xfrm>
                      <a:off x="0" y="0"/>
                      <a:ext cx="5753100" cy="3747342"/>
                    </a:xfrm>
                    <a:prstGeom prst="rect">
                      <a:avLst/>
                    </a:prstGeom>
                    <a:noFill/>
                    <a:ln w="9525">
                      <a:noFill/>
                      <a:headEnd/>
                      <a:tailEnd/>
                    </a:ln>
                  </pic:spPr>
                </pic:pic>
              </a:graphicData>
            </a:graphic>
          </wp:inline>
        </w:drawing>
      </w:r>
    </w:p>
    <w:p w14:paraId="2C04F735" w14:textId="77777777" w:rsidR="0076037C" w:rsidRDefault="00000000">
      <w:pPr>
        <w:pStyle w:val="ImageCaption"/>
      </w:pPr>
      <w:r>
        <w:t xml:space="preserve">A la izquierda: Dickson, W. K.-L. (1889). </w:t>
      </w:r>
      <w:r>
        <w:rPr>
          <w:i/>
        </w:rPr>
        <w:t>Edison Kinetoscopic Record of a Sneeze</w:t>
      </w:r>
      <w:r>
        <w:t xml:space="preserve">. (Dickson, 1889). A la derecha: Frank Wylie, S. (2005). </w:t>
      </w:r>
      <w:r>
        <w:rPr>
          <w:i/>
        </w:rPr>
        <w:t>Paper print of The Untamable Whiskers (Le roi du maquillage, 1904), Georges Méliès greeting to the camera</w:t>
      </w:r>
      <w:r>
        <w:t>. (Ohio, 27 October 2005, 04:50:39)</w:t>
      </w:r>
    </w:p>
    <w:p w14:paraId="558C8245" w14:textId="77777777" w:rsidR="0076037C" w:rsidRDefault="00000000">
      <w:pPr>
        <w:pStyle w:val="BodyText"/>
      </w:pPr>
      <w:r>
        <w:t>En muchísimos casos gracias a los Paper Prints es que se conservan hoy películas de esa época, pues por falta de interés, por la naturaleza de los materiales (como el nitrato autocombustible) o por los requisitos legales, muchas copias se perdieron para siempre.</w:t>
      </w:r>
    </w:p>
    <w:p w14:paraId="0A6E7EFD" w14:textId="77777777" w:rsidR="0076037C" w:rsidRDefault="00000000">
      <w:pPr>
        <w:pStyle w:val="Heading2"/>
      </w:pPr>
      <w:bookmarkStart w:id="15" w:name="_Toc159490122"/>
      <w:r>
        <w:t>Datos en celuloide</w:t>
      </w:r>
      <w:bookmarkEnd w:id="15"/>
    </w:p>
    <w:p w14:paraId="4C0A754B" w14:textId="77777777" w:rsidR="0076037C" w:rsidRDefault="00000000">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w:t>
      </w:r>
      <w:r>
        <w:lastRenderedPageBreak/>
        <w:t xml:space="preserve">requerían de una conversión óptica para copias en 35 mm para su distribución en cines. Hoy en día la práctica se encuentra muy reservada a casos específicos de archivo o se basa casi exclusivamente en una decisión artística. Según la revista norteamericana </w:t>
      </w:r>
      <w:r>
        <w:rPr>
          <w:i/>
          <w:iCs/>
        </w:rPr>
        <w:t>Filmmaker Magazine</w:t>
      </w:r>
      <w:r>
        <w:t>, en Estados Unidos en 2021 se estrenaron 30 películas rodadas total o parcialmente en fílmico (Rizov, 2022a), en 2022 solo 24 (Rizov, 2022b) y en 2023 menos de 30 (Rizov, 2023).</w:t>
      </w:r>
    </w:p>
    <w:p w14:paraId="48429FBA" w14:textId="77777777" w:rsidR="0076037C" w:rsidRDefault="00000000">
      <w:pPr>
        <w:pStyle w:val="BodyText"/>
      </w:pPr>
      <w:r>
        <w:t xml:space="preserve">El caso de </w:t>
      </w:r>
      <w:r>
        <w:rPr>
          <w:i/>
          <w:iCs/>
        </w:rPr>
        <w:t>Dune</w:t>
      </w:r>
      <w:r>
        <w:t xml:space="preserve"> (2021), del director Québécois Denis Villeneuve, es un caso contemporáneo de digital-to-film. Filmada en digital en su totalidad, fue transferida posteriormente a digital para luego ser nuevamente digitalizada para la posproducción (“Why ’Dune’ Was Shot on Digital, Transferred to 35mm, Then Scanned to Digital,” 2021).</w:t>
      </w:r>
    </w:p>
    <w:p w14:paraId="3EF68879" w14:textId="77777777" w:rsidR="0076037C" w:rsidRDefault="00000000">
      <w:pPr>
        <w:pStyle w:val="BodyText"/>
      </w:pPr>
      <w:r>
        <w:t>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5"/>
      </w:r>
      <w:r>
        <w:t>.</w:t>
      </w:r>
    </w:p>
    <w:p w14:paraId="12DE64FF" w14:textId="77777777" w:rsidR="0076037C" w:rsidRDefault="00000000">
      <w:pPr>
        <w:pStyle w:val="CaptionedFigure"/>
      </w:pPr>
      <w:r>
        <w:lastRenderedPageBreak/>
        <w:drawing>
          <wp:inline distT="0" distB="0" distL="0" distR="0" wp14:anchorId="39C7D6AA" wp14:editId="4282F965">
            <wp:extent cx="5753100" cy="3236118"/>
            <wp:effectExtent l="0" t="0" r="0" b="0"/>
            <wp:docPr id="62" name="Picture" descr="Piql. Piql - Data Regeneration. 2021. Vimeo, https://vimeo.com/516428662"/>
            <wp:cNvGraphicFramePr/>
            <a:graphic xmlns:a="http://schemas.openxmlformats.org/drawingml/2006/main">
              <a:graphicData uri="http://schemas.openxmlformats.org/drawingml/2006/picture">
                <pic:pic xmlns:pic="http://schemas.openxmlformats.org/drawingml/2006/picture">
                  <pic:nvPicPr>
                    <pic:cNvPr id="63" name="Picture" descr="./assets/piql2.jpg"/>
                    <pic:cNvPicPr>
                      <a:picLocks noChangeAspect="1" noChangeArrowheads="1"/>
                    </pic:cNvPicPr>
                  </pic:nvPicPr>
                  <pic:blipFill>
                    <a:blip r:embed="rId16"/>
                    <a:stretch>
                      <a:fillRect/>
                    </a:stretch>
                  </pic:blipFill>
                  <pic:spPr bwMode="auto">
                    <a:xfrm>
                      <a:off x="0" y="0"/>
                      <a:ext cx="5753100" cy="3236118"/>
                    </a:xfrm>
                    <a:prstGeom prst="rect">
                      <a:avLst/>
                    </a:prstGeom>
                    <a:noFill/>
                    <a:ln w="9525">
                      <a:noFill/>
                      <a:headEnd/>
                      <a:tailEnd/>
                    </a:ln>
                  </pic:spPr>
                </pic:pic>
              </a:graphicData>
            </a:graphic>
          </wp:inline>
        </w:drawing>
      </w:r>
    </w:p>
    <w:p w14:paraId="78D558B5" w14:textId="77777777" w:rsidR="0076037C" w:rsidRDefault="00000000">
      <w:pPr>
        <w:pStyle w:val="ImageCaption"/>
      </w:pPr>
      <w:r>
        <w:t>Piql. </w:t>
      </w:r>
      <w:r>
        <w:rPr>
          <w:i/>
        </w:rPr>
        <w:t>Piql - Data Regeneration</w:t>
      </w:r>
      <w:r>
        <w:t>. 2021. </w:t>
      </w:r>
      <w:r>
        <w:rPr>
          <w:i/>
        </w:rPr>
        <w:t>Vimeo</w:t>
      </w:r>
      <w:r>
        <w:t>, https://vimeo.com/516428662</w:t>
      </w:r>
    </w:p>
    <w:p w14:paraId="2BB9224C" w14:textId="77777777" w:rsidR="0076037C" w:rsidRDefault="00000000">
      <w:pPr>
        <w:pStyle w:val="CaptionedFigure"/>
      </w:pPr>
      <w:r>
        <w:drawing>
          <wp:inline distT="0" distB="0" distL="0" distR="0" wp14:anchorId="35A67607" wp14:editId="4E0AB851">
            <wp:extent cx="5753100" cy="3236118"/>
            <wp:effectExtent l="0" t="0" r="0" b="0"/>
            <wp:docPr id="65" name="Picture" descr="Piql. Piql - Data Regeneration. 2021. Vimeo, https://vimeo.com/516428662"/>
            <wp:cNvGraphicFramePr/>
            <a:graphic xmlns:a="http://schemas.openxmlformats.org/drawingml/2006/main">
              <a:graphicData uri="http://schemas.openxmlformats.org/drawingml/2006/picture">
                <pic:pic xmlns:pic="http://schemas.openxmlformats.org/drawingml/2006/picture">
                  <pic:nvPicPr>
                    <pic:cNvPr id="66" name="Picture" descr="./assets/piql.jpg"/>
                    <pic:cNvPicPr>
                      <a:picLocks noChangeAspect="1" noChangeArrowheads="1"/>
                    </pic:cNvPicPr>
                  </pic:nvPicPr>
                  <pic:blipFill>
                    <a:blip r:embed="rId17"/>
                    <a:stretch>
                      <a:fillRect/>
                    </a:stretch>
                  </pic:blipFill>
                  <pic:spPr bwMode="auto">
                    <a:xfrm>
                      <a:off x="0" y="0"/>
                      <a:ext cx="5753100" cy="3236118"/>
                    </a:xfrm>
                    <a:prstGeom prst="rect">
                      <a:avLst/>
                    </a:prstGeom>
                    <a:noFill/>
                    <a:ln w="9525">
                      <a:noFill/>
                      <a:headEnd/>
                      <a:tailEnd/>
                    </a:ln>
                  </pic:spPr>
                </pic:pic>
              </a:graphicData>
            </a:graphic>
          </wp:inline>
        </w:drawing>
      </w:r>
    </w:p>
    <w:p w14:paraId="786591E7" w14:textId="77777777" w:rsidR="0076037C" w:rsidRDefault="00000000">
      <w:pPr>
        <w:pStyle w:val="ImageCaption"/>
      </w:pPr>
      <w:r>
        <w:t>Piql. </w:t>
      </w:r>
      <w:r>
        <w:rPr>
          <w:i/>
        </w:rPr>
        <w:t>Piql - Data Regeneration</w:t>
      </w:r>
      <w:r>
        <w:t>. 2021. </w:t>
      </w:r>
      <w:r>
        <w:rPr>
          <w:i/>
        </w:rPr>
        <w:t>Vimeo</w:t>
      </w:r>
      <w:r>
        <w:t>, https://vimeo.com/516428662</w:t>
      </w:r>
    </w:p>
    <w:p w14:paraId="6B9B3204" w14:textId="77777777" w:rsidR="0076037C" w:rsidRDefault="00000000">
      <w:pPr>
        <w:pStyle w:val="BodyText"/>
      </w:pPr>
      <w:r>
        <w:t>Es conocido el uso de esta tecnología para el Arctic World Archive, un proyecto de archivo y preservación en la isla de Spitsbergen, en Noruega. El AWA “contiene información histórica y cultural de varios países, además de todo el código abierto de GitHub, (…) con una expectativa de vida de 500 a 2000 años, almacenado en las condiciones adecuadas” (“Arctic World Archive,” 2021).</w:t>
      </w:r>
    </w:p>
    <w:p w14:paraId="3BDAC142" w14:textId="77777777" w:rsidR="0076037C" w:rsidRDefault="00000000">
      <w:pPr>
        <w:pStyle w:val="Heading2"/>
      </w:pPr>
      <w:bookmarkStart w:id="16" w:name="_Toc159490123"/>
      <w:r>
        <w:lastRenderedPageBreak/>
        <w:t>La Web Permanente: sistemas descentralizados de preservación</w:t>
      </w:r>
      <w:bookmarkEnd w:id="16"/>
    </w:p>
    <w:p w14:paraId="5234D9EA" w14:textId="77777777" w:rsidR="0076037C" w:rsidRDefault="00000000">
      <w:pPr>
        <w:pStyle w:val="FirstParagraph"/>
      </w:pPr>
      <w:r>
        <w:t>Para vincular la línea que venimos marcando entre preservación y soportes con el concepto de “sistemas descentralizados” en la web, quizás conviene destacar las diferentes “webs” que vinieron dándose a lo largo de los años, y dejar en claro algunas definiciones.</w:t>
      </w:r>
    </w:p>
    <w:p w14:paraId="5098D726" w14:textId="77777777" w:rsidR="0076037C" w:rsidRDefault="00000000">
      <w:pPr>
        <w:pStyle w:val="BodyText"/>
      </w:pPr>
      <w:r>
        <w:t>“Internet” refiere a los cables, los protocolos, la tecnología; y “Web” (también conocida como “red” en español) a los buscadores, las aplicaciones, los programas. “Web 1.0” hace referencia a los sitios estáticos y de “solo lectura” de hasta principios de los 2000. “Web 2.0” a la naturaleza dinámica e interactiva de los sitios post-2000, también conocida como “read/write web”: los usuarios pueden leer información y subir su propio contenido, utilizando programas y a través de intermediarios. Y para la “Web 3.0”, se plantea la idea de “confianza” (trust): se conectan los programas con el contenido, se eliminan las organizaciones intermediarias, y se suma la “verificación pública” (Benet, 2018).</w:t>
      </w:r>
    </w:p>
    <w:p w14:paraId="1282B149" w14:textId="77777777" w:rsidR="0076037C" w:rsidRDefault="00000000">
      <w:pPr>
        <w:pStyle w:val="CaptionedFigure"/>
      </w:pPr>
      <w:r>
        <w:drawing>
          <wp:inline distT="0" distB="0" distL="0" distR="0" wp14:anchorId="0C4DEA19" wp14:editId="241A7F6D">
            <wp:extent cx="5753100" cy="3256920"/>
            <wp:effectExtent l="0" t="0" r="0" b="0"/>
            <wp:docPr id="69" name="Picture" descr="What Exactly is Web3? by Juan Benet at Web3 Summit 2018. Youtube, https://www.youtube.com/watch?v=l44z35vabvA"/>
            <wp:cNvGraphicFramePr/>
            <a:graphic xmlns:a="http://schemas.openxmlformats.org/drawingml/2006/main">
              <a:graphicData uri="http://schemas.openxmlformats.org/drawingml/2006/picture">
                <pic:pic xmlns:pic="http://schemas.openxmlformats.org/drawingml/2006/picture">
                  <pic:nvPicPr>
                    <pic:cNvPr id="70" name="Picture" descr="./assets/benet.png"/>
                    <pic:cNvPicPr>
                      <a:picLocks noChangeAspect="1" noChangeArrowheads="1"/>
                    </pic:cNvPicPr>
                  </pic:nvPicPr>
                  <pic:blipFill>
                    <a:blip r:embed="rId18"/>
                    <a:stretch>
                      <a:fillRect/>
                    </a:stretch>
                  </pic:blipFill>
                  <pic:spPr bwMode="auto">
                    <a:xfrm>
                      <a:off x="0" y="0"/>
                      <a:ext cx="5753100" cy="3256920"/>
                    </a:xfrm>
                    <a:prstGeom prst="rect">
                      <a:avLst/>
                    </a:prstGeom>
                    <a:noFill/>
                    <a:ln w="9525">
                      <a:noFill/>
                      <a:headEnd/>
                      <a:tailEnd/>
                    </a:ln>
                  </pic:spPr>
                </pic:pic>
              </a:graphicData>
            </a:graphic>
          </wp:inline>
        </w:drawing>
      </w:r>
    </w:p>
    <w:p w14:paraId="3AD80740" w14:textId="77777777" w:rsidR="0076037C" w:rsidRDefault="00000000">
      <w:pPr>
        <w:pStyle w:val="ImageCaption"/>
      </w:pPr>
      <w:r>
        <w:rPr>
          <w:i/>
        </w:rPr>
        <w:t>What Exactly is Web3? by Juan Benet at Web3 Summit 2018. Youtube</w:t>
      </w:r>
      <w:r>
        <w:t>, https://www.youtube.com/watch?v=l44z35vabvA</w:t>
      </w:r>
    </w:p>
    <w:p w14:paraId="0C9AF1E7" w14:textId="77777777" w:rsidR="0076037C" w:rsidRDefault="00000000">
      <w:pPr>
        <w:pStyle w:val="BodyText"/>
      </w:pPr>
      <w:r>
        <w:t xml:space="preserve">En este contexto de la Web 3.0 se habla mucho de lo descentralizado, y por supuesto también de su gran protagonista, la blockchain: un mecanismo de datos cuya información se agrupa en conjuntos (bloques) a los que se les añade metadata </w:t>
      </w:r>
      <w:r>
        <w:lastRenderedPageBreak/>
        <w:t>relativa a otro bloque de la cadena anterior en una línea temporal. Gracias a esto la información contenida en un bloque solo puede ser editada modificando todos los bloques posteriores, lo que la hace segura y verificable (“Cadena de bloques,” 2021). Tiene múltiples usos, desde financieros, legales, y hasta democráticos.</w:t>
      </w:r>
    </w:p>
    <w:p w14:paraId="2F3EE19E" w14:textId="77777777" w:rsidR="0076037C" w:rsidRDefault="00000000">
      <w:pPr>
        <w:pStyle w:val="BodyText"/>
      </w:pPr>
      <w:r>
        <w:t>“El Sistema de Archivos Interplanetario (IPFS por InterPlanetary File System), es un sistema de guardado de archivos “en la nube” basado en la tecnología de la blockchain, pariente del sistema de archivos de los torrents. Los sitios subidos a la IPFS 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 “Los inventores del internet están intentando construir una red verdaderamente permanente” es el nombre que lleva el artículo de la revista norteamericana WIRED. En ella comparan la obsolescencia de los floppy disk con la de muchísimos sitios web ahora extintos, la centralización que implica el Internet Archive, y las bondades de los archivos basados en papel. “Le estamos dando a la información digital una cualidad parecida al papel” dice el fundador del IPFS, Juan Benet (Finley, 2016).</w:t>
      </w:r>
    </w:p>
    <w:p w14:paraId="1A6234CE" w14:textId="77777777" w:rsidR="0076037C" w:rsidRDefault="00000000">
      <w:pPr>
        <w:pStyle w:val="BodyText"/>
      </w:pPr>
      <w:r>
        <w:t>La gran mayoría de los NFT están respaldados a través de esta tecnología descentralizada, vinculados además con la blockchain, aunque no concretamente a la red de Bitcoin, sino a otras más nuevas, como Ethereum, Tezos, o Cardano. Sin embargo, que estos sistemas sean descentralizados no significa que sean baratos, y menos aún ecológicos. Si bien se sobreentiende que por algoritmos, descentralización y criptografía los archivos se conservan,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w:t>
      </w:r>
    </w:p>
    <w:p w14:paraId="44908479" w14:textId="77777777" w:rsidR="0076037C" w:rsidRDefault="00000000">
      <w:pPr>
        <w:pStyle w:val="Heading2"/>
      </w:pPr>
      <w:bookmarkStart w:id="17" w:name="_Toc159490124"/>
      <w:r>
        <w:t>La imagen pobre y los archivos involuntarios</w:t>
      </w:r>
      <w:bookmarkEnd w:id="17"/>
    </w:p>
    <w:p w14:paraId="7736F44A" w14:textId="77777777" w:rsidR="0076037C" w:rsidRDefault="00000000">
      <w:pPr>
        <w:pStyle w:val="FirstParagraph"/>
      </w:pPr>
      <w:r>
        <w:t xml:space="preserve">Si bien ya muy citada, se pueden reciclar y rescatar las palabras de Hito Steyerl alrededor de esta otra manera de distribución y democratización de la información, “la imagen pobre”: las “copias en movimiento”. Copias por fuera del circuito </w:t>
      </w:r>
      <w:r>
        <w:lastRenderedPageBreak/>
        <w:t>comercial y legal, desautorizadas para su distribución: copias pirata, “screeners”, copias de mala calidad. En palabras de Steyerl:</w:t>
      </w:r>
    </w:p>
    <w:p w14:paraId="1246AF06" w14:textId="77777777" w:rsidR="0076037C" w:rsidRDefault="00000000">
      <w:pPr>
        <w:pStyle w:val="BlockText"/>
      </w:pPr>
      <w:r>
        <w:t>…los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 (Steyerl et al., 2014, p. 38).</w:t>
      </w:r>
    </w:p>
    <w:p w14:paraId="3CB541A3" w14:textId="77777777" w:rsidR="0076037C" w:rsidRDefault="00000000">
      <w:pPr>
        <w:pStyle w:val="FirstParagraph"/>
      </w:pPr>
      <w:r>
        <w:t>En este contexto la autora hace referencia directa al video digital y a su distribución alternativa, pero lo que rescato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podríamos pensar a los NFT y a sus creadores como unas nuevas imágenes pobres, en cuanto a su distribución “permanente”,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se preserva “involuntariamente” en el tiempo.</w:t>
      </w:r>
    </w:p>
    <w:p w14:paraId="10A3D67F" w14:textId="77777777" w:rsidR="0076037C" w:rsidRDefault="00000000">
      <w:pPr>
        <w:pStyle w:val="BodyText"/>
      </w:pPr>
      <w:r>
        <w:t>Todas estas tecnologías parecieran estar trazando una genealogía de preservación híbrida, entre lo analógico y lo digital. Pareciera que mientras más pasos de hibridación y mudanza del soporte, mientras más “generaciones” como se dice en el ambiente del archivo audiovisual, más posibilidades existen de que se preserve en el tiempo.</w:t>
      </w:r>
    </w:p>
    <w:p w14:paraId="7868762A" w14:textId="77777777" w:rsidR="0076037C" w:rsidRDefault="00000000">
      <w:pPr>
        <w:pStyle w:val="BodyText"/>
      </w:pPr>
      <w:r>
        <w:t>De esta forma, no parece descabellada la idea de transferir obras digitales a fílmico, o incluso subirlas (o mintearlas</w:t>
      </w:r>
      <w:r>
        <w:rPr>
          <w:rStyle w:val="FootnoteReference"/>
        </w:rPr>
        <w:footnoteReference w:id="6"/>
      </w:r>
      <w:r>
        <w:t xml:space="preserve">) a una IPFS vinculada a la Blockchain. Todo este proceso híbrido funciona como un experimento para “preservar la memoria y la historia” de nuestras creaciones. Esto es lo que se verá en la segunda parte de la </w:t>
      </w:r>
      <w:r>
        <w:lastRenderedPageBreak/>
        <w:t>tesis, donde se llevará a cabo una práctica híbrida de tecnologías de preservación y reproducción para obras generativas, con fines estéticos y experimentales, llamados “Films Automáticos”.</w:t>
      </w:r>
    </w:p>
    <w:p w14:paraId="5A8A13A8" w14:textId="77777777" w:rsidR="0076037C" w:rsidRDefault="00000000">
      <w:pPr>
        <w:pStyle w:val="Heading1"/>
      </w:pPr>
      <w:bookmarkStart w:id="18" w:name="_Toc159490125"/>
      <w:r>
        <w:lastRenderedPageBreak/>
        <w:t>Bibliografía</w:t>
      </w:r>
      <w:bookmarkEnd w:id="18"/>
    </w:p>
    <w:p w14:paraId="7E20EB2B" w14:textId="77777777" w:rsidR="0076037C" w:rsidRDefault="00000000">
      <w:pPr>
        <w:pStyle w:val="Bibliography"/>
      </w:pPr>
      <w:r>
        <w:t xml:space="preserve">Amo García, A. del. (2008). </w:t>
      </w:r>
      <w:r>
        <w:rPr>
          <w:i/>
          <w:iCs/>
        </w:rPr>
        <w:t>Clasificar para preservar</w:t>
      </w:r>
      <w:r>
        <w:t>. Conaculta Cineteca Nacional Filmoteca Española.</w:t>
      </w:r>
    </w:p>
    <w:p w14:paraId="4FEADA57" w14:textId="77777777" w:rsidR="0076037C" w:rsidRDefault="00000000">
      <w:pPr>
        <w:pStyle w:val="Bibliography"/>
      </w:pPr>
      <w:r>
        <w:t xml:space="preserve">Arctic World Archive. (2021). </w:t>
      </w:r>
      <w:r>
        <w:rPr>
          <w:i/>
          <w:iCs/>
        </w:rPr>
        <w:t>Wikipedia</w:t>
      </w:r>
      <w:r>
        <w:t>.</w:t>
      </w:r>
    </w:p>
    <w:p w14:paraId="7FC7100C" w14:textId="77777777" w:rsidR="0076037C" w:rsidRDefault="00000000">
      <w:pPr>
        <w:pStyle w:val="Bibliography"/>
      </w:pPr>
      <w:r>
        <w:t xml:space="preserve">Askin, C. (2015). </w:t>
      </w:r>
      <w:r>
        <w:rPr>
          <w:i/>
          <w:iCs/>
        </w:rPr>
        <w:t>Cameron’s World</w:t>
      </w:r>
      <w:r>
        <w:t>. https://www.cameronsworld.net.</w:t>
      </w:r>
    </w:p>
    <w:p w14:paraId="12BF9167" w14:textId="77777777" w:rsidR="0076037C" w:rsidRDefault="00000000">
      <w:pPr>
        <w:pStyle w:val="Bibliography"/>
      </w:pPr>
      <w:r>
        <w:t xml:space="preserve">Benet, J. (2018). </w:t>
      </w:r>
      <w:r>
        <w:rPr>
          <w:i/>
          <w:iCs/>
        </w:rPr>
        <w:t>What Exactly is Web3? By Juan Benet at Web3 Summit 2018</w:t>
      </w:r>
      <w:r>
        <w:t>.</w:t>
      </w:r>
    </w:p>
    <w:p w14:paraId="5A39C567" w14:textId="77777777" w:rsidR="0076037C" w:rsidRDefault="00000000">
      <w:pPr>
        <w:pStyle w:val="Bibliography"/>
      </w:pPr>
      <w:r>
        <w:t xml:space="preserve">Cadena de bloques. (2021). </w:t>
      </w:r>
      <w:r>
        <w:rPr>
          <w:i/>
          <w:iCs/>
        </w:rPr>
        <w:t>Wikipedia, la enciclopedia libre</w:t>
      </w:r>
      <w:r>
        <w:t>.</w:t>
      </w:r>
    </w:p>
    <w:p w14:paraId="7556E7F7" w14:textId="77777777" w:rsidR="0076037C" w:rsidRDefault="00000000">
      <w:pPr>
        <w:pStyle w:val="Bibliography"/>
      </w:pPr>
      <w:r>
        <w:rPr>
          <w:i/>
          <w:iCs/>
        </w:rPr>
        <w:t>Canyon Cinema : New Artist Members: John and James Whitney</w:t>
      </w:r>
      <w:r>
        <w:t>. (2023).</w:t>
      </w:r>
    </w:p>
    <w:p w14:paraId="220DEFFC" w14:textId="77777777" w:rsidR="0076037C" w:rsidRDefault="00000000">
      <w:pPr>
        <w:pStyle w:val="Bibliography"/>
      </w:pPr>
      <w:r>
        <w:t xml:space="preserve">Cappa, C., Levinson, A., Yablón, S., Varela, L., Giacomini, F., &amp; Sepich, J. (2019). </w:t>
      </w:r>
      <w:r>
        <w:rPr>
          <w:i/>
          <w:iCs/>
        </w:rPr>
        <w:t>Nitrato argentino, una historia del cine de los primeros tiempos</w:t>
      </w:r>
      <w:r>
        <w:t>. Museo del Cine Pablo Ducros Hicken.</w:t>
      </w:r>
    </w:p>
    <w:p w14:paraId="0BBC56C4" w14:textId="77777777" w:rsidR="0076037C" w:rsidRDefault="00000000">
      <w:pPr>
        <w:pStyle w:val="Bibliography"/>
      </w:pPr>
      <w:r>
        <w:t xml:space="preserve">Dickson, W. K.-L. (1889). </w:t>
      </w:r>
      <w:r>
        <w:rPr>
          <w:i/>
          <w:iCs/>
        </w:rPr>
        <w:t>Français : Morceau du film Edison Kinetoscopic Record of a Sneeze sur KinétoscopeEnglish: Edison Kinetoscopic Record of a Sneeze, also known as Fred Ott’s Sneeze</w:t>
      </w:r>
      <w:r>
        <w:t>.</w:t>
      </w:r>
    </w:p>
    <w:p w14:paraId="535943DE" w14:textId="77777777" w:rsidR="0076037C" w:rsidRDefault="00000000">
      <w:pPr>
        <w:pStyle w:val="Bibliography"/>
      </w:pPr>
      <w:r>
        <w:t xml:space="preserve">Finley, K. (2016). The Inventors of the Internet Are Trying to Build a Truly Permanent Web. </w:t>
      </w:r>
      <w:r>
        <w:rPr>
          <w:i/>
          <w:iCs/>
        </w:rPr>
        <w:t>Wired</w:t>
      </w:r>
      <w:r>
        <w:t>.</w:t>
      </w:r>
    </w:p>
    <w:p w14:paraId="228D6B00" w14:textId="77777777" w:rsidR="0076037C" w:rsidRDefault="00000000">
      <w:pPr>
        <w:pStyle w:val="Bibliography"/>
      </w:pPr>
      <w:r>
        <w:rPr>
          <w:i/>
          <w:iCs/>
        </w:rPr>
        <w:t>Internet Archive: About IA</w:t>
      </w:r>
      <w:r>
        <w:t>. (n.d.). https://archive.org/about/.</w:t>
      </w:r>
    </w:p>
    <w:p w14:paraId="264EA031" w14:textId="77777777" w:rsidR="0076037C" w:rsidRDefault="00000000">
      <w:pPr>
        <w:pStyle w:val="Bibliography"/>
      </w:pPr>
      <w:r>
        <w:t xml:space="preserve">John Whitney (animator). (2023). </w:t>
      </w:r>
      <w:r>
        <w:rPr>
          <w:i/>
          <w:iCs/>
        </w:rPr>
        <w:t>Wikipedia</w:t>
      </w:r>
      <w:r>
        <w:t>.</w:t>
      </w:r>
    </w:p>
    <w:p w14:paraId="31642C54" w14:textId="77777777" w:rsidR="0076037C" w:rsidRDefault="00000000">
      <w:pPr>
        <w:pStyle w:val="Bibliography"/>
      </w:pPr>
      <w:r>
        <w:rPr>
          <w:i/>
          <w:iCs/>
        </w:rPr>
        <w:t>La maquina podrida / Brian Mackern</w:t>
      </w:r>
      <w:r>
        <w:t>. (n.d.). http://podrida.netart.org.uy/.</w:t>
      </w:r>
    </w:p>
    <w:p w14:paraId="6B0552A7" w14:textId="77777777" w:rsidR="0076037C" w:rsidRDefault="00000000">
      <w:pPr>
        <w:pStyle w:val="Bibliography"/>
      </w:pPr>
      <w:r>
        <w:t xml:space="preserve">Lampert, Andrew. (2006). </w:t>
      </w:r>
      <w:r>
        <w:rPr>
          <w:i/>
          <w:iCs/>
        </w:rPr>
        <w:t>Results you can’t refuse : celebrating 30 years of BB Optics</w:t>
      </w:r>
      <w:r>
        <w:t>. Anthology Film Archives.</w:t>
      </w:r>
    </w:p>
    <w:p w14:paraId="4640BD17" w14:textId="77777777" w:rsidR="0076037C" w:rsidRDefault="00000000">
      <w:pPr>
        <w:pStyle w:val="Bibliography"/>
      </w:pPr>
      <w:r>
        <w:t xml:space="preserve">Matters in Media Art  MoMA. (n.d.). In </w:t>
      </w:r>
      <w:r>
        <w:rPr>
          <w:i/>
          <w:iCs/>
        </w:rPr>
        <w:t>The Museum of Modern Art</w:t>
      </w:r>
      <w:r>
        <w:t>. https://www.moma.org/collection/about/conservation/matters-in-media-art.</w:t>
      </w:r>
    </w:p>
    <w:p w14:paraId="3CA2EEE7" w14:textId="77777777" w:rsidR="0076037C" w:rsidRDefault="00000000">
      <w:pPr>
        <w:pStyle w:val="Bibliography"/>
      </w:pPr>
      <w:r>
        <w:rPr>
          <w:i/>
          <w:iCs/>
        </w:rPr>
        <w:t>MEIAC - Museo Extremeño e Iberoamericano de Arte Contemporáneo</w:t>
      </w:r>
      <w:r>
        <w:t>. (n.d.). http://www.meiac.es/detail.php?m1=4&amp;m2=0&amp;exh=26.</w:t>
      </w:r>
    </w:p>
    <w:p w14:paraId="51B3DBB3" w14:textId="77777777" w:rsidR="0076037C" w:rsidRDefault="00000000">
      <w:pPr>
        <w:pStyle w:val="Bibliography"/>
      </w:pPr>
      <w:r>
        <w:lastRenderedPageBreak/>
        <w:t xml:space="preserve">Ohio, L. of C. M. P. C. C., Lab Supervisor. (27 October 2005, 04:50:39). </w:t>
      </w:r>
      <w:r>
        <w:rPr>
          <w:i/>
          <w:iCs/>
        </w:rPr>
        <w:t>English: Paper print of The Untamable Whiskers (Le roi du maquillage, 1904), Georges Méliès greeting to the camera</w:t>
      </w:r>
      <w:r>
        <w:t>.</w:t>
      </w:r>
    </w:p>
    <w:p w14:paraId="7C003C50" w14:textId="77777777" w:rsidR="0076037C" w:rsidRDefault="00000000">
      <w:pPr>
        <w:pStyle w:val="Bibliography"/>
      </w:pPr>
      <w:r>
        <w:t xml:space="preserve">Paper print. (2023). </w:t>
      </w:r>
      <w:r>
        <w:rPr>
          <w:i/>
          <w:iCs/>
        </w:rPr>
        <w:t>Wikipedia</w:t>
      </w:r>
      <w:r>
        <w:t>.</w:t>
      </w:r>
    </w:p>
    <w:p w14:paraId="3016C48C" w14:textId="77777777" w:rsidR="0076037C" w:rsidRDefault="00000000">
      <w:pPr>
        <w:pStyle w:val="Bibliography"/>
      </w:pPr>
      <w:r>
        <w:t xml:space="preserve">Pierce, D. (2013). </w:t>
      </w:r>
      <w:r>
        <w:rPr>
          <w:i/>
          <w:iCs/>
        </w:rPr>
        <w:t>The survival of American silent feature films, 1912-1929</w:t>
      </w:r>
      <w:r>
        <w:t>. Council on Library and Information Resources and The Library of Congress.</w:t>
      </w:r>
    </w:p>
    <w:p w14:paraId="747EEF85" w14:textId="77777777" w:rsidR="0076037C" w:rsidRDefault="00000000">
      <w:pPr>
        <w:pStyle w:val="Bibliography"/>
      </w:pPr>
      <w:r>
        <w:t xml:space="preserve">Rizov, V. (2022a). The (Approximately) 30 Movies of 2021 Shot on 35mm - Filmmaker Magazine. In </w:t>
      </w:r>
      <w:r>
        <w:rPr>
          <w:i/>
          <w:iCs/>
        </w:rPr>
        <w:t>Filmmaker Magazine  Publication with a focus on independent film, offering articles, links, and resources.</w:t>
      </w:r>
    </w:p>
    <w:p w14:paraId="44B7B827" w14:textId="77777777" w:rsidR="0076037C" w:rsidRDefault="00000000">
      <w:pPr>
        <w:pStyle w:val="Bibliography"/>
      </w:pPr>
      <w:r>
        <w:t xml:space="preserve">Rizov, V. (2022b). The 24 Features of 2022 Shot on 35mm - Filmmaker Magazine. In </w:t>
      </w:r>
      <w:r>
        <w:rPr>
          <w:i/>
          <w:iCs/>
        </w:rPr>
        <w:t>Filmmaker Magazine  Publication with a focus on independent film, offering articles, links, and resources.</w:t>
      </w:r>
    </w:p>
    <w:p w14:paraId="57208D4E" w14:textId="77777777" w:rsidR="0076037C" w:rsidRDefault="00000000">
      <w:pPr>
        <w:pStyle w:val="Bibliography"/>
      </w:pPr>
      <w:r>
        <w:t xml:space="preserve">Rizov, V. (2023). The 29 Features Shot, In Whole or In Part, on 35mm in U.S. Release Year 2023 - Filmmaker Magazine. In </w:t>
      </w:r>
      <w:r>
        <w:rPr>
          <w:i/>
          <w:iCs/>
        </w:rPr>
        <w:t>Filmmaker Magazine  Publication with a focus on independent film, offering articles, links, and resources.</w:t>
      </w:r>
    </w:p>
    <w:p w14:paraId="16D9BAB6" w14:textId="77777777" w:rsidR="0076037C" w:rsidRDefault="00000000">
      <w:pPr>
        <w:pStyle w:val="Bibliography"/>
      </w:pPr>
      <w:r>
        <w:t xml:space="preserve">Steyerl, H., Berardi, F., &amp; Expósito, M. (2014). </w:t>
      </w:r>
      <w:r>
        <w:rPr>
          <w:i/>
          <w:iCs/>
        </w:rPr>
        <w:t>Los condenados de la pantalla</w:t>
      </w:r>
      <w:r>
        <w:t>. Caja Negra.</w:t>
      </w:r>
    </w:p>
    <w:p w14:paraId="39DC95A2" w14:textId="77777777" w:rsidR="0076037C" w:rsidRDefault="00000000">
      <w:pPr>
        <w:pStyle w:val="Bibliography"/>
      </w:pPr>
      <w:r>
        <w:rPr>
          <w:i/>
          <w:iCs/>
        </w:rPr>
        <w:t>The film art of John Whitney, Sr.</w:t>
      </w:r>
      <w:r>
        <w:t xml:space="preserve"> (1974). Creative Arts Television.</w:t>
      </w:r>
    </w:p>
    <w:p w14:paraId="5E65468F" w14:textId="77777777" w:rsidR="0076037C" w:rsidRDefault="00000000">
      <w:pPr>
        <w:pStyle w:val="Bibliography"/>
      </w:pPr>
      <w:r>
        <w:t xml:space="preserve">Valyi-Nagy, Z. (2022). HOLO Dossier: Vera MolnarWeaving Variations. In </w:t>
      </w:r>
      <w:r>
        <w:rPr>
          <w:i/>
          <w:iCs/>
        </w:rPr>
        <w:t>HOLO</w:t>
      </w:r>
      <w:r>
        <w:t>.</w:t>
      </w:r>
    </w:p>
    <w:p w14:paraId="6E50CC90" w14:textId="77777777" w:rsidR="0076037C" w:rsidRDefault="00000000">
      <w:pPr>
        <w:pStyle w:val="Bibliography"/>
      </w:pPr>
      <w:r>
        <w:t xml:space="preserve">Whitney, J. (1980). </w:t>
      </w:r>
      <w:r>
        <w:rPr>
          <w:i/>
          <w:iCs/>
        </w:rPr>
        <w:t>Digital harmony</w:t>
      </w:r>
      <w:r>
        <w:t>. Byte Books Peterborough, NH.</w:t>
      </w:r>
    </w:p>
    <w:p w14:paraId="2CC4B0BE" w14:textId="77777777" w:rsidR="0076037C" w:rsidRDefault="00000000">
      <w:pPr>
        <w:pStyle w:val="Bibliography"/>
      </w:pPr>
      <w:r>
        <w:t xml:space="preserve">Why ’Dune’ Was Shot on Digital, Transferred to 35mm, Then Scanned to Digital. (2021). In </w:t>
      </w:r>
      <w:r>
        <w:rPr>
          <w:i/>
          <w:iCs/>
        </w:rPr>
        <w:t>No Film School</w:t>
      </w:r>
      <w:r>
        <w:t>. https://nofilmschool.com/Dune-Digital-Film-Process.</w:t>
      </w:r>
    </w:p>
    <w:sectPr w:rsidR="0076037C" w:rsidSect="00F825B9">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D2509D" w14:textId="77777777" w:rsidR="00F825B9" w:rsidRDefault="00F825B9">
      <w:pPr>
        <w:spacing w:after="0"/>
      </w:pPr>
      <w:r>
        <w:separator/>
      </w:r>
    </w:p>
  </w:endnote>
  <w:endnote w:type="continuationSeparator" w:id="0">
    <w:p w14:paraId="6D28C141" w14:textId="77777777" w:rsidR="00F825B9" w:rsidRDefault="00F825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8192D" w14:textId="77777777" w:rsidR="00F825B9" w:rsidRDefault="00F825B9">
      <w:r>
        <w:separator/>
      </w:r>
    </w:p>
  </w:footnote>
  <w:footnote w:type="continuationSeparator" w:id="0">
    <w:p w14:paraId="219425BD" w14:textId="77777777" w:rsidR="00F825B9" w:rsidRDefault="00F825B9">
      <w:r>
        <w:continuationSeparator/>
      </w:r>
    </w:p>
  </w:footnote>
  <w:footnote w:id="1">
    <w:p w14:paraId="70A854F1" w14:textId="77777777" w:rsidR="0076037C" w:rsidRDefault="00000000">
      <w:pPr>
        <w:pStyle w:val="FootnoteText"/>
      </w:pPr>
      <w:r>
        <w:rPr>
          <w:rStyle w:val="FootnoteReference"/>
        </w:rPr>
        <w:footnoteRef/>
      </w:r>
      <w:r>
        <w:t xml:space="preserve"> https://wkurz.com/home/productsEN.html. Accedido 6 de febrero de 2024. Ver https://vimeo.com/22015773</w:t>
      </w:r>
    </w:p>
  </w:footnote>
  <w:footnote w:id="2">
    <w:p w14:paraId="04CFA534" w14:textId="77777777" w:rsidR="0076037C"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2D0174EA" w14:textId="77777777" w:rsidR="0076037C" w:rsidRDefault="00000000">
      <w:pPr>
        <w:pStyle w:val="FootnoteText"/>
      </w:pPr>
      <w:r>
        <w:rPr>
          <w:rStyle w:val="FootnoteReference"/>
        </w:rPr>
        <w:footnoteRef/>
      </w:r>
      <w:r>
        <w:t xml:space="preserve"> El caso más conocido de esta historia es la de Metrópolis, de Fritz Lang: entre la colección de Peña Rodriguez salió a la luz en 2008 una copia 25 minutos más extensa que la versión que se creía más completa en Alemania.</w:t>
      </w:r>
    </w:p>
  </w:footnote>
  <w:footnote w:id="4">
    <w:p w14:paraId="2BEEF140" w14:textId="77777777" w:rsidR="0076037C" w:rsidRDefault="00000000">
      <w:pPr>
        <w:pStyle w:val="FootnoteText"/>
      </w:pPr>
      <w:r>
        <w:rPr>
          <w:rStyle w:val="FootnoteReference"/>
        </w:rPr>
        <w:footnoteRef/>
      </w:r>
      <w:r>
        <w:t xml:space="preserve"> El término en inglés “upscaling” refiere a escalar una imagen por encima de su resolución original.</w:t>
      </w:r>
    </w:p>
  </w:footnote>
  <w:footnote w:id="5">
    <w:p w14:paraId="08A9FF97" w14:textId="77777777" w:rsidR="0076037C" w:rsidRDefault="00000000">
      <w:pPr>
        <w:pStyle w:val="FootnoteText"/>
      </w:pPr>
      <w:r>
        <w:rPr>
          <w:rStyle w:val="FootnoteReference"/>
        </w:rPr>
        <w:footnoteRef/>
      </w:r>
      <w:r>
        <w:t xml:space="preserve"> </w:t>
      </w:r>
      <w:r>
        <w:rPr>
          <w:i/>
          <w:iCs/>
        </w:rPr>
        <w:t>Piql. Piql - Data Regeneration.</w:t>
      </w:r>
      <w:r>
        <w:t xml:space="preserve"> 2021. </w:t>
      </w:r>
      <w:r>
        <w:rPr>
          <w:i/>
          <w:iCs/>
        </w:rPr>
        <w:t>Vimeo</w:t>
      </w:r>
      <w:r>
        <w:t>, https://vimeo.com/516428662</w:t>
      </w:r>
    </w:p>
  </w:footnote>
  <w:footnote w:id="6">
    <w:p w14:paraId="7CBF0770" w14:textId="77777777" w:rsidR="0076037C" w:rsidRDefault="00000000">
      <w:pPr>
        <w:pStyle w:val="FootnoteText"/>
      </w:pPr>
      <w:r>
        <w:rPr>
          <w:rStyle w:val="FootnoteReference"/>
        </w:rPr>
        <w:footnoteRef/>
      </w:r>
      <w:r>
        <w:t xml:space="preserve"> Mintear un NFT (como “acuñar un token no fungible”), es publicar un activo digital único en la blockchain para que pueda comprarse, venderse y/o intercambiarse.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 w:numId="14" w16cid:durableId="212280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10050C"/>
    <w:rsid w:val="001B0533"/>
    <w:rsid w:val="001B593B"/>
    <w:rsid w:val="002706EA"/>
    <w:rsid w:val="002B1C89"/>
    <w:rsid w:val="002C6B38"/>
    <w:rsid w:val="003A6E1E"/>
    <w:rsid w:val="00412BB9"/>
    <w:rsid w:val="004160B7"/>
    <w:rsid w:val="004371F4"/>
    <w:rsid w:val="004612A6"/>
    <w:rsid w:val="00534C4F"/>
    <w:rsid w:val="00653575"/>
    <w:rsid w:val="00696DE1"/>
    <w:rsid w:val="006D4543"/>
    <w:rsid w:val="0071180C"/>
    <w:rsid w:val="00725F48"/>
    <w:rsid w:val="0076037C"/>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C3113"/>
    <w:rsid w:val="00EE202D"/>
    <w:rsid w:val="00F03BC7"/>
    <w:rsid w:val="00F825B9"/>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4BB3BB"/>
  <w15:docId w15:val="{FD30955A-FAE3-124E-90D5-3F6BE6EE6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A17B18"/>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8F5D6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Heading2"/>
    <w:next w:val="BodyText"/>
    <w:uiPriority w:val="9"/>
    <w:unhideWhenUsed/>
    <w:qFormat/>
    <w:rsid w:val="00D51431"/>
    <w:pPr>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71180C"/>
    <w:pPr>
      <w:ind w:left="0" w:right="0"/>
    </w:pPr>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C42C6D"/>
    <w:pPr>
      <w:tabs>
        <w:tab w:val="right" w:leader="dot" w:pos="9350"/>
      </w:tabs>
      <w:spacing w:after="100" w:line="360" w:lineRule="auto"/>
      <w:ind w:left="240"/>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D51431"/>
    <w:pPr>
      <w:spacing w:after="100"/>
      <w:ind w:left="480"/>
    </w:p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eronsworld.net/" TargetMode="External"/><Relationship Id="rId13" Type="http://schemas.openxmlformats.org/officeDocument/2006/relationships/image" Target="media/image5.jpg"/><Relationship Id="rId18"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hyperlink" Target="http://mattersinmediaart.org/" TargetMode="Externa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7.jpg"/><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31</Pages>
  <Words>7279</Words>
  <Characters>41493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3</cp:revision>
  <dcterms:created xsi:type="dcterms:W3CDTF">2024-02-22T15:27:00Z</dcterms:created>
  <dcterms:modified xsi:type="dcterms:W3CDTF">2024-02-22T16:46:00Z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