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53.jpg" ContentType="image/jpeg"/>
  <Override PartName="/word/media/rId39.jpg" ContentType="image/jpeg"/>
  <Override PartName="/word/media/rId47.jpg" ContentType="image/jpeg"/>
  <Override PartName="/word/media/rId68.png" ContentType="image/png"/>
  <Override PartName="/word/media/rId35.jpg" ContentType="image/jpeg"/>
  <Override PartName="/word/media/rId43.jpg" ContentType="image/jpeg"/>
  <Override PartName="/word/media/rId50.jpg" ContentType="image/jpeg"/>
  <Override PartName="/word/media/rId64.jpg" ContentType="image/jpeg"/>
  <Override PartName="/word/media/rId61.jpg" ContentType="image/jpeg"/>
  <Override PartName="/word/media/image3.jpg" ContentType="image/jpeg"/>
  <Override PartName="/word/media/image1.jpg" ContentType="image/jpeg"/>
  <Override PartName="/word/media/image2.jpg" ContentType="image/jpeg"/>
  <Override PartName="/word/media/image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7" w:name="introducción"/>
    <w:p>
      <w:pPr>
        <w:pStyle w:val="Heading1"/>
      </w:pPr>
      <w:r>
        <w:t xml:space="preserve">Introducción</w:t>
      </w:r>
    </w:p>
    <w:bookmarkStart w:id="25"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5"/>
    <w:bookmarkStart w:id="26"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6"/>
    <w:bookmarkEnd w:id="27"/>
    <w:bookmarkStart w:id="74" w:name="Xe71b679fc438f9c310ccbbd42ce0537caa1b93b"/>
    <w:p>
      <w:pPr>
        <w:pStyle w:val="Heading1"/>
      </w:pPr>
      <w:r>
        <w:t xml:space="preserve">Antecedentes teóricos y referentes artísticos</w:t>
      </w:r>
    </w:p>
    <w:p>
      <w:pPr>
        <w:pStyle w:val="FirstParagraph"/>
      </w:pPr>
      <w:r>
        <w:t xml:space="preserve">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30" w:name="preservación-y-acceso"/>
    <w:p>
      <w:pPr>
        <w:pStyle w:val="Heading2"/>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t xml:space="preserve"> </w:t>
      </w:r>
      <w:r>
        <w:t xml:space="preserve">(Cappa et al., 2019)</w:t>
      </w:r>
      <w:r>
        <w:rPr>
          <w:rStyle w:val="FootnoteReference"/>
        </w:rPr>
        <w:footnoteReference w:id="28"/>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e interpolación de 60 fotogramas por segundo. El problema aquí quizás sea que no se está apelando a la definición más pura de restauración: lo que se busca es realismo.</w:t>
      </w:r>
    </w:p>
    <w:bookmarkEnd w:id="30"/>
    <w:bookmarkStart w:id="31" w:name="internet-archive-el-archivo-de-internet"/>
    <w:p>
      <w:pPr>
        <w:pStyle w:val="Heading2"/>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31"/>
    <w:bookmarkStart w:id="33" w:name="consorcio-de-expertos-en-media-arts"/>
    <w:p>
      <w:pPr>
        <w:pStyle w:val="Heading2"/>
      </w:pPr>
      <w:r>
        <w:t xml:space="preserve">Consorcio de expertos en Media Arts</w:t>
      </w:r>
    </w:p>
    <w:p>
      <w:pPr>
        <w:pStyle w:val="FirstParagraph"/>
      </w:pPr>
      <w:r>
        <w:t xml:space="preserve">Por otro lado, 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 En nuestro país, por ejemplo, hay muy poco desarrollo al respecto, lo que puede llevar a creer que no hay historia.</w:t>
      </w:r>
    </w:p>
    <w:p>
      <w:pPr>
        <w:pStyle w:val="BodyText"/>
      </w:pPr>
      <w:r>
        <w:t xml:space="preserve">El</w:t>
      </w:r>
      <w:r>
        <w:t xml:space="preserve"> </w:t>
      </w:r>
      <w:hyperlink r:id="rId32">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33"/>
    <w:bookmarkStart w:id="38" w:name="camerons-world"/>
    <w:p>
      <w:pPr>
        <w:pStyle w:val="Heading2"/>
      </w:pPr>
      <w:r>
        <w:t xml:space="preserve">Cameron’s World</w:t>
      </w:r>
    </w:p>
    <w:p>
      <w:pPr>
        <w:pStyle w:val="FirstParagraph"/>
      </w:pPr>
      <w:hyperlink r:id="rId34">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36" name="Picture"/>
            <a:graphic>
              <a:graphicData uri="http://schemas.openxmlformats.org/drawingml/2006/picture">
                <pic:pic>
                  <pic:nvPicPr>
                    <pic:cNvPr descr="./assets/camerons-world.jpg" id="37" name="Picture"/>
                    <pic:cNvPicPr>
                      <a:picLocks noChangeArrowheads="1" noChangeAspect="1"/>
                    </pic:cNvPicPr>
                  </pic:nvPicPr>
                  <pic:blipFill>
                    <a:blip r:embed="rId35"/>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38"/>
    <w:bookmarkStart w:id="42" w:name="brian-mackern"/>
    <w:p>
      <w:pPr>
        <w:pStyle w:val="Heading2"/>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title="" id="40" name="Picture"/>
            <a:graphic>
              <a:graphicData uri="http://schemas.openxmlformats.org/drawingml/2006/picture">
                <pic:pic>
                  <pic:nvPicPr>
                    <pic:cNvPr descr="./assets/SAM_5524.jpg" id="41" name="Picture"/>
                    <pic:cNvPicPr>
                      <a:picLocks noChangeArrowheads="1" noChangeAspect="1"/>
                    </pic:cNvPicPr>
                  </pic:nvPicPr>
                  <pic:blipFill>
                    <a:blip r:embed="rId39"/>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p>
    <w:bookmarkEnd w:id="42"/>
    <w:bookmarkStart w:id="46" w:name="bill-brand-y-artist-films"/>
    <w:p>
      <w:pPr>
        <w:pStyle w:val="Heading2"/>
      </w:pPr>
      <w:r>
        <w:t xml:space="preserve">Bill Brand y Artist Films</w:t>
      </w:r>
    </w:p>
    <w:p>
      <w:pPr>
        <w:pStyle w:val="FirstParagraph"/>
      </w:pPr>
      <w:r>
        <w:t xml:space="preserve">Siguiendo esta idea de lo</w:t>
      </w:r>
      <w:r>
        <w:t xml:space="preserve"> </w:t>
      </w:r>
      <w:r>
        <w:t xml:space="preserve">“</w:t>
      </w:r>
      <w:r>
        <w:t xml:space="preserve">independiente</w:t>
      </w:r>
      <w:r>
        <w:t xml:space="preserve">”</w:t>
      </w:r>
      <w:r>
        <w:t xml:space="preserve"> </w:t>
      </w:r>
      <w:r>
        <w:t xml:space="preserve">se podría retomar la temática cinematográfica, quizás pasando primero por las dificultades que plantea la preservación de obras de artistas, por fuera del circuito industrial, y particularmente de obras en formato fílmico, lo que nos traerá más cerca de la hibridación que se menciona en la tesis.</w:t>
      </w:r>
    </w:p>
    <w:p>
      <w:pPr>
        <w:pStyle w:val="BodyText"/>
      </w:pPr>
      <w:r>
        <w:t xml:space="preserve">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la obra. En esta forma de trabajo surge lo que él bautiza como</w:t>
      </w:r>
      <w:r>
        <w:t xml:space="preserve"> </w:t>
      </w:r>
      <w:r>
        <w:t xml:space="preserve">“</w:t>
      </w:r>
      <w:r>
        <w:t xml:space="preserve">The accidental preservationist</w:t>
      </w:r>
      <w:r>
        <w:t xml:space="preserve">”</w:t>
      </w:r>
      <w:r>
        <w:t xml:space="preserve"> </w:t>
      </w:r>
      <w:r>
        <w:t xml:space="preserve">(el preservador accidental), entendiéndose a él mismo como experto en preservación y conservación recién en los últimos años de su carrera, viendo en perspectiva que fueron sus intereses y sus búsquedas lo que lo que lo llevaron a descubrirse en ese sector</w:t>
      </w:r>
      <w:r>
        <w:t xml:space="preserve"> </w:t>
      </w:r>
      <w:r>
        <w:t xml:space="preserve">(Lampert, 2006, pp. 35–43)</w:t>
      </w:r>
      <w:r>
        <w:t xml:space="preserve">.</w:t>
      </w:r>
    </w:p>
    <w:p>
      <w:pPr>
        <w:pStyle w:val="BodyText"/>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w:t>
      </w:r>
      <w:r>
        <w:t xml:space="preserve"> </w:t>
      </w:r>
      <w:r>
        <w:t xml:space="preserve">(Lampert, 2006, pp. 69–78)</w:t>
      </w:r>
      <w:r>
        <w:t xml:space="preserve">.</w:t>
      </w:r>
    </w:p>
    <w:p>
      <w:pPr>
        <w:pStyle w:val="CaptionedFigure"/>
      </w:pPr>
      <w:r>
        <w:drawing>
          <wp:inline>
            <wp:extent cx="2286000" cy="1527048"/>
            <wp:effectExtent b="0" l="0" r="0" t="0"/>
            <wp:docPr descr="Brand, B. (1980). Masstransiscope Illustration. Accedido 15 de Febrero de 2024 desde https://www.billbrand.net/public-art" title="" id="44" name="Picture"/>
            <a:graphic>
              <a:graphicData uri="http://schemas.openxmlformats.org/drawingml/2006/picture">
                <pic:pic>
                  <pic:nvPicPr>
                    <pic:cNvPr descr="./assets/masstransiscope+illustration.jpg" id="45" name="Picture"/>
                    <pic:cNvPicPr>
                      <a:picLocks noChangeArrowheads="1" noChangeAspect="1"/>
                    </pic:cNvPicPr>
                  </pic:nvPicPr>
                  <pic:blipFill>
                    <a:blip r:embed="rId43"/>
                    <a:stretch>
                      <a:fillRect/>
                    </a:stretch>
                  </pic:blipFill>
                  <pic:spPr bwMode="auto">
                    <a:xfrm>
                      <a:off x="0" y="0"/>
                      <a:ext cx="2286000" cy="1527048"/>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p>
    <w:bookmarkEnd w:id="46"/>
    <w:bookmarkStart w:id="59" w:name="computer-art-en-celuloide-y-en-papel"/>
    <w:p>
      <w:pPr>
        <w:pStyle w:val="Heading2"/>
      </w:pPr>
      <w:r>
        <w:t xml:space="preserve">Computer Art en celuloide y en papel</w:t>
      </w:r>
    </w:p>
    <w:p>
      <w:pPr>
        <w:pStyle w:val="FirstParagraph"/>
      </w:pPr>
      <w:r>
        <w:t xml:space="preserve">Siguiendo con las hibridaciones, 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odyText"/>
      </w:pPr>
      <w:r>
        <w:t xml:space="preserve">“</w:t>
      </w:r>
      <w:r>
        <w:t xml:space="preserve">In the early days, computing was a blind process. Artist gave instructions using punch cards but wouldn’t see the results of their program for hours or even days.</w:t>
      </w:r>
      <w:r>
        <w:t xml:space="preserve">”</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p>
    <w:p>
      <w:pPr>
        <w:pStyle w:val="CaptionedFigure"/>
      </w:pPr>
      <w:r>
        <w:drawing>
          <wp:inline>
            <wp:extent cx="2926080" cy="2231136"/>
            <wp:effectExtent b="0" l="0" r="0" t="0"/>
            <wp:docPr descr="Whitney, J., &amp; Whitney, J. (1947). Pacoima Court studio, Studio City, CA. . Whitney Editions™, Los Angeles, CA. Accedido 15 de Febrero de 2024 desde https://canyoncinema.com/2023/03/14/new-artist-members-john-and-james-whitney/ (Canyon Cinema, n.d.)" title="" id="48" name="Picture"/>
            <a:graphic>
              <a:graphicData uri="http://schemas.openxmlformats.org/drawingml/2006/picture">
                <pic:pic>
                  <pic:nvPicPr>
                    <pic:cNvPr descr="./assets/Whitneys_1_Medium.jpeg" id="49" name="Picture"/>
                    <pic:cNvPicPr>
                      <a:picLocks noChangeArrowheads="1" noChangeAspect="1"/>
                    </pic:cNvPicPr>
                  </pic:nvPicPr>
                  <pic:blipFill>
                    <a:blip r:embed="rId47"/>
                    <a:stretch>
                      <a:fillRect/>
                    </a:stretch>
                  </pic:blipFill>
                  <pic:spPr bwMode="auto">
                    <a:xfrm>
                      <a:off x="0" y="0"/>
                      <a:ext cx="2926080" cy="2231136"/>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 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n.d.)</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 __Matrix I_,</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51" name="Picture"/>
            <a:graphic>
              <a:graphicData uri="http://schemas.openxmlformats.org/drawingml/2006/picture">
                <pic:pic>
                  <pic:nvPicPr>
                    <pic:cNvPr descr="./assets/matrix.jpg" id="52" name="Picture"/>
                    <pic:cNvPicPr>
                      <a:picLocks noChangeArrowheads="1" noChangeAspect="1"/>
                    </pic:cNvPicPr>
                  </pic:nvPicPr>
                  <pic:blipFill>
                    <a:blip r:embed="rId5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p>
      <w:pPr>
        <w:pStyle w:val="BodyText"/>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 Valyi-Nagy hace una observación muy atinada con respecto al soporte principal de Molnar:</w:t>
      </w:r>
    </w:p>
    <w:p>
      <w:pPr>
        <w:pStyle w:val="BodyText"/>
      </w:pPr>
      <w:r>
        <w:t xml:space="preserve">“</w:t>
      </w:r>
      <w:r>
        <w:t xml:space="preserve">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t xml:space="preserve">”</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850382"/>
            <wp:effectExtent b="0" l="0" r="0" t="0"/>
            <wp:docPr descr="Vera Molnar in her Paris studio in 2018. Galerie Oniris–Rennes. Accedido 16 de Febrero desde https://news.artnet.com/art-world/vera-molnar-venice-biennale-2098046" title="" id="54" name="Picture"/>
            <a:graphic>
              <a:graphicData uri="http://schemas.openxmlformats.org/drawingml/2006/picture">
                <pic:pic>
                  <pic:nvPicPr>
                    <pic:cNvPr descr="./assets/Ofisx-1920x1285.jpg" id="55" name="Picture"/>
                    <pic:cNvPicPr>
                      <a:picLocks noChangeArrowheads="1" noChangeAspect="1"/>
                    </pic:cNvPicPr>
                  </pic:nvPicPr>
                  <pic:blipFill>
                    <a:blip r:embed="rId53"/>
                    <a:stretch>
                      <a:fillRect/>
                    </a:stretch>
                  </pic:blipFill>
                  <pic:spPr bwMode="auto">
                    <a:xfrm>
                      <a:off x="0" y="0"/>
                      <a:ext cx="5753100" cy="3850382"/>
                    </a:xfrm>
                    <a:prstGeom prst="rect">
                      <a:avLst/>
                    </a:prstGeom>
                    <a:noFill/>
                    <a:ln w="9525">
                      <a:noFill/>
                      <a:headEnd/>
                      <a:tailEnd/>
                    </a:ln>
                  </pic:spPr>
                </pic:pic>
              </a:graphicData>
            </a:graphic>
          </wp:inline>
        </w:drawing>
      </w:r>
    </w:p>
    <w:p>
      <w:pPr>
        <w:pStyle w:val="ImageCaption"/>
      </w:pPr>
      <w:r>
        <w:rPr>
          <w:i/>
          <w:iCs/>
        </w:rPr>
        <w:t xml:space="preserve">Vera Molnar in her Paris studio in 2018</w:t>
      </w:r>
      <w:r>
        <w:t xml:space="preserve">. Galerie Oniris–Rennes. Accedido 16 de Febrero desde https://news.artnet.com/art-world/vera-molnar-venice-biennale-2098046</w:t>
      </w:r>
    </w:p>
    <w:p>
      <w:pPr>
        <w:pStyle w:val="BodyText"/>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Dickson, W. K.-L. (1889). Edison Kinetoscopic Record of a Sneeze. (Dickson, 1889). A la derecha: Frank Wylie, S. (2005). Paper print of The Untamable Whiskers (Le roi du maquillage, 1904), Georges Méliès greeting to the camera. (Ohio, 27 October 2005, 04:50:39)" title="" id="57" name="Picture"/>
            <a:graphic>
              <a:graphicData uri="http://schemas.openxmlformats.org/drawingml/2006/picture">
                <pic:pic>
                  <pic:nvPicPr>
                    <pic:cNvPr descr="./assets/Edison.jpg" id="58" name="Picture"/>
                    <pic:cNvPicPr>
                      <a:picLocks noChangeArrowheads="1" noChangeAspect="1"/>
                    </pic:cNvPicPr>
                  </pic:nvPicPr>
                  <pic:blipFill>
                    <a:blip r:embed="rId56"/>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Dickson, W. K.-L. (1889).</w:t>
      </w:r>
      <w:r>
        <w:t xml:space="preserve"> </w:t>
      </w:r>
      <w:r>
        <w:rPr>
          <w:i/>
          <w:iCs/>
        </w:rPr>
        <w:t xml:space="preserve">Edison Kinetoscopic Record of a Sneeze</w:t>
      </w:r>
      <w:r>
        <w:t xml:space="preserve">.</w:t>
      </w:r>
      <w:r>
        <w:t xml:space="preserve"> </w:t>
      </w:r>
      <w:r>
        <w:t xml:space="preserve">(Dickson, 1889)</w:t>
      </w:r>
      <w:r>
        <w:t xml:space="preserve">. A la derecha: Frank Wylie, S. (2005).</w:t>
      </w:r>
      <w:r>
        <w:t xml:space="preserve"> </w:t>
      </w:r>
      <w:r>
        <w:rPr>
          <w:i/>
          <w:iCs/>
        </w:rPr>
        <w:t xml:space="preserve">Paper print of The Untamable Whiskers (Le roi du maquillage, 1904), Georges Méliès greeting to the camera</w:t>
      </w:r>
      <w:r>
        <w:t xml:space="preserve">.</w:t>
      </w:r>
      <w:r>
        <w:t xml:space="preserve"> </w:t>
      </w:r>
      <w:r>
        <w:t xml:space="preserve">(Ohio, 27 October 2005, 04:50:39)</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p>
    <w:bookmarkEnd w:id="59"/>
    <w:bookmarkStart w:id="67" w:name="datos-en-celuloide"/>
    <w:p>
      <w:pPr>
        <w:pStyle w:val="Heading2"/>
      </w:pPr>
      <w:r>
        <w:t xml:space="preserve">Datos en celuloide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60"/>
      </w:r>
      <w:r>
        <w:t xml:space="preserve">.</w:t>
      </w:r>
    </w:p>
    <w:p>
      <w:pPr>
        <w:pStyle w:val="CaptionedFigure"/>
      </w:pPr>
      <w:r>
        <w:drawing>
          <wp:inline>
            <wp:extent cx="5753100" cy="3236118"/>
            <wp:effectExtent b="0" l="0" r="0" t="0"/>
            <wp:docPr descr="Piql. Piql - Data Regeneration. 2021. Vimeo, https://vimeo.com/516428662" title="" id="62" name="Picture"/>
            <a:graphic>
              <a:graphicData uri="http://schemas.openxmlformats.org/drawingml/2006/picture">
                <pic:pic>
                  <pic:nvPicPr>
                    <pic:cNvPr descr="./assets/piql2.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CaptionedFigure"/>
      </w:pPr>
      <w:r>
        <w:drawing>
          <wp:inline>
            <wp:extent cx="5753100" cy="3236118"/>
            <wp:effectExtent b="0" l="0" r="0" t="0"/>
            <wp:docPr descr="Piql. Piql - Data Regeneration. 2021. Vimeo, https://vimeo.com/516428662" title="" id="65" name="Picture"/>
            <a:graphic>
              <a:graphicData uri="http://schemas.openxmlformats.org/drawingml/2006/picture">
                <pic:pic>
                  <pic:nvPicPr>
                    <pic:cNvPr descr="./assets/piql.jpg" id="66" name="Picture"/>
                    <pic:cNvPicPr>
                      <a:picLocks noChangeArrowheads="1" noChangeAspect="1"/>
                    </pic:cNvPicPr>
                  </pic:nvPicPr>
                  <pic:blipFill>
                    <a:blip r:embed="rId64"/>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67"/>
    <w:bookmarkStart w:id="71" w:name="X424f34c36b28e7f25c71b122c5a46dc1da8fb48"/>
    <w:p>
      <w:pPr>
        <w:pStyle w:val="Heading2"/>
      </w:pPr>
      <w:r>
        <w:t xml:space="preserve">La Web Permanente: sistemas descentralizados de preservación</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What Exactly is Web3? by Juan Benet at Web3 Summit 2018. Youtube, https://www.youtube.com/watch?v=l44z35vabvA" title="" id="69" name="Picture"/>
            <a:graphic>
              <a:graphicData uri="http://schemas.openxmlformats.org/drawingml/2006/picture">
                <pic:pic>
                  <pic:nvPicPr>
                    <pic:cNvPr descr="./assets/benet.png" id="70" name="Picture"/>
                    <pic:cNvPicPr>
                      <a:picLocks noChangeArrowheads="1" noChangeAspect="1"/>
                    </pic:cNvPicPr>
                  </pic:nvPicPr>
                  <pic:blipFill>
                    <a:blip r:embed="rId68"/>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rPr>
          <w:i/>
          <w:iCs/>
        </w:rPr>
        <w:t xml:space="preserve">What Exactly is Web3? by Juan Benet at Web3 Summit 2018. Youtube</w:t>
      </w:r>
      <w:r>
        <w:t xml:space="preserve">, https://www.youtube.com/watch?v=l44z35vabvA</w:t>
      </w:r>
    </w:p>
    <w:p>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w:t>
      </w:r>
      <w:r>
        <w:t xml:space="preserve">El Sistema de Archivos Interplanetario (del inglésː InterPlanetary File System - IPFS), es un sistema de guardado de archivos “en la nube</w:t>
      </w:r>
      <w:r>
        <w:t xml:space="preserve">”</w:t>
      </w:r>
      <w:r>
        <w:t xml:space="preserve"> </w:t>
      </w:r>
      <w:r>
        <w:t xml:space="preserve">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el artículo de la revista norteamericana WIRED. En ella comparan la obsolescencia de los floppy disk con la de muchísimos sitios web ahora extintos, la centralización que implica el Internet Archive,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bookmarkEnd w:id="71"/>
    <w:bookmarkStart w:id="73" w:name="X887b41380ce1c536f0e7224ef8666073c151817"/>
    <w:p>
      <w:pPr>
        <w:pStyle w:val="Heading2"/>
      </w:pPr>
      <w:r>
        <w:t xml:space="preserve">La imagen pobre y los archivos involuntarios</w:t>
      </w:r>
    </w:p>
    <w:p>
      <w:pPr>
        <w:pStyle w:val="FirstParagraph"/>
      </w:pPr>
      <w:r>
        <w:t xml:space="preserve">Si bien ya muy citada, se pueden reciclar y rescatar las palabras de Hito Steyerl alrededor de esta otra manera de distribución y democratización de la información,</w:t>
      </w:r>
      <w:r>
        <w:t xml:space="preserve"> </w:t>
      </w:r>
      <w:r>
        <w:t xml:space="preserve">“</w:t>
      </w:r>
      <w:r>
        <w:t xml:space="preserve">la imagen pobre</w:t>
      </w:r>
      <w:r>
        <w:t xml:space="preserve">”</w:t>
      </w:r>
      <w:r>
        <w:t xml:space="preserve">: las</w:t>
      </w:r>
      <w:r>
        <w:t xml:space="preserve"> </w:t>
      </w:r>
      <w:r>
        <w:t xml:space="preserve">“</w:t>
      </w:r>
      <w:r>
        <w:t xml:space="preserve">copias en movimiento</w:t>
      </w:r>
      <w:r>
        <w:t xml:space="preserve">”</w:t>
      </w:r>
      <w:r>
        <w:t xml:space="preserve">.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r>
        <w:t xml:space="preserve"> </w:t>
      </w:r>
      <w:r>
        <w:t xml:space="preserve">(Steyerl et al., 2014, p. 38)</w:t>
      </w:r>
      <w:r>
        <w:t xml:space="preserve">.</w:t>
      </w:r>
    </w:p>
    <w:p>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hibridación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w:t>
      </w:r>
    </w:p>
    <w:p>
      <w:pPr>
        <w:pStyle w:val="BodyText"/>
      </w:pPr>
      <w:r>
        <w:t xml:space="preserve">De esta forma, no parece descabellada la idea de transferir obras digitales a fílmico, o incluso subirlas (o mintearlas</w:t>
      </w:r>
      <w:r>
        <w:rPr>
          <w:rStyle w:val="FootnoteReference"/>
        </w:rPr>
        <w:footnoteReference w:id="72"/>
      </w:r>
      <w:r>
        <w:t xml:space="preserve">) a una IPFS vinculada a la Blockchain. Todo este proceso híbrido funciona como un experimento para</w:t>
      </w:r>
      <w:r>
        <w:t xml:space="preserve"> </w:t>
      </w:r>
      <w:r>
        <w:t xml:space="preserve">“</w:t>
      </w:r>
      <w:r>
        <w:t xml:space="preserve">preservar la memoria y la historia</w:t>
      </w:r>
      <w:r>
        <w:t xml:space="preserve">”</w:t>
      </w:r>
      <w:r>
        <w:t xml:space="preserve"> </w:t>
      </w:r>
      <w:r>
        <w:t xml:space="preserve">de nuestras creaciones. Esto es lo que se verá en la segunda parte de la tesis, donde se llevará a cabo una práctica híbrida de tecnologías de preservación y reproducción para obras generativas, con fines estéticos y experimentales, llamados</w:t>
      </w:r>
      <w:r>
        <w:t xml:space="preserve"> </w:t>
      </w:r>
      <w:r>
        <w:t xml:space="preserve">“</w:t>
      </w:r>
      <w:r>
        <w:t xml:space="preserve">Films Automáticos</w:t>
      </w:r>
      <w:r>
        <w:t xml:space="preserve">”</w:t>
      </w:r>
      <w:r>
        <w:t xml:space="preserve">.</w:t>
      </w:r>
    </w:p>
    <w:bookmarkEnd w:id="73"/>
    <w:bookmarkEnd w:id="74"/>
    <w:bookmarkStart w:id="102" w:name="bibliografía"/>
    <w:p>
      <w:pPr>
        <w:pStyle w:val="Heading1"/>
      </w:pPr>
      <w:r>
        <w:t xml:space="preserve">Bibliografía</w:t>
      </w:r>
    </w:p>
    <w:bookmarkStart w:id="101" w:name="refs"/>
    <w:bookmarkStart w:id="75"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75"/>
    <w:bookmarkStart w:id="76"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76"/>
    <w:bookmarkStart w:id="77"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77"/>
    <w:bookmarkStart w:id="78"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78"/>
    <w:bookmarkStart w:id="79"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79"/>
    <w:bookmarkStart w:id="80" w:name="ref-CanyonCinemaNew"/>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(n.d.).</w:t>
      </w:r>
    </w:p>
    <w:bookmarkEnd w:id="80"/>
    <w:bookmarkStart w:id="81" w:name="ref-cappaNitratoArgentinoHistoria2019"/>
    <w:p>
      <w:pPr>
        <w:pStyle w:val="Bibliography"/>
      </w:pPr>
      <w:r>
        <w:t xml:space="preserve">Cappa, C., Levinson, A., Yablón, S., Varela, L., Giacomini, F., &amp; Sepich, J. (2019).</w:t>
      </w:r>
      <w:r>
        <w:t xml:space="preserve"> </w:t>
      </w:r>
      <w:r>
        <w:rPr>
          <w:i/>
          <w:iCs/>
        </w:rPr>
        <w:t xml:space="preserve">Nitrato argentino, una historia del cine de los primeros tiempos</w:t>
      </w:r>
      <w:r>
        <w:t xml:space="preserve">.</w:t>
      </w:r>
      <w:r>
        <w:t xml:space="preserve"> </w:t>
      </w:r>
      <w:r>
        <w:t xml:space="preserve">Museo del Cine Pablo Ducros Hicken</w:t>
      </w:r>
      <w:r>
        <w:t xml:space="preserve">.</w:t>
      </w:r>
    </w:p>
    <w:bookmarkEnd w:id="81"/>
    <w:bookmarkStart w:id="82" w:name="ref-dicksonFrancaisMorceauFilm1889"/>
    <w:p>
      <w:pPr>
        <w:pStyle w:val="Bibliography"/>
      </w:pPr>
      <w:r>
        <w:t xml:space="preserve">Dickson, W. K.-L. (1889).</w:t>
      </w:r>
      <w:r>
        <w:t xml:space="preserve"> </w:t>
      </w:r>
      <w:r>
        <w:rPr>
          <w:i/>
          <w:iCs/>
        </w:rPr>
        <w:t xml:space="preserve">Fran</w:t>
      </w:r>
      <w:r>
        <w:rPr>
          <w:i/>
          <w:iCs/>
        </w:rPr>
        <w:t xml:space="preserve">ç</w:t>
      </w:r>
      <w:r>
        <w:rPr>
          <w:i/>
          <w:iCs/>
        </w:rPr>
        <w:t xml:space="preserve">ais :</w:t>
      </w:r>
      <w:r>
        <w:rPr>
          <w:i/>
          <w:iCs/>
        </w:rPr>
        <w:t xml:space="preserve"> </w:t>
      </w:r>
      <w:r>
        <w:rPr>
          <w:i/>
          <w:iCs/>
        </w:rPr>
        <w:t xml:space="preserve">Morceau</w:t>
      </w:r>
      <w:r>
        <w:rPr>
          <w:i/>
          <w:iCs/>
        </w:rPr>
        <w:t xml:space="preserve"> </w:t>
      </w:r>
      <w:r>
        <w:rPr>
          <w:i/>
          <w:iCs/>
        </w:rPr>
        <w:t xml:space="preserve">du film</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w:t>
      </w:r>
      <w:r>
        <w:rPr>
          <w:i/>
          <w:iCs/>
        </w:rPr>
        <w:t xml:space="preserve">sur</w:t>
      </w:r>
      <w:r>
        <w:rPr>
          <w:i/>
          <w:iCs/>
        </w:rPr>
        <w:t xml:space="preserve"> </w:t>
      </w:r>
      <w:r>
        <w:rPr>
          <w:i/>
          <w:iCs/>
        </w:rPr>
        <w:t xml:space="preserve">Kin</w:t>
      </w:r>
      <w:r>
        <w:rPr>
          <w:i/>
          <w:iCs/>
        </w:rPr>
        <w:t xml:space="preserve">é</w:t>
      </w:r>
      <w:r>
        <w:rPr>
          <w:i/>
          <w:iCs/>
        </w:rPr>
        <w:t xml:space="preserve">toscopeEnglish</w:t>
      </w:r>
      <w:r>
        <w:rPr>
          <w:i/>
          <w:iCs/>
        </w:rPr>
        <w:t xml:space="preserve">:</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also known as</w:t>
      </w:r>
      <w:r>
        <w:rPr>
          <w:i/>
          <w:iCs/>
        </w:rPr>
        <w:t xml:space="preserve"> </w:t>
      </w:r>
      <w:r>
        <w:rPr>
          <w:i/>
          <w:iCs/>
        </w:rPr>
        <w:t xml:space="preserve">Fred Ott</w:t>
      </w:r>
      <w:r>
        <w:rPr>
          <w:i/>
          <w:iCs/>
        </w:rPr>
        <w:t xml:space="preserve">’s</w:t>
      </w:r>
      <w:r>
        <w:rPr>
          <w:i/>
          <w:iCs/>
        </w:rPr>
        <w:t xml:space="preserve"> </w:t>
      </w:r>
      <w:r>
        <w:rPr>
          <w:i/>
          <w:iCs/>
        </w:rPr>
        <w:t xml:space="preserve">Sneeze</w:t>
      </w:r>
      <w:r>
        <w:t xml:space="preserve">.</w:t>
      </w:r>
    </w:p>
    <w:bookmarkEnd w:id="82"/>
    <w:bookmarkStart w:id="83"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83"/>
    <w:bookmarkStart w:id="84"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84"/>
    <w:bookmarkStart w:id="85"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85"/>
    <w:bookmarkStart w:id="86"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86"/>
    <w:bookmarkStart w:id="87" w:name="ref-lampertResultsYouCan2006"/>
    <w:p>
      <w:pPr>
        <w:pStyle w:val="Bibliography"/>
      </w:pPr>
      <w:r>
        <w:t xml:space="preserve">Lampert, Andrew. (2006).</w:t>
      </w:r>
      <w:r>
        <w:t xml:space="preserve"> </w:t>
      </w:r>
      <w:r>
        <w:rPr>
          <w:i/>
          <w:iCs/>
        </w:rPr>
        <w:t xml:space="preserve">Results you can’t refuse : celebrating 30 years of BB Optics</w:t>
      </w:r>
      <w:r>
        <w:t xml:space="preserve">.</w:t>
      </w:r>
      <w:r>
        <w:t xml:space="preserve"> </w:t>
      </w:r>
      <w:r>
        <w:t xml:space="preserve">Anthology Film Archives</w:t>
      </w:r>
      <w:r>
        <w:t xml:space="preserve">.</w:t>
      </w:r>
    </w:p>
    <w:bookmarkEnd w:id="87"/>
    <w:bookmarkStart w:id="88"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88"/>
    <w:bookmarkStart w:id="89"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89"/>
    <w:bookmarkStart w:id="90" w:name="ref-ohioEnglishPaperPrint2005"/>
    <w:p>
      <w:pPr>
        <w:pStyle w:val="Bibliography"/>
      </w:pPr>
      <w:r>
        <w:t xml:space="preserve">Ohio, L. of C. M. P. C. C., Lab Supervisor. (27 October 2005, 04:50:39).</w:t>
      </w:r>
      <w:r>
        <w:t xml:space="preserve"> </w:t>
      </w:r>
      <w:r>
        <w:rPr>
          <w:i/>
          <w:iCs/>
        </w:rPr>
        <w:t xml:space="preserve">English:</w:t>
      </w:r>
      <w:r>
        <w:rPr>
          <w:i/>
          <w:iCs/>
        </w:rPr>
        <w:t xml:space="preserve"> </w:t>
      </w:r>
      <w:r>
        <w:rPr>
          <w:i/>
          <w:iCs/>
        </w:rPr>
        <w:t xml:space="preserve">Paper</w:t>
      </w:r>
      <w:r>
        <w:rPr>
          <w:i/>
          <w:iCs/>
        </w:rPr>
        <w:t xml:space="preserve"> </w:t>
      </w:r>
      <w:r>
        <w:rPr>
          <w:i/>
          <w:iCs/>
        </w:rPr>
        <w:t xml:space="preserve">print of</w:t>
      </w:r>
      <w:r>
        <w:rPr>
          <w:i/>
          <w:iCs/>
        </w:rPr>
        <w:t xml:space="preserve"> </w:t>
      </w:r>
      <w:r>
        <w:rPr>
          <w:i/>
          <w:iCs/>
        </w:rPr>
        <w:t xml:space="preserve">The Untamable Whiskers</w:t>
      </w:r>
      <w:r>
        <w:rPr>
          <w:i/>
          <w:iCs/>
        </w:rPr>
        <w:t xml:space="preserve"> </w:t>
      </w:r>
      <w:r>
        <w:rPr>
          <w:i/>
          <w:iCs/>
        </w:rPr>
        <w:t xml:space="preserve">(</w:t>
      </w:r>
      <w:r>
        <w:rPr>
          <w:i/>
          <w:iCs/>
        </w:rPr>
        <w:t xml:space="preserve">Le</w:t>
      </w:r>
      <w:r>
        <w:rPr>
          <w:i/>
          <w:iCs/>
        </w:rPr>
        <w:t xml:space="preserve"> </w:t>
      </w:r>
      <w:r>
        <w:rPr>
          <w:i/>
          <w:iCs/>
        </w:rPr>
        <w:t xml:space="preserve">roi du maquillage, 1904),</w:t>
      </w:r>
      <w:r>
        <w:rPr>
          <w:i/>
          <w:iCs/>
        </w:rPr>
        <w:t xml:space="preserve"> </w:t>
      </w:r>
      <w:r>
        <w:rPr>
          <w:i/>
          <w:iCs/>
        </w:rPr>
        <w:t xml:space="preserve">Georges M</w:t>
      </w:r>
      <w:r>
        <w:rPr>
          <w:i/>
          <w:iCs/>
        </w:rPr>
        <w:t xml:space="preserve">é</w:t>
      </w:r>
      <w:r>
        <w:rPr>
          <w:i/>
          <w:iCs/>
        </w:rPr>
        <w:t xml:space="preserve">li</w:t>
      </w:r>
      <w:r>
        <w:rPr>
          <w:i/>
          <w:iCs/>
        </w:rPr>
        <w:t xml:space="preserve">è</w:t>
      </w:r>
      <w:r>
        <w:rPr>
          <w:i/>
          <w:iCs/>
        </w:rPr>
        <w:t xml:space="preserve">s</w:t>
      </w:r>
      <w:r>
        <w:rPr>
          <w:i/>
          <w:iCs/>
        </w:rPr>
        <w:t xml:space="preserve"> </w:t>
      </w:r>
      <w:r>
        <w:rPr>
          <w:i/>
          <w:iCs/>
        </w:rPr>
        <w:t xml:space="preserve">greeting to the camera</w:t>
      </w:r>
      <w:r>
        <w:t xml:space="preserve">.</w:t>
      </w:r>
    </w:p>
    <w:bookmarkEnd w:id="90"/>
    <w:bookmarkStart w:id="91" w:name="ref-PaperPrint2023"/>
    <w:p>
      <w:pPr>
        <w:pStyle w:val="Bibliography"/>
      </w:pPr>
      <w:r>
        <w:t xml:space="preserve">Paper print. (2023).</w:t>
      </w:r>
      <w:r>
        <w:t xml:space="preserve"> </w:t>
      </w:r>
      <w:r>
        <w:rPr>
          <w:i/>
          <w:iCs/>
        </w:rPr>
        <w:t xml:space="preserve">Wikipedia</w:t>
      </w:r>
      <w:r>
        <w:t xml:space="preserve">.</w:t>
      </w:r>
    </w:p>
    <w:bookmarkEnd w:id="91"/>
    <w:bookmarkStart w:id="92"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92"/>
    <w:bookmarkStart w:id="93"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3"/>
    <w:bookmarkStart w:id="94"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4"/>
    <w:bookmarkStart w:id="95"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5"/>
    <w:bookmarkStart w:id="96"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96"/>
    <w:bookmarkStart w:id="97"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 </w:t>
      </w:r>
      <w:r>
        <w:t xml:space="preserve">Creative Arts Television</w:t>
      </w:r>
      <w:r>
        <w:t xml:space="preserve">.</w:t>
      </w:r>
    </w:p>
    <w:bookmarkEnd w:id="97"/>
    <w:bookmarkStart w:id="98"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Weaving Variations</w:t>
      </w:r>
      <w:r>
        <w:t xml:space="preserve">. In</w:t>
      </w:r>
      <w:r>
        <w:t xml:space="preserve"> </w:t>
      </w:r>
      <w:r>
        <w:rPr>
          <w:i/>
          <w:iCs/>
        </w:rPr>
        <w:t xml:space="preserve">HOLO</w:t>
      </w:r>
      <w:r>
        <w:t xml:space="preserve">.</w:t>
      </w:r>
    </w:p>
    <w:bookmarkEnd w:id="98"/>
    <w:bookmarkStart w:id="99" w:name="ref-whitneyDigitalHarmony1980"/>
    <w:p>
      <w:pPr>
        <w:pStyle w:val="Bibliography"/>
      </w:pPr>
      <w:r>
        <w:t xml:space="preserve">Whitney, J. (1980).</w:t>
      </w:r>
      <w:r>
        <w:t xml:space="preserve"> </w:t>
      </w:r>
      <w:r>
        <w:rPr>
          <w:i/>
          <w:iCs/>
        </w:rPr>
        <w:t xml:space="preserve">Digital harmony</w:t>
      </w:r>
      <w:r>
        <w:t xml:space="preserve">.</w:t>
      </w:r>
      <w:r>
        <w:t xml:space="preserve"> </w:t>
      </w:r>
      <w:r>
        <w:t xml:space="preserve">Byte Books Peterborough, NH</w:t>
      </w:r>
      <w:r>
        <w:t xml:space="preserve">.</w:t>
      </w:r>
    </w:p>
    <w:bookmarkEnd w:id="99"/>
    <w:bookmarkStart w:id="100"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00"/>
    <w:bookmarkEnd w:id="101"/>
    <w:bookmarkEnd w:id="102"/>
    <w:sectPr w:rsidR="003A6E1E" w:rsidSect="00725F48">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60">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72">
    <w:p>
      <w:pPr>
        <w:pStyle w:val="FootnoteText"/>
      </w:pPr>
      <w:r>
        <w:rPr>
          <w:rStyle w:val="FootnoteReference"/>
        </w:rPr>
        <w:footnoteRef/>
      </w:r>
      <w:r>
        <w:t xml:space="preserve"> </w:t>
      </w:r>
      <w:r>
        <w:t xml:space="preserve">Mintear un NFT (como</w:t>
      </w:r>
      <w:r>
        <w:t xml:space="preserve"> </w:t>
      </w:r>
      <w:r>
        <w:t xml:space="preserve">“</w:t>
      </w:r>
      <w:r>
        <w:t xml:space="preserve">acuñar un token no fungible</w:t>
      </w:r>
      <w:r>
        <w:t xml:space="preserve">”</w:t>
      </w:r>
      <w:r>
        <w:t xml:space="preserve">), es publicar un activo digital único en la blockchain para que pueda comprarse, venderse y/o intercambiarse.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1B593B"/>
    <w:rsid w:val="002706EA"/>
    <w:rsid w:val="002B1C89"/>
    <w:rsid w:val="002C6B38"/>
    <w:rsid w:val="003A6E1E"/>
    <w:rsid w:val="00412BB9"/>
    <w:rsid w:val="004160B7"/>
    <w:rsid w:val="004371F4"/>
    <w:rsid w:val="004612A6"/>
    <w:rsid w:val="00534C4F"/>
    <w:rsid w:val="00653575"/>
    <w:rsid w:val="00696DE1"/>
    <w:rsid w:val="006D4543"/>
    <w:rsid w:val="00725F48"/>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D51431"/>
    <w:pPr>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4371F4"/>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D51431"/>
    <w:pPr>
      <w:spacing w:after="100"/>
      <w:ind w:left="480"/>
    </w:p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jpg" /><Relationship Type="http://schemas.openxmlformats.org/officeDocument/2006/relationships/image" Id="rId53" Target="media/rId53.jpg" /><Relationship Type="http://schemas.openxmlformats.org/officeDocument/2006/relationships/image" Id="rId39" Target="media/rId39.jpg" /><Relationship Type="http://schemas.openxmlformats.org/officeDocument/2006/relationships/image" Id="rId47" Target="media/rId47.jpg" /><Relationship Type="http://schemas.openxmlformats.org/officeDocument/2006/relationships/image" Id="rId68" Target="media/rId68.png" /><Relationship Type="http://schemas.openxmlformats.org/officeDocument/2006/relationships/image" Id="rId35" Target="media/rId35.jpg" /><Relationship Type="http://schemas.openxmlformats.org/officeDocument/2006/relationships/image" Id="rId43" Target="media/rId43.jpg" /><Relationship Type="http://schemas.openxmlformats.org/officeDocument/2006/relationships/image" Id="rId50" Target="media/rId50.jpg" /><Relationship Type="http://schemas.openxmlformats.org/officeDocument/2006/relationships/image" Id="rId64" Target="media/rId64.jpg" /><Relationship Type="http://schemas.openxmlformats.org/officeDocument/2006/relationships/image" Id="rId61" Target="media/rId61.jpg" /><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4999</Words>
  <Characters>28497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33430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2024-02-20T22:24:51Z</dcterms:created>
  <dcterms:modified xsi:type="dcterms:W3CDTF">2024-02-20T22:24:51Z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