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F26069" w14:textId="77777777" w:rsidR="00D96A54" w:rsidRDefault="00000000">
      <w:pPr>
        <w:pStyle w:val="Title"/>
      </w:pPr>
      <w:r>
        <w:t>La preservación involuntaria: Estrategias híbridas de permanencia en obras de arte digital</w:t>
      </w:r>
    </w:p>
    <w:p w14:paraId="556943A1" w14:textId="77777777" w:rsidR="00D96A54" w:rsidRDefault="00000000">
      <w:pPr>
        <w:pStyle w:val="Author"/>
      </w:pPr>
      <w:r>
        <w:t>Javier de Azkue</w:t>
      </w:r>
    </w:p>
    <w:bookmarkStart w:id="0" w:name="_Toc162595649" w:displacedByCustomXml="next"/>
    <w:sdt>
      <w:sdtPr>
        <w:rPr>
          <w:rFonts w:asciiTheme="minorHAnsi" w:eastAsiaTheme="minorHAnsi" w:hAnsiTheme="minorHAnsi" w:cstheme="minorBidi"/>
          <w:b w:val="0"/>
          <w:bCs w:val="0"/>
          <w:sz w:val="24"/>
          <w:szCs w:val="24"/>
        </w:rPr>
        <w:id w:val="1601144302"/>
        <w:docPartObj>
          <w:docPartGallery w:val="Table of Contents"/>
          <w:docPartUnique/>
        </w:docPartObj>
      </w:sdtPr>
      <w:sdtContent>
        <w:p w14:paraId="42546D20" w14:textId="77777777" w:rsidR="00D96A54" w:rsidRDefault="00000000">
          <w:pPr>
            <w:pStyle w:val="TOCHeading"/>
          </w:pPr>
          <w:r>
            <w:t>Indice</w:t>
          </w:r>
          <w:bookmarkEnd w:id="0"/>
        </w:p>
        <w:p w14:paraId="3BEB4535" w14:textId="77777777" w:rsidR="009F25F9" w:rsidRDefault="00000000">
          <w:pPr>
            <w:pStyle w:val="TOC1"/>
            <w:rPr>
              <w:rFonts w:asciiTheme="minorHAnsi" w:eastAsiaTheme="minorEastAsia" w:hAnsiTheme="minorHAnsi" w:cstheme="minorBidi"/>
              <w:noProof/>
              <w:kern w:val="2"/>
              <w:lang w:val="en-AR"/>
              <w14:ligatures w14:val="standardContextual"/>
            </w:rPr>
          </w:pPr>
          <w:r>
            <w:fldChar w:fldCharType="begin"/>
          </w:r>
          <w:r>
            <w:instrText>TOC \o "1-3" \h \z \u</w:instrText>
          </w:r>
          <w:r>
            <w:fldChar w:fldCharType="separate"/>
          </w:r>
          <w:hyperlink w:anchor="_Toc162595649" w:history="1">
            <w:r w:rsidR="009F25F9" w:rsidRPr="0013578F">
              <w:rPr>
                <w:rStyle w:val="Hyperlink"/>
                <w:noProof/>
              </w:rPr>
              <w:t>Indice</w:t>
            </w:r>
            <w:r w:rsidR="009F25F9">
              <w:rPr>
                <w:noProof/>
                <w:webHidden/>
              </w:rPr>
              <w:tab/>
            </w:r>
            <w:r w:rsidR="009F25F9">
              <w:rPr>
                <w:noProof/>
                <w:webHidden/>
              </w:rPr>
              <w:fldChar w:fldCharType="begin"/>
            </w:r>
            <w:r w:rsidR="009F25F9">
              <w:rPr>
                <w:noProof/>
                <w:webHidden/>
              </w:rPr>
              <w:instrText xml:space="preserve"> PAGEREF _Toc162595649 \h </w:instrText>
            </w:r>
            <w:r w:rsidR="009F25F9">
              <w:rPr>
                <w:noProof/>
                <w:webHidden/>
              </w:rPr>
            </w:r>
            <w:r w:rsidR="009F25F9">
              <w:rPr>
                <w:noProof/>
                <w:webHidden/>
              </w:rPr>
              <w:fldChar w:fldCharType="separate"/>
            </w:r>
            <w:r w:rsidR="009F25F9">
              <w:rPr>
                <w:noProof/>
                <w:webHidden/>
              </w:rPr>
              <w:t>2</w:t>
            </w:r>
            <w:r w:rsidR="009F25F9">
              <w:rPr>
                <w:noProof/>
                <w:webHidden/>
              </w:rPr>
              <w:fldChar w:fldCharType="end"/>
            </w:r>
          </w:hyperlink>
        </w:p>
        <w:p w14:paraId="4BCAE143" w14:textId="77777777" w:rsidR="009F25F9" w:rsidRDefault="009F25F9">
          <w:pPr>
            <w:pStyle w:val="TOC1"/>
            <w:rPr>
              <w:rFonts w:asciiTheme="minorHAnsi" w:eastAsiaTheme="minorEastAsia" w:hAnsiTheme="minorHAnsi" w:cstheme="minorBidi"/>
              <w:noProof/>
              <w:kern w:val="2"/>
              <w:lang w:val="en-AR"/>
              <w14:ligatures w14:val="standardContextual"/>
            </w:rPr>
          </w:pPr>
          <w:hyperlink w:anchor="_Toc162595650" w:history="1">
            <w:r w:rsidRPr="0013578F">
              <w:rPr>
                <w:rStyle w:val="Hyperlink"/>
                <w:noProof/>
              </w:rPr>
              <w:t>Resumen</w:t>
            </w:r>
            <w:r>
              <w:rPr>
                <w:noProof/>
                <w:webHidden/>
              </w:rPr>
              <w:tab/>
            </w:r>
            <w:r>
              <w:rPr>
                <w:noProof/>
                <w:webHidden/>
              </w:rPr>
              <w:fldChar w:fldCharType="begin"/>
            </w:r>
            <w:r>
              <w:rPr>
                <w:noProof/>
                <w:webHidden/>
              </w:rPr>
              <w:instrText xml:space="preserve"> PAGEREF _Toc162595650 \h </w:instrText>
            </w:r>
            <w:r>
              <w:rPr>
                <w:noProof/>
                <w:webHidden/>
              </w:rPr>
            </w:r>
            <w:r>
              <w:rPr>
                <w:noProof/>
                <w:webHidden/>
              </w:rPr>
              <w:fldChar w:fldCharType="separate"/>
            </w:r>
            <w:r>
              <w:rPr>
                <w:noProof/>
                <w:webHidden/>
              </w:rPr>
              <w:t>4</w:t>
            </w:r>
            <w:r>
              <w:rPr>
                <w:noProof/>
                <w:webHidden/>
              </w:rPr>
              <w:fldChar w:fldCharType="end"/>
            </w:r>
          </w:hyperlink>
        </w:p>
        <w:p w14:paraId="4130AD78" w14:textId="77777777" w:rsidR="009F25F9" w:rsidRDefault="009F25F9">
          <w:pPr>
            <w:pStyle w:val="TOC3"/>
            <w:tabs>
              <w:tab w:val="right" w:leader="dot" w:pos="9060"/>
            </w:tabs>
            <w:rPr>
              <w:rFonts w:asciiTheme="minorHAnsi" w:eastAsiaTheme="minorEastAsia" w:hAnsiTheme="minorHAnsi"/>
              <w:noProof/>
              <w:kern w:val="2"/>
              <w:lang w:val="en-AR"/>
              <w14:ligatures w14:val="standardContextual"/>
            </w:rPr>
          </w:pPr>
          <w:hyperlink w:anchor="_Toc162595651" w:history="1">
            <w:r w:rsidRPr="0013578F">
              <w:rPr>
                <w:rStyle w:val="Hyperlink"/>
                <w:noProof/>
              </w:rPr>
              <w:t>Palabras clave</w:t>
            </w:r>
            <w:r>
              <w:rPr>
                <w:noProof/>
                <w:webHidden/>
              </w:rPr>
              <w:tab/>
            </w:r>
            <w:r>
              <w:rPr>
                <w:noProof/>
                <w:webHidden/>
              </w:rPr>
              <w:fldChar w:fldCharType="begin"/>
            </w:r>
            <w:r>
              <w:rPr>
                <w:noProof/>
                <w:webHidden/>
              </w:rPr>
              <w:instrText xml:space="preserve"> PAGEREF _Toc162595651 \h </w:instrText>
            </w:r>
            <w:r>
              <w:rPr>
                <w:noProof/>
                <w:webHidden/>
              </w:rPr>
            </w:r>
            <w:r>
              <w:rPr>
                <w:noProof/>
                <w:webHidden/>
              </w:rPr>
              <w:fldChar w:fldCharType="separate"/>
            </w:r>
            <w:r>
              <w:rPr>
                <w:noProof/>
                <w:webHidden/>
              </w:rPr>
              <w:t>5</w:t>
            </w:r>
            <w:r>
              <w:rPr>
                <w:noProof/>
                <w:webHidden/>
              </w:rPr>
              <w:fldChar w:fldCharType="end"/>
            </w:r>
          </w:hyperlink>
        </w:p>
        <w:p w14:paraId="037B9E2D" w14:textId="77777777" w:rsidR="009F25F9" w:rsidRDefault="009F25F9">
          <w:pPr>
            <w:pStyle w:val="TOC1"/>
            <w:rPr>
              <w:rFonts w:asciiTheme="minorHAnsi" w:eastAsiaTheme="minorEastAsia" w:hAnsiTheme="minorHAnsi" w:cstheme="minorBidi"/>
              <w:noProof/>
              <w:kern w:val="2"/>
              <w:lang w:val="en-AR"/>
              <w14:ligatures w14:val="standardContextual"/>
            </w:rPr>
          </w:pPr>
          <w:hyperlink w:anchor="_Toc162595652" w:history="1">
            <w:r w:rsidRPr="0013578F">
              <w:rPr>
                <w:rStyle w:val="Hyperlink"/>
                <w:noProof/>
              </w:rPr>
              <w:t>I. Introducción</w:t>
            </w:r>
            <w:r>
              <w:rPr>
                <w:noProof/>
                <w:webHidden/>
              </w:rPr>
              <w:tab/>
            </w:r>
            <w:r>
              <w:rPr>
                <w:noProof/>
                <w:webHidden/>
              </w:rPr>
              <w:fldChar w:fldCharType="begin"/>
            </w:r>
            <w:r>
              <w:rPr>
                <w:noProof/>
                <w:webHidden/>
              </w:rPr>
              <w:instrText xml:space="preserve"> PAGEREF _Toc162595652 \h </w:instrText>
            </w:r>
            <w:r>
              <w:rPr>
                <w:noProof/>
                <w:webHidden/>
              </w:rPr>
            </w:r>
            <w:r>
              <w:rPr>
                <w:noProof/>
                <w:webHidden/>
              </w:rPr>
              <w:fldChar w:fldCharType="separate"/>
            </w:r>
            <w:r>
              <w:rPr>
                <w:noProof/>
                <w:webHidden/>
              </w:rPr>
              <w:t>6</w:t>
            </w:r>
            <w:r>
              <w:rPr>
                <w:noProof/>
                <w:webHidden/>
              </w:rPr>
              <w:fldChar w:fldCharType="end"/>
            </w:r>
          </w:hyperlink>
        </w:p>
        <w:p w14:paraId="386FE610" w14:textId="77777777" w:rsidR="009F25F9" w:rsidRDefault="009F25F9">
          <w:pPr>
            <w:pStyle w:val="TOC2"/>
            <w:rPr>
              <w:rFonts w:asciiTheme="minorHAnsi" w:eastAsiaTheme="minorEastAsia" w:hAnsiTheme="minorHAnsi" w:cstheme="minorBidi"/>
              <w:kern w:val="2"/>
              <w:lang w:val="en-AR"/>
              <w14:ligatures w14:val="standardContextual"/>
            </w:rPr>
          </w:pPr>
          <w:hyperlink w:anchor="_Toc162595653" w:history="1">
            <w:r w:rsidRPr="0013578F">
              <w:rPr>
                <w:rStyle w:val="Hyperlink"/>
              </w:rPr>
              <w:t>Henrietta (2014)</w:t>
            </w:r>
            <w:r>
              <w:rPr>
                <w:webHidden/>
              </w:rPr>
              <w:tab/>
            </w:r>
            <w:r>
              <w:rPr>
                <w:webHidden/>
              </w:rPr>
              <w:fldChar w:fldCharType="begin"/>
            </w:r>
            <w:r>
              <w:rPr>
                <w:webHidden/>
              </w:rPr>
              <w:instrText xml:space="preserve"> PAGEREF _Toc162595653 \h </w:instrText>
            </w:r>
            <w:r>
              <w:rPr>
                <w:webHidden/>
              </w:rPr>
            </w:r>
            <w:r>
              <w:rPr>
                <w:webHidden/>
              </w:rPr>
              <w:fldChar w:fldCharType="separate"/>
            </w:r>
            <w:r>
              <w:rPr>
                <w:webHidden/>
              </w:rPr>
              <w:t>9</w:t>
            </w:r>
            <w:r>
              <w:rPr>
                <w:webHidden/>
              </w:rPr>
              <w:fldChar w:fldCharType="end"/>
            </w:r>
          </w:hyperlink>
        </w:p>
        <w:p w14:paraId="37D9B2C1" w14:textId="77777777" w:rsidR="009F25F9" w:rsidRDefault="009F25F9">
          <w:pPr>
            <w:pStyle w:val="TOC2"/>
            <w:rPr>
              <w:rFonts w:asciiTheme="minorHAnsi" w:eastAsiaTheme="minorEastAsia" w:hAnsiTheme="minorHAnsi" w:cstheme="minorBidi"/>
              <w:kern w:val="2"/>
              <w:lang w:val="en-AR"/>
              <w14:ligatures w14:val="standardContextual"/>
            </w:rPr>
          </w:pPr>
          <w:hyperlink w:anchor="_Toc162595654" w:history="1">
            <w:r w:rsidRPr="0013578F">
              <w:rPr>
                <w:rStyle w:val="Hyperlink"/>
              </w:rPr>
              <w:t>Cuanto más se conecta, menos se conecta (2019)</w:t>
            </w:r>
            <w:r>
              <w:rPr>
                <w:webHidden/>
              </w:rPr>
              <w:tab/>
            </w:r>
            <w:r>
              <w:rPr>
                <w:webHidden/>
              </w:rPr>
              <w:fldChar w:fldCharType="begin"/>
            </w:r>
            <w:r>
              <w:rPr>
                <w:webHidden/>
              </w:rPr>
              <w:instrText xml:space="preserve"> PAGEREF _Toc162595654 \h </w:instrText>
            </w:r>
            <w:r>
              <w:rPr>
                <w:webHidden/>
              </w:rPr>
            </w:r>
            <w:r>
              <w:rPr>
                <w:webHidden/>
              </w:rPr>
              <w:fldChar w:fldCharType="separate"/>
            </w:r>
            <w:r>
              <w:rPr>
                <w:webHidden/>
              </w:rPr>
              <w:t>18</w:t>
            </w:r>
            <w:r>
              <w:rPr>
                <w:webHidden/>
              </w:rPr>
              <w:fldChar w:fldCharType="end"/>
            </w:r>
          </w:hyperlink>
        </w:p>
        <w:p w14:paraId="35AB5FC5" w14:textId="77777777" w:rsidR="009F25F9" w:rsidRDefault="009F25F9">
          <w:pPr>
            <w:pStyle w:val="TOC2"/>
            <w:rPr>
              <w:rFonts w:asciiTheme="minorHAnsi" w:eastAsiaTheme="minorEastAsia" w:hAnsiTheme="minorHAnsi" w:cstheme="minorBidi"/>
              <w:kern w:val="2"/>
              <w:lang w:val="en-AR"/>
              <w14:ligatures w14:val="standardContextual"/>
            </w:rPr>
          </w:pPr>
          <w:hyperlink w:anchor="_Toc162595655" w:history="1">
            <w:r w:rsidRPr="0013578F">
              <w:rPr>
                <w:rStyle w:val="Hyperlink"/>
              </w:rPr>
              <w:t>La preservación involuntaria</w:t>
            </w:r>
            <w:r>
              <w:rPr>
                <w:webHidden/>
              </w:rPr>
              <w:tab/>
            </w:r>
            <w:r>
              <w:rPr>
                <w:webHidden/>
              </w:rPr>
              <w:fldChar w:fldCharType="begin"/>
            </w:r>
            <w:r>
              <w:rPr>
                <w:webHidden/>
              </w:rPr>
              <w:instrText xml:space="preserve"> PAGEREF _Toc162595655 \h </w:instrText>
            </w:r>
            <w:r>
              <w:rPr>
                <w:webHidden/>
              </w:rPr>
            </w:r>
            <w:r>
              <w:rPr>
                <w:webHidden/>
              </w:rPr>
              <w:fldChar w:fldCharType="separate"/>
            </w:r>
            <w:r>
              <w:rPr>
                <w:webHidden/>
              </w:rPr>
              <w:t>23</w:t>
            </w:r>
            <w:r>
              <w:rPr>
                <w:webHidden/>
              </w:rPr>
              <w:fldChar w:fldCharType="end"/>
            </w:r>
          </w:hyperlink>
        </w:p>
        <w:p w14:paraId="0A85D140" w14:textId="77777777" w:rsidR="009F25F9" w:rsidRDefault="009F25F9">
          <w:pPr>
            <w:pStyle w:val="TOC1"/>
            <w:rPr>
              <w:rFonts w:asciiTheme="minorHAnsi" w:eastAsiaTheme="minorEastAsia" w:hAnsiTheme="minorHAnsi" w:cstheme="minorBidi"/>
              <w:noProof/>
              <w:kern w:val="2"/>
              <w:lang w:val="en-AR"/>
              <w14:ligatures w14:val="standardContextual"/>
            </w:rPr>
          </w:pPr>
          <w:hyperlink w:anchor="_Toc162595656" w:history="1">
            <w:r w:rsidRPr="0013578F">
              <w:rPr>
                <w:rStyle w:val="Hyperlink"/>
                <w:noProof/>
              </w:rPr>
              <w:t>II. Preservación y obsolescencia</w:t>
            </w:r>
            <w:r>
              <w:rPr>
                <w:noProof/>
                <w:webHidden/>
              </w:rPr>
              <w:tab/>
            </w:r>
            <w:r>
              <w:rPr>
                <w:noProof/>
                <w:webHidden/>
              </w:rPr>
              <w:fldChar w:fldCharType="begin"/>
            </w:r>
            <w:r>
              <w:rPr>
                <w:noProof/>
                <w:webHidden/>
              </w:rPr>
              <w:instrText xml:space="preserve"> PAGEREF _Toc162595656 \h </w:instrText>
            </w:r>
            <w:r>
              <w:rPr>
                <w:noProof/>
                <w:webHidden/>
              </w:rPr>
            </w:r>
            <w:r>
              <w:rPr>
                <w:noProof/>
                <w:webHidden/>
              </w:rPr>
              <w:fldChar w:fldCharType="separate"/>
            </w:r>
            <w:r>
              <w:rPr>
                <w:noProof/>
                <w:webHidden/>
              </w:rPr>
              <w:t>25</w:t>
            </w:r>
            <w:r>
              <w:rPr>
                <w:noProof/>
                <w:webHidden/>
              </w:rPr>
              <w:fldChar w:fldCharType="end"/>
            </w:r>
          </w:hyperlink>
        </w:p>
        <w:p w14:paraId="4AB93F12" w14:textId="77777777" w:rsidR="009F25F9" w:rsidRDefault="009F25F9">
          <w:pPr>
            <w:pStyle w:val="TOC2"/>
            <w:rPr>
              <w:rFonts w:asciiTheme="minorHAnsi" w:eastAsiaTheme="minorEastAsia" w:hAnsiTheme="minorHAnsi" w:cstheme="minorBidi"/>
              <w:kern w:val="2"/>
              <w:lang w:val="en-AR"/>
              <w14:ligatures w14:val="standardContextual"/>
            </w:rPr>
          </w:pPr>
          <w:hyperlink w:anchor="_Toc162595657" w:history="1">
            <w:r w:rsidRPr="0013578F">
              <w:rPr>
                <w:rStyle w:val="Hyperlink"/>
              </w:rPr>
              <w:t>El desafío de preservar</w:t>
            </w:r>
            <w:r>
              <w:rPr>
                <w:webHidden/>
              </w:rPr>
              <w:tab/>
            </w:r>
            <w:r>
              <w:rPr>
                <w:webHidden/>
              </w:rPr>
              <w:fldChar w:fldCharType="begin"/>
            </w:r>
            <w:r>
              <w:rPr>
                <w:webHidden/>
              </w:rPr>
              <w:instrText xml:space="preserve"> PAGEREF _Toc162595657 \h </w:instrText>
            </w:r>
            <w:r>
              <w:rPr>
                <w:webHidden/>
              </w:rPr>
            </w:r>
            <w:r>
              <w:rPr>
                <w:webHidden/>
              </w:rPr>
              <w:fldChar w:fldCharType="separate"/>
            </w:r>
            <w:r>
              <w:rPr>
                <w:webHidden/>
              </w:rPr>
              <w:t>26</w:t>
            </w:r>
            <w:r>
              <w:rPr>
                <w:webHidden/>
              </w:rPr>
              <w:fldChar w:fldCharType="end"/>
            </w:r>
          </w:hyperlink>
        </w:p>
        <w:p w14:paraId="3FB55F92" w14:textId="77777777" w:rsidR="009F25F9" w:rsidRDefault="009F25F9">
          <w:pPr>
            <w:pStyle w:val="TOC3"/>
            <w:tabs>
              <w:tab w:val="right" w:leader="dot" w:pos="9060"/>
            </w:tabs>
            <w:rPr>
              <w:rFonts w:asciiTheme="minorHAnsi" w:eastAsiaTheme="minorEastAsia" w:hAnsiTheme="minorHAnsi"/>
              <w:noProof/>
              <w:kern w:val="2"/>
              <w:lang w:val="en-AR"/>
              <w14:ligatures w14:val="standardContextual"/>
            </w:rPr>
          </w:pPr>
          <w:hyperlink w:anchor="_Toc162595658" w:history="1">
            <w:r w:rsidRPr="0013578F">
              <w:rPr>
                <w:rStyle w:val="Hyperlink"/>
                <w:noProof/>
              </w:rPr>
              <w:t>Orígenes, criterios y alternativas</w:t>
            </w:r>
            <w:r>
              <w:rPr>
                <w:noProof/>
                <w:webHidden/>
              </w:rPr>
              <w:tab/>
            </w:r>
            <w:r>
              <w:rPr>
                <w:noProof/>
                <w:webHidden/>
              </w:rPr>
              <w:fldChar w:fldCharType="begin"/>
            </w:r>
            <w:r>
              <w:rPr>
                <w:noProof/>
                <w:webHidden/>
              </w:rPr>
              <w:instrText xml:space="preserve"> PAGEREF _Toc162595658 \h </w:instrText>
            </w:r>
            <w:r>
              <w:rPr>
                <w:noProof/>
                <w:webHidden/>
              </w:rPr>
            </w:r>
            <w:r>
              <w:rPr>
                <w:noProof/>
                <w:webHidden/>
              </w:rPr>
              <w:fldChar w:fldCharType="separate"/>
            </w:r>
            <w:r>
              <w:rPr>
                <w:noProof/>
                <w:webHidden/>
              </w:rPr>
              <w:t>26</w:t>
            </w:r>
            <w:r>
              <w:rPr>
                <w:noProof/>
                <w:webHidden/>
              </w:rPr>
              <w:fldChar w:fldCharType="end"/>
            </w:r>
          </w:hyperlink>
        </w:p>
        <w:p w14:paraId="2C202933" w14:textId="77777777" w:rsidR="009F25F9" w:rsidRDefault="009F25F9">
          <w:pPr>
            <w:pStyle w:val="TOC3"/>
            <w:tabs>
              <w:tab w:val="right" w:leader="dot" w:pos="9060"/>
            </w:tabs>
            <w:rPr>
              <w:rFonts w:asciiTheme="minorHAnsi" w:eastAsiaTheme="minorEastAsia" w:hAnsiTheme="minorHAnsi"/>
              <w:noProof/>
              <w:kern w:val="2"/>
              <w:lang w:val="en-AR"/>
              <w14:ligatures w14:val="standardContextual"/>
            </w:rPr>
          </w:pPr>
          <w:hyperlink w:anchor="_Toc162595659" w:history="1">
            <w:r w:rsidRPr="0013578F">
              <w:rPr>
                <w:rStyle w:val="Hyperlink"/>
                <w:noProof/>
              </w:rPr>
              <w:t>Una obligación incuestionable</w:t>
            </w:r>
            <w:r>
              <w:rPr>
                <w:noProof/>
                <w:webHidden/>
              </w:rPr>
              <w:tab/>
            </w:r>
            <w:r>
              <w:rPr>
                <w:noProof/>
                <w:webHidden/>
              </w:rPr>
              <w:fldChar w:fldCharType="begin"/>
            </w:r>
            <w:r>
              <w:rPr>
                <w:noProof/>
                <w:webHidden/>
              </w:rPr>
              <w:instrText xml:space="preserve"> PAGEREF _Toc162595659 \h </w:instrText>
            </w:r>
            <w:r>
              <w:rPr>
                <w:noProof/>
                <w:webHidden/>
              </w:rPr>
            </w:r>
            <w:r>
              <w:rPr>
                <w:noProof/>
                <w:webHidden/>
              </w:rPr>
              <w:fldChar w:fldCharType="separate"/>
            </w:r>
            <w:r>
              <w:rPr>
                <w:noProof/>
                <w:webHidden/>
              </w:rPr>
              <w:t>28</w:t>
            </w:r>
            <w:r>
              <w:rPr>
                <w:noProof/>
                <w:webHidden/>
              </w:rPr>
              <w:fldChar w:fldCharType="end"/>
            </w:r>
          </w:hyperlink>
        </w:p>
        <w:p w14:paraId="68D9561A" w14:textId="77777777" w:rsidR="009F25F9" w:rsidRDefault="009F25F9">
          <w:pPr>
            <w:pStyle w:val="TOC3"/>
            <w:tabs>
              <w:tab w:val="right" w:leader="dot" w:pos="9060"/>
            </w:tabs>
            <w:rPr>
              <w:rFonts w:asciiTheme="minorHAnsi" w:eastAsiaTheme="minorEastAsia" w:hAnsiTheme="minorHAnsi"/>
              <w:noProof/>
              <w:kern w:val="2"/>
              <w:lang w:val="en-AR"/>
              <w14:ligatures w14:val="standardContextual"/>
            </w:rPr>
          </w:pPr>
          <w:hyperlink w:anchor="_Toc162595660" w:history="1">
            <w:r w:rsidRPr="0013578F">
              <w:rPr>
                <w:rStyle w:val="Hyperlink"/>
                <w:noProof/>
              </w:rPr>
              <w:t>El acceso al original</w:t>
            </w:r>
            <w:r>
              <w:rPr>
                <w:noProof/>
                <w:webHidden/>
              </w:rPr>
              <w:tab/>
            </w:r>
            <w:r>
              <w:rPr>
                <w:noProof/>
                <w:webHidden/>
              </w:rPr>
              <w:fldChar w:fldCharType="begin"/>
            </w:r>
            <w:r>
              <w:rPr>
                <w:noProof/>
                <w:webHidden/>
              </w:rPr>
              <w:instrText xml:space="preserve"> PAGEREF _Toc162595660 \h </w:instrText>
            </w:r>
            <w:r>
              <w:rPr>
                <w:noProof/>
                <w:webHidden/>
              </w:rPr>
            </w:r>
            <w:r>
              <w:rPr>
                <w:noProof/>
                <w:webHidden/>
              </w:rPr>
              <w:fldChar w:fldCharType="separate"/>
            </w:r>
            <w:r>
              <w:rPr>
                <w:noProof/>
                <w:webHidden/>
              </w:rPr>
              <w:t>31</w:t>
            </w:r>
            <w:r>
              <w:rPr>
                <w:noProof/>
                <w:webHidden/>
              </w:rPr>
              <w:fldChar w:fldCharType="end"/>
            </w:r>
          </w:hyperlink>
        </w:p>
        <w:p w14:paraId="74C915B5" w14:textId="77777777" w:rsidR="009F25F9" w:rsidRDefault="009F25F9">
          <w:pPr>
            <w:pStyle w:val="TOC3"/>
            <w:tabs>
              <w:tab w:val="right" w:leader="dot" w:pos="9060"/>
            </w:tabs>
            <w:rPr>
              <w:rFonts w:asciiTheme="minorHAnsi" w:eastAsiaTheme="minorEastAsia" w:hAnsiTheme="minorHAnsi"/>
              <w:noProof/>
              <w:kern w:val="2"/>
              <w:lang w:val="en-AR"/>
              <w14:ligatures w14:val="standardContextual"/>
            </w:rPr>
          </w:pPr>
          <w:hyperlink w:anchor="_Toc162595661" w:history="1">
            <w:r w:rsidRPr="0013578F">
              <w:rPr>
                <w:rStyle w:val="Hyperlink"/>
                <w:noProof/>
              </w:rPr>
              <w:t>Bill Brand y la preservación accidental</w:t>
            </w:r>
            <w:r>
              <w:rPr>
                <w:noProof/>
                <w:webHidden/>
              </w:rPr>
              <w:tab/>
            </w:r>
            <w:r>
              <w:rPr>
                <w:noProof/>
                <w:webHidden/>
              </w:rPr>
              <w:fldChar w:fldCharType="begin"/>
            </w:r>
            <w:r>
              <w:rPr>
                <w:noProof/>
                <w:webHidden/>
              </w:rPr>
              <w:instrText xml:space="preserve"> PAGEREF _Toc162595661 \h </w:instrText>
            </w:r>
            <w:r>
              <w:rPr>
                <w:noProof/>
                <w:webHidden/>
              </w:rPr>
            </w:r>
            <w:r>
              <w:rPr>
                <w:noProof/>
                <w:webHidden/>
              </w:rPr>
              <w:fldChar w:fldCharType="separate"/>
            </w:r>
            <w:r>
              <w:rPr>
                <w:noProof/>
                <w:webHidden/>
              </w:rPr>
              <w:t>36</w:t>
            </w:r>
            <w:r>
              <w:rPr>
                <w:noProof/>
                <w:webHidden/>
              </w:rPr>
              <w:fldChar w:fldCharType="end"/>
            </w:r>
          </w:hyperlink>
        </w:p>
        <w:p w14:paraId="6152C108" w14:textId="77777777" w:rsidR="009F25F9" w:rsidRDefault="009F25F9">
          <w:pPr>
            <w:pStyle w:val="TOC2"/>
            <w:rPr>
              <w:rFonts w:asciiTheme="minorHAnsi" w:eastAsiaTheme="minorEastAsia" w:hAnsiTheme="minorHAnsi" w:cstheme="minorBidi"/>
              <w:kern w:val="2"/>
              <w:lang w:val="en-AR"/>
              <w14:ligatures w14:val="standardContextual"/>
            </w:rPr>
          </w:pPr>
          <w:hyperlink w:anchor="_Toc162595662" w:history="1">
            <w:r w:rsidRPr="0013578F">
              <w:rPr>
                <w:rStyle w:val="Hyperlink"/>
              </w:rPr>
              <w:t>Arte por computadora sin computadora</w:t>
            </w:r>
            <w:r>
              <w:rPr>
                <w:webHidden/>
              </w:rPr>
              <w:tab/>
            </w:r>
            <w:r>
              <w:rPr>
                <w:webHidden/>
              </w:rPr>
              <w:fldChar w:fldCharType="begin"/>
            </w:r>
            <w:r>
              <w:rPr>
                <w:webHidden/>
              </w:rPr>
              <w:instrText xml:space="preserve"> PAGEREF _Toc162595662 \h </w:instrText>
            </w:r>
            <w:r>
              <w:rPr>
                <w:webHidden/>
              </w:rPr>
            </w:r>
            <w:r>
              <w:rPr>
                <w:webHidden/>
              </w:rPr>
              <w:fldChar w:fldCharType="separate"/>
            </w:r>
            <w:r>
              <w:rPr>
                <w:webHidden/>
              </w:rPr>
              <w:t>41</w:t>
            </w:r>
            <w:r>
              <w:rPr>
                <w:webHidden/>
              </w:rPr>
              <w:fldChar w:fldCharType="end"/>
            </w:r>
          </w:hyperlink>
        </w:p>
        <w:p w14:paraId="3EC4288C" w14:textId="77777777" w:rsidR="009F25F9" w:rsidRDefault="009F25F9">
          <w:pPr>
            <w:pStyle w:val="TOC3"/>
            <w:tabs>
              <w:tab w:val="right" w:leader="dot" w:pos="9060"/>
            </w:tabs>
            <w:rPr>
              <w:rFonts w:asciiTheme="minorHAnsi" w:eastAsiaTheme="minorEastAsia" w:hAnsiTheme="minorHAnsi"/>
              <w:noProof/>
              <w:kern w:val="2"/>
              <w:lang w:val="en-AR"/>
              <w14:ligatures w14:val="standardContextual"/>
            </w:rPr>
          </w:pPr>
          <w:hyperlink w:anchor="_Toc162595663" w:history="1">
            <w:r w:rsidRPr="0013578F">
              <w:rPr>
                <w:rStyle w:val="Hyperlink"/>
                <w:noProof/>
              </w:rPr>
              <w:t>Los hermanos Whitney y el celuloide</w:t>
            </w:r>
            <w:r>
              <w:rPr>
                <w:noProof/>
                <w:webHidden/>
              </w:rPr>
              <w:tab/>
            </w:r>
            <w:r>
              <w:rPr>
                <w:noProof/>
                <w:webHidden/>
              </w:rPr>
              <w:fldChar w:fldCharType="begin"/>
            </w:r>
            <w:r>
              <w:rPr>
                <w:noProof/>
                <w:webHidden/>
              </w:rPr>
              <w:instrText xml:space="preserve"> PAGEREF _Toc162595663 \h </w:instrText>
            </w:r>
            <w:r>
              <w:rPr>
                <w:noProof/>
                <w:webHidden/>
              </w:rPr>
            </w:r>
            <w:r>
              <w:rPr>
                <w:noProof/>
                <w:webHidden/>
              </w:rPr>
              <w:fldChar w:fldCharType="separate"/>
            </w:r>
            <w:r>
              <w:rPr>
                <w:noProof/>
                <w:webHidden/>
              </w:rPr>
              <w:t>41</w:t>
            </w:r>
            <w:r>
              <w:rPr>
                <w:noProof/>
                <w:webHidden/>
              </w:rPr>
              <w:fldChar w:fldCharType="end"/>
            </w:r>
          </w:hyperlink>
        </w:p>
        <w:p w14:paraId="06545822" w14:textId="77777777" w:rsidR="009F25F9" w:rsidRDefault="009F25F9">
          <w:pPr>
            <w:pStyle w:val="TOC3"/>
            <w:tabs>
              <w:tab w:val="right" w:leader="dot" w:pos="9060"/>
            </w:tabs>
            <w:rPr>
              <w:rFonts w:asciiTheme="minorHAnsi" w:eastAsiaTheme="minorEastAsia" w:hAnsiTheme="minorHAnsi"/>
              <w:noProof/>
              <w:kern w:val="2"/>
              <w:lang w:val="en-AR"/>
              <w14:ligatures w14:val="standardContextual"/>
            </w:rPr>
          </w:pPr>
          <w:hyperlink w:anchor="_Toc162595664" w:history="1">
            <w:r w:rsidRPr="0013578F">
              <w:rPr>
                <w:rStyle w:val="Hyperlink"/>
                <w:noProof/>
              </w:rPr>
              <w:t>Vera Molnar y el papel</w:t>
            </w:r>
            <w:r>
              <w:rPr>
                <w:noProof/>
                <w:webHidden/>
              </w:rPr>
              <w:tab/>
            </w:r>
            <w:r>
              <w:rPr>
                <w:noProof/>
                <w:webHidden/>
              </w:rPr>
              <w:fldChar w:fldCharType="begin"/>
            </w:r>
            <w:r>
              <w:rPr>
                <w:noProof/>
                <w:webHidden/>
              </w:rPr>
              <w:instrText xml:space="preserve"> PAGEREF _Toc162595664 \h </w:instrText>
            </w:r>
            <w:r>
              <w:rPr>
                <w:noProof/>
                <w:webHidden/>
              </w:rPr>
            </w:r>
            <w:r>
              <w:rPr>
                <w:noProof/>
                <w:webHidden/>
              </w:rPr>
              <w:fldChar w:fldCharType="separate"/>
            </w:r>
            <w:r>
              <w:rPr>
                <w:noProof/>
                <w:webHidden/>
              </w:rPr>
              <w:t>44</w:t>
            </w:r>
            <w:r>
              <w:rPr>
                <w:noProof/>
                <w:webHidden/>
              </w:rPr>
              <w:fldChar w:fldCharType="end"/>
            </w:r>
          </w:hyperlink>
        </w:p>
        <w:p w14:paraId="6CC5B896" w14:textId="77777777" w:rsidR="009F25F9" w:rsidRDefault="009F25F9">
          <w:pPr>
            <w:pStyle w:val="TOC3"/>
            <w:tabs>
              <w:tab w:val="right" w:leader="dot" w:pos="9060"/>
            </w:tabs>
            <w:rPr>
              <w:rFonts w:asciiTheme="minorHAnsi" w:eastAsiaTheme="minorEastAsia" w:hAnsiTheme="minorHAnsi"/>
              <w:noProof/>
              <w:kern w:val="2"/>
              <w:lang w:val="en-AR"/>
              <w14:ligatures w14:val="standardContextual"/>
            </w:rPr>
          </w:pPr>
          <w:hyperlink w:anchor="_Toc162595665" w:history="1">
            <w:r w:rsidRPr="0013578F">
              <w:rPr>
                <w:rStyle w:val="Hyperlink"/>
                <w:noProof/>
              </w:rPr>
              <w:t>Los Paper Prints</w:t>
            </w:r>
            <w:r>
              <w:rPr>
                <w:noProof/>
                <w:webHidden/>
              </w:rPr>
              <w:tab/>
            </w:r>
            <w:r>
              <w:rPr>
                <w:noProof/>
                <w:webHidden/>
              </w:rPr>
              <w:fldChar w:fldCharType="begin"/>
            </w:r>
            <w:r>
              <w:rPr>
                <w:noProof/>
                <w:webHidden/>
              </w:rPr>
              <w:instrText xml:space="preserve"> PAGEREF _Toc162595665 \h </w:instrText>
            </w:r>
            <w:r>
              <w:rPr>
                <w:noProof/>
                <w:webHidden/>
              </w:rPr>
            </w:r>
            <w:r>
              <w:rPr>
                <w:noProof/>
                <w:webHidden/>
              </w:rPr>
              <w:fldChar w:fldCharType="separate"/>
            </w:r>
            <w:r>
              <w:rPr>
                <w:noProof/>
                <w:webHidden/>
              </w:rPr>
              <w:t>47</w:t>
            </w:r>
            <w:r>
              <w:rPr>
                <w:noProof/>
                <w:webHidden/>
              </w:rPr>
              <w:fldChar w:fldCharType="end"/>
            </w:r>
          </w:hyperlink>
        </w:p>
        <w:p w14:paraId="78474115" w14:textId="77777777" w:rsidR="009F25F9" w:rsidRDefault="009F25F9">
          <w:pPr>
            <w:pStyle w:val="TOC3"/>
            <w:tabs>
              <w:tab w:val="right" w:leader="dot" w:pos="9060"/>
            </w:tabs>
            <w:rPr>
              <w:rFonts w:asciiTheme="minorHAnsi" w:eastAsiaTheme="minorEastAsia" w:hAnsiTheme="minorHAnsi"/>
              <w:noProof/>
              <w:kern w:val="2"/>
              <w:lang w:val="en-AR"/>
              <w14:ligatures w14:val="standardContextual"/>
            </w:rPr>
          </w:pPr>
          <w:hyperlink w:anchor="_Toc162595666" w:history="1">
            <w:r w:rsidRPr="0013578F">
              <w:rPr>
                <w:rStyle w:val="Hyperlink"/>
                <w:noProof/>
              </w:rPr>
              <w:t>“Data-on-film” (digital pero tangible)</w:t>
            </w:r>
            <w:r>
              <w:rPr>
                <w:noProof/>
                <w:webHidden/>
              </w:rPr>
              <w:tab/>
            </w:r>
            <w:r>
              <w:rPr>
                <w:noProof/>
                <w:webHidden/>
              </w:rPr>
              <w:fldChar w:fldCharType="begin"/>
            </w:r>
            <w:r>
              <w:rPr>
                <w:noProof/>
                <w:webHidden/>
              </w:rPr>
              <w:instrText xml:space="preserve"> PAGEREF _Toc162595666 \h </w:instrText>
            </w:r>
            <w:r>
              <w:rPr>
                <w:noProof/>
                <w:webHidden/>
              </w:rPr>
            </w:r>
            <w:r>
              <w:rPr>
                <w:noProof/>
                <w:webHidden/>
              </w:rPr>
              <w:fldChar w:fldCharType="separate"/>
            </w:r>
            <w:r>
              <w:rPr>
                <w:noProof/>
                <w:webHidden/>
              </w:rPr>
              <w:t>48</w:t>
            </w:r>
            <w:r>
              <w:rPr>
                <w:noProof/>
                <w:webHidden/>
              </w:rPr>
              <w:fldChar w:fldCharType="end"/>
            </w:r>
          </w:hyperlink>
        </w:p>
        <w:p w14:paraId="6098C6BA" w14:textId="77777777" w:rsidR="009F25F9" w:rsidRDefault="009F25F9">
          <w:pPr>
            <w:pStyle w:val="TOC2"/>
            <w:rPr>
              <w:rFonts w:asciiTheme="minorHAnsi" w:eastAsiaTheme="minorEastAsia" w:hAnsiTheme="minorHAnsi" w:cstheme="minorBidi"/>
              <w:kern w:val="2"/>
              <w:lang w:val="en-AR"/>
              <w14:ligatures w14:val="standardContextual"/>
            </w:rPr>
          </w:pPr>
          <w:hyperlink w:anchor="_Toc162595667" w:history="1">
            <w:r w:rsidRPr="0013578F">
              <w:rPr>
                <w:rStyle w:val="Hyperlink"/>
              </w:rPr>
              <w:t>Preservación de arte electrónico</w:t>
            </w:r>
            <w:r>
              <w:rPr>
                <w:webHidden/>
              </w:rPr>
              <w:tab/>
            </w:r>
            <w:r>
              <w:rPr>
                <w:webHidden/>
              </w:rPr>
              <w:fldChar w:fldCharType="begin"/>
            </w:r>
            <w:r>
              <w:rPr>
                <w:webHidden/>
              </w:rPr>
              <w:instrText xml:space="preserve"> PAGEREF _Toc162595667 \h </w:instrText>
            </w:r>
            <w:r>
              <w:rPr>
                <w:webHidden/>
              </w:rPr>
            </w:r>
            <w:r>
              <w:rPr>
                <w:webHidden/>
              </w:rPr>
              <w:fldChar w:fldCharType="separate"/>
            </w:r>
            <w:r>
              <w:rPr>
                <w:webHidden/>
              </w:rPr>
              <w:t>51</w:t>
            </w:r>
            <w:r>
              <w:rPr>
                <w:webHidden/>
              </w:rPr>
              <w:fldChar w:fldCharType="end"/>
            </w:r>
          </w:hyperlink>
        </w:p>
        <w:p w14:paraId="600CB066" w14:textId="77777777" w:rsidR="009F25F9" w:rsidRDefault="009F25F9">
          <w:pPr>
            <w:pStyle w:val="TOC3"/>
            <w:tabs>
              <w:tab w:val="right" w:leader="dot" w:pos="9060"/>
            </w:tabs>
            <w:rPr>
              <w:rFonts w:asciiTheme="minorHAnsi" w:eastAsiaTheme="minorEastAsia" w:hAnsiTheme="minorHAnsi"/>
              <w:noProof/>
              <w:kern w:val="2"/>
              <w:lang w:val="en-AR"/>
              <w14:ligatures w14:val="standardContextual"/>
            </w:rPr>
          </w:pPr>
          <w:hyperlink w:anchor="_Toc162595668" w:history="1">
            <w:r w:rsidRPr="0013578F">
              <w:rPr>
                <w:rStyle w:val="Hyperlink"/>
                <w:noProof/>
              </w:rPr>
              <w:t>Transformar para conservar</w:t>
            </w:r>
            <w:r>
              <w:rPr>
                <w:noProof/>
                <w:webHidden/>
              </w:rPr>
              <w:tab/>
            </w:r>
            <w:r>
              <w:rPr>
                <w:noProof/>
                <w:webHidden/>
              </w:rPr>
              <w:fldChar w:fldCharType="begin"/>
            </w:r>
            <w:r>
              <w:rPr>
                <w:noProof/>
                <w:webHidden/>
              </w:rPr>
              <w:instrText xml:space="preserve"> PAGEREF _Toc162595668 \h </w:instrText>
            </w:r>
            <w:r>
              <w:rPr>
                <w:noProof/>
                <w:webHidden/>
              </w:rPr>
            </w:r>
            <w:r>
              <w:rPr>
                <w:noProof/>
                <w:webHidden/>
              </w:rPr>
              <w:fldChar w:fldCharType="separate"/>
            </w:r>
            <w:r>
              <w:rPr>
                <w:noProof/>
                <w:webHidden/>
              </w:rPr>
              <w:t>51</w:t>
            </w:r>
            <w:r>
              <w:rPr>
                <w:noProof/>
                <w:webHidden/>
              </w:rPr>
              <w:fldChar w:fldCharType="end"/>
            </w:r>
          </w:hyperlink>
        </w:p>
        <w:p w14:paraId="61D8294C" w14:textId="77777777" w:rsidR="009F25F9" w:rsidRDefault="009F25F9">
          <w:pPr>
            <w:pStyle w:val="TOC3"/>
            <w:tabs>
              <w:tab w:val="right" w:leader="dot" w:pos="9060"/>
            </w:tabs>
            <w:rPr>
              <w:rFonts w:asciiTheme="minorHAnsi" w:eastAsiaTheme="minorEastAsia" w:hAnsiTheme="minorHAnsi"/>
              <w:noProof/>
              <w:kern w:val="2"/>
              <w:lang w:val="en-AR"/>
              <w14:ligatures w14:val="standardContextual"/>
            </w:rPr>
          </w:pPr>
          <w:hyperlink w:anchor="_Toc162595669" w:history="1">
            <w:r w:rsidRPr="0013578F">
              <w:rPr>
                <w:rStyle w:val="Hyperlink"/>
                <w:noProof/>
              </w:rPr>
              <w:t>Modelos e instutuciones</w:t>
            </w:r>
            <w:r>
              <w:rPr>
                <w:noProof/>
                <w:webHidden/>
              </w:rPr>
              <w:tab/>
            </w:r>
            <w:r>
              <w:rPr>
                <w:noProof/>
                <w:webHidden/>
              </w:rPr>
              <w:fldChar w:fldCharType="begin"/>
            </w:r>
            <w:r>
              <w:rPr>
                <w:noProof/>
                <w:webHidden/>
              </w:rPr>
              <w:instrText xml:space="preserve"> PAGEREF _Toc162595669 \h </w:instrText>
            </w:r>
            <w:r>
              <w:rPr>
                <w:noProof/>
                <w:webHidden/>
              </w:rPr>
            </w:r>
            <w:r>
              <w:rPr>
                <w:noProof/>
                <w:webHidden/>
              </w:rPr>
              <w:fldChar w:fldCharType="separate"/>
            </w:r>
            <w:r>
              <w:rPr>
                <w:noProof/>
                <w:webHidden/>
              </w:rPr>
              <w:t>53</w:t>
            </w:r>
            <w:r>
              <w:rPr>
                <w:noProof/>
                <w:webHidden/>
              </w:rPr>
              <w:fldChar w:fldCharType="end"/>
            </w:r>
          </w:hyperlink>
        </w:p>
        <w:p w14:paraId="3CB52632" w14:textId="77777777" w:rsidR="009F25F9" w:rsidRDefault="009F25F9">
          <w:pPr>
            <w:pStyle w:val="TOC3"/>
            <w:tabs>
              <w:tab w:val="right" w:leader="dot" w:pos="9060"/>
            </w:tabs>
            <w:rPr>
              <w:rFonts w:asciiTheme="minorHAnsi" w:eastAsiaTheme="minorEastAsia" w:hAnsiTheme="minorHAnsi"/>
              <w:noProof/>
              <w:kern w:val="2"/>
              <w:lang w:val="en-AR"/>
              <w14:ligatures w14:val="standardContextual"/>
            </w:rPr>
          </w:pPr>
          <w:hyperlink w:anchor="_Toc162595670" w:history="1">
            <w:r w:rsidRPr="0013578F">
              <w:rPr>
                <w:rStyle w:val="Hyperlink"/>
                <w:noProof/>
              </w:rPr>
              <w:t>Brian Mackern y la máquina podrida</w:t>
            </w:r>
            <w:r>
              <w:rPr>
                <w:noProof/>
                <w:webHidden/>
              </w:rPr>
              <w:tab/>
            </w:r>
            <w:r>
              <w:rPr>
                <w:noProof/>
                <w:webHidden/>
              </w:rPr>
              <w:fldChar w:fldCharType="begin"/>
            </w:r>
            <w:r>
              <w:rPr>
                <w:noProof/>
                <w:webHidden/>
              </w:rPr>
              <w:instrText xml:space="preserve"> PAGEREF _Toc162595670 \h </w:instrText>
            </w:r>
            <w:r>
              <w:rPr>
                <w:noProof/>
                <w:webHidden/>
              </w:rPr>
            </w:r>
            <w:r>
              <w:rPr>
                <w:noProof/>
                <w:webHidden/>
              </w:rPr>
              <w:fldChar w:fldCharType="separate"/>
            </w:r>
            <w:r>
              <w:rPr>
                <w:noProof/>
                <w:webHidden/>
              </w:rPr>
              <w:t>57</w:t>
            </w:r>
            <w:r>
              <w:rPr>
                <w:noProof/>
                <w:webHidden/>
              </w:rPr>
              <w:fldChar w:fldCharType="end"/>
            </w:r>
          </w:hyperlink>
        </w:p>
        <w:p w14:paraId="0C8720FD" w14:textId="77777777" w:rsidR="009F25F9" w:rsidRDefault="009F25F9">
          <w:pPr>
            <w:pStyle w:val="TOC2"/>
            <w:rPr>
              <w:rFonts w:asciiTheme="minorHAnsi" w:eastAsiaTheme="minorEastAsia" w:hAnsiTheme="minorHAnsi" w:cstheme="minorBidi"/>
              <w:kern w:val="2"/>
              <w:lang w:val="en-AR"/>
              <w14:ligatures w14:val="standardContextual"/>
            </w:rPr>
          </w:pPr>
          <w:hyperlink w:anchor="_Toc162595671" w:history="1">
            <w:r w:rsidRPr="0013578F">
              <w:rPr>
                <w:rStyle w:val="Hyperlink"/>
              </w:rPr>
              <w:t>Preservación de internet</w:t>
            </w:r>
            <w:r>
              <w:rPr>
                <w:webHidden/>
              </w:rPr>
              <w:tab/>
            </w:r>
            <w:r>
              <w:rPr>
                <w:webHidden/>
              </w:rPr>
              <w:fldChar w:fldCharType="begin"/>
            </w:r>
            <w:r>
              <w:rPr>
                <w:webHidden/>
              </w:rPr>
              <w:instrText xml:space="preserve"> PAGEREF _Toc162595671 \h </w:instrText>
            </w:r>
            <w:r>
              <w:rPr>
                <w:webHidden/>
              </w:rPr>
            </w:r>
            <w:r>
              <w:rPr>
                <w:webHidden/>
              </w:rPr>
              <w:fldChar w:fldCharType="separate"/>
            </w:r>
            <w:r>
              <w:rPr>
                <w:webHidden/>
              </w:rPr>
              <w:t>61</w:t>
            </w:r>
            <w:r>
              <w:rPr>
                <w:webHidden/>
              </w:rPr>
              <w:fldChar w:fldCharType="end"/>
            </w:r>
          </w:hyperlink>
        </w:p>
        <w:p w14:paraId="37092EB3" w14:textId="77777777" w:rsidR="009F25F9" w:rsidRDefault="009F25F9">
          <w:pPr>
            <w:pStyle w:val="TOC3"/>
            <w:tabs>
              <w:tab w:val="right" w:leader="dot" w:pos="9060"/>
            </w:tabs>
            <w:rPr>
              <w:rFonts w:asciiTheme="minorHAnsi" w:eastAsiaTheme="minorEastAsia" w:hAnsiTheme="minorHAnsi"/>
              <w:noProof/>
              <w:kern w:val="2"/>
              <w:lang w:val="en-AR"/>
              <w14:ligatures w14:val="standardContextual"/>
            </w:rPr>
          </w:pPr>
          <w:hyperlink w:anchor="_Toc162595672" w:history="1">
            <w:r w:rsidRPr="0013578F">
              <w:rPr>
                <w:rStyle w:val="Hyperlink"/>
                <w:noProof/>
              </w:rPr>
              <w:t>Internet archive</w:t>
            </w:r>
            <w:r>
              <w:rPr>
                <w:noProof/>
                <w:webHidden/>
              </w:rPr>
              <w:tab/>
            </w:r>
            <w:r>
              <w:rPr>
                <w:noProof/>
                <w:webHidden/>
              </w:rPr>
              <w:fldChar w:fldCharType="begin"/>
            </w:r>
            <w:r>
              <w:rPr>
                <w:noProof/>
                <w:webHidden/>
              </w:rPr>
              <w:instrText xml:space="preserve"> PAGEREF _Toc162595672 \h </w:instrText>
            </w:r>
            <w:r>
              <w:rPr>
                <w:noProof/>
                <w:webHidden/>
              </w:rPr>
            </w:r>
            <w:r>
              <w:rPr>
                <w:noProof/>
                <w:webHidden/>
              </w:rPr>
              <w:fldChar w:fldCharType="separate"/>
            </w:r>
            <w:r>
              <w:rPr>
                <w:noProof/>
                <w:webHidden/>
              </w:rPr>
              <w:t>61</w:t>
            </w:r>
            <w:r>
              <w:rPr>
                <w:noProof/>
                <w:webHidden/>
              </w:rPr>
              <w:fldChar w:fldCharType="end"/>
            </w:r>
          </w:hyperlink>
        </w:p>
        <w:p w14:paraId="765169FB" w14:textId="77777777" w:rsidR="009F25F9" w:rsidRDefault="009F25F9">
          <w:pPr>
            <w:pStyle w:val="TOC3"/>
            <w:tabs>
              <w:tab w:val="right" w:leader="dot" w:pos="9060"/>
            </w:tabs>
            <w:rPr>
              <w:rFonts w:asciiTheme="minorHAnsi" w:eastAsiaTheme="minorEastAsia" w:hAnsiTheme="minorHAnsi"/>
              <w:noProof/>
              <w:kern w:val="2"/>
              <w:lang w:val="en-AR"/>
              <w14:ligatures w14:val="standardContextual"/>
            </w:rPr>
          </w:pPr>
          <w:hyperlink w:anchor="_Toc162595673" w:history="1">
            <w:r w:rsidRPr="0013578F">
              <w:rPr>
                <w:rStyle w:val="Hyperlink"/>
                <w:noProof/>
              </w:rPr>
              <w:t>Preservación descentralizada</w:t>
            </w:r>
            <w:r>
              <w:rPr>
                <w:noProof/>
                <w:webHidden/>
              </w:rPr>
              <w:tab/>
            </w:r>
            <w:r>
              <w:rPr>
                <w:noProof/>
                <w:webHidden/>
              </w:rPr>
              <w:fldChar w:fldCharType="begin"/>
            </w:r>
            <w:r>
              <w:rPr>
                <w:noProof/>
                <w:webHidden/>
              </w:rPr>
              <w:instrText xml:space="preserve"> PAGEREF _Toc162595673 \h </w:instrText>
            </w:r>
            <w:r>
              <w:rPr>
                <w:noProof/>
                <w:webHidden/>
              </w:rPr>
            </w:r>
            <w:r>
              <w:rPr>
                <w:noProof/>
                <w:webHidden/>
              </w:rPr>
              <w:fldChar w:fldCharType="separate"/>
            </w:r>
            <w:r>
              <w:rPr>
                <w:noProof/>
                <w:webHidden/>
              </w:rPr>
              <w:t>63</w:t>
            </w:r>
            <w:r>
              <w:rPr>
                <w:noProof/>
                <w:webHidden/>
              </w:rPr>
              <w:fldChar w:fldCharType="end"/>
            </w:r>
          </w:hyperlink>
        </w:p>
        <w:p w14:paraId="2C5BC409" w14:textId="77777777" w:rsidR="009F25F9" w:rsidRDefault="009F25F9">
          <w:pPr>
            <w:pStyle w:val="TOC3"/>
            <w:tabs>
              <w:tab w:val="right" w:leader="dot" w:pos="9060"/>
            </w:tabs>
            <w:rPr>
              <w:rFonts w:asciiTheme="minorHAnsi" w:eastAsiaTheme="minorEastAsia" w:hAnsiTheme="minorHAnsi"/>
              <w:noProof/>
              <w:kern w:val="2"/>
              <w:lang w:val="en-AR"/>
              <w14:ligatures w14:val="standardContextual"/>
            </w:rPr>
          </w:pPr>
          <w:hyperlink w:anchor="_Toc162595674" w:history="1">
            <w:r w:rsidRPr="0013578F">
              <w:rPr>
                <w:rStyle w:val="Hyperlink"/>
                <w:noProof/>
              </w:rPr>
              <w:t>Cameron’s World y los GIF</w:t>
            </w:r>
            <w:r>
              <w:rPr>
                <w:noProof/>
                <w:webHidden/>
              </w:rPr>
              <w:tab/>
            </w:r>
            <w:r>
              <w:rPr>
                <w:noProof/>
                <w:webHidden/>
              </w:rPr>
              <w:fldChar w:fldCharType="begin"/>
            </w:r>
            <w:r>
              <w:rPr>
                <w:noProof/>
                <w:webHidden/>
              </w:rPr>
              <w:instrText xml:space="preserve"> PAGEREF _Toc162595674 \h </w:instrText>
            </w:r>
            <w:r>
              <w:rPr>
                <w:noProof/>
                <w:webHidden/>
              </w:rPr>
            </w:r>
            <w:r>
              <w:rPr>
                <w:noProof/>
                <w:webHidden/>
              </w:rPr>
              <w:fldChar w:fldCharType="separate"/>
            </w:r>
            <w:r>
              <w:rPr>
                <w:noProof/>
                <w:webHidden/>
              </w:rPr>
              <w:t>65</w:t>
            </w:r>
            <w:r>
              <w:rPr>
                <w:noProof/>
                <w:webHidden/>
              </w:rPr>
              <w:fldChar w:fldCharType="end"/>
            </w:r>
          </w:hyperlink>
        </w:p>
        <w:p w14:paraId="577C5EDE" w14:textId="77777777" w:rsidR="009F25F9" w:rsidRDefault="009F25F9">
          <w:pPr>
            <w:pStyle w:val="TOC3"/>
            <w:tabs>
              <w:tab w:val="right" w:leader="dot" w:pos="9060"/>
            </w:tabs>
            <w:rPr>
              <w:rFonts w:asciiTheme="minorHAnsi" w:eastAsiaTheme="minorEastAsia" w:hAnsiTheme="minorHAnsi"/>
              <w:noProof/>
              <w:kern w:val="2"/>
              <w:lang w:val="en-AR"/>
              <w14:ligatures w14:val="standardContextual"/>
            </w:rPr>
          </w:pPr>
          <w:hyperlink w:anchor="_Toc162595675" w:history="1">
            <w:r w:rsidRPr="0013578F">
              <w:rPr>
                <w:rStyle w:val="Hyperlink"/>
                <w:noProof/>
              </w:rPr>
              <w:t>Un momento transicional</w:t>
            </w:r>
            <w:r>
              <w:rPr>
                <w:noProof/>
                <w:webHidden/>
              </w:rPr>
              <w:tab/>
            </w:r>
            <w:r>
              <w:rPr>
                <w:noProof/>
                <w:webHidden/>
              </w:rPr>
              <w:fldChar w:fldCharType="begin"/>
            </w:r>
            <w:r>
              <w:rPr>
                <w:noProof/>
                <w:webHidden/>
              </w:rPr>
              <w:instrText xml:space="preserve"> PAGEREF _Toc162595675 \h </w:instrText>
            </w:r>
            <w:r>
              <w:rPr>
                <w:noProof/>
                <w:webHidden/>
              </w:rPr>
            </w:r>
            <w:r>
              <w:rPr>
                <w:noProof/>
                <w:webHidden/>
              </w:rPr>
              <w:fldChar w:fldCharType="separate"/>
            </w:r>
            <w:r>
              <w:rPr>
                <w:noProof/>
                <w:webHidden/>
              </w:rPr>
              <w:t>68</w:t>
            </w:r>
            <w:r>
              <w:rPr>
                <w:noProof/>
                <w:webHidden/>
              </w:rPr>
              <w:fldChar w:fldCharType="end"/>
            </w:r>
          </w:hyperlink>
        </w:p>
        <w:p w14:paraId="59503D11" w14:textId="77777777" w:rsidR="009F25F9" w:rsidRDefault="009F25F9">
          <w:pPr>
            <w:pStyle w:val="TOC1"/>
            <w:rPr>
              <w:rFonts w:asciiTheme="minorHAnsi" w:eastAsiaTheme="minorEastAsia" w:hAnsiTheme="minorHAnsi" w:cstheme="minorBidi"/>
              <w:noProof/>
              <w:kern w:val="2"/>
              <w:lang w:val="en-AR"/>
              <w14:ligatures w14:val="standardContextual"/>
            </w:rPr>
          </w:pPr>
          <w:hyperlink w:anchor="_Toc162595676" w:history="1">
            <w:r w:rsidRPr="0013578F">
              <w:rPr>
                <w:rStyle w:val="Hyperlink"/>
                <w:noProof/>
              </w:rPr>
              <w:t>III. Los Films Automáticos</w:t>
            </w:r>
            <w:r>
              <w:rPr>
                <w:noProof/>
                <w:webHidden/>
              </w:rPr>
              <w:tab/>
            </w:r>
            <w:r>
              <w:rPr>
                <w:noProof/>
                <w:webHidden/>
              </w:rPr>
              <w:fldChar w:fldCharType="begin"/>
            </w:r>
            <w:r>
              <w:rPr>
                <w:noProof/>
                <w:webHidden/>
              </w:rPr>
              <w:instrText xml:space="preserve"> PAGEREF _Toc162595676 \h </w:instrText>
            </w:r>
            <w:r>
              <w:rPr>
                <w:noProof/>
                <w:webHidden/>
              </w:rPr>
            </w:r>
            <w:r>
              <w:rPr>
                <w:noProof/>
                <w:webHidden/>
              </w:rPr>
              <w:fldChar w:fldCharType="separate"/>
            </w:r>
            <w:r>
              <w:rPr>
                <w:noProof/>
                <w:webHidden/>
              </w:rPr>
              <w:t>71</w:t>
            </w:r>
            <w:r>
              <w:rPr>
                <w:noProof/>
                <w:webHidden/>
              </w:rPr>
              <w:fldChar w:fldCharType="end"/>
            </w:r>
          </w:hyperlink>
        </w:p>
        <w:p w14:paraId="7643ADE2" w14:textId="77777777" w:rsidR="009F25F9" w:rsidRDefault="009F25F9">
          <w:pPr>
            <w:pStyle w:val="TOC2"/>
            <w:rPr>
              <w:rFonts w:asciiTheme="minorHAnsi" w:eastAsiaTheme="minorEastAsia" w:hAnsiTheme="minorHAnsi" w:cstheme="minorBidi"/>
              <w:kern w:val="2"/>
              <w:lang w:val="en-AR"/>
              <w14:ligatures w14:val="standardContextual"/>
            </w:rPr>
          </w:pPr>
          <w:hyperlink w:anchor="_Toc162595677" w:history="1">
            <w:r w:rsidRPr="0013578F">
              <w:rPr>
                <w:rStyle w:val="Hyperlink"/>
              </w:rPr>
              <w:t>Primera iteración: digital-to-film-to-digital</w:t>
            </w:r>
            <w:r>
              <w:rPr>
                <w:webHidden/>
              </w:rPr>
              <w:tab/>
            </w:r>
            <w:r>
              <w:rPr>
                <w:webHidden/>
              </w:rPr>
              <w:fldChar w:fldCharType="begin"/>
            </w:r>
            <w:r>
              <w:rPr>
                <w:webHidden/>
              </w:rPr>
              <w:instrText xml:space="preserve"> PAGEREF _Toc162595677 \h </w:instrText>
            </w:r>
            <w:r>
              <w:rPr>
                <w:webHidden/>
              </w:rPr>
            </w:r>
            <w:r>
              <w:rPr>
                <w:webHidden/>
              </w:rPr>
              <w:fldChar w:fldCharType="separate"/>
            </w:r>
            <w:r>
              <w:rPr>
                <w:webHidden/>
              </w:rPr>
              <w:t>73</w:t>
            </w:r>
            <w:r>
              <w:rPr>
                <w:webHidden/>
              </w:rPr>
              <w:fldChar w:fldCharType="end"/>
            </w:r>
          </w:hyperlink>
        </w:p>
        <w:p w14:paraId="1D72A8D8" w14:textId="77777777" w:rsidR="009F25F9" w:rsidRDefault="009F25F9">
          <w:pPr>
            <w:pStyle w:val="TOC2"/>
            <w:rPr>
              <w:rFonts w:asciiTheme="minorHAnsi" w:eastAsiaTheme="minorEastAsia" w:hAnsiTheme="minorHAnsi" w:cstheme="minorBidi"/>
              <w:kern w:val="2"/>
              <w:lang w:val="en-AR"/>
              <w14:ligatures w14:val="standardContextual"/>
            </w:rPr>
          </w:pPr>
          <w:hyperlink w:anchor="_Toc162595678" w:history="1">
            <w:r w:rsidRPr="0013578F">
              <w:rPr>
                <w:rStyle w:val="Hyperlink"/>
              </w:rPr>
              <w:t>Segunda iteración: digital-to-film</w:t>
            </w:r>
            <w:r>
              <w:rPr>
                <w:webHidden/>
              </w:rPr>
              <w:tab/>
            </w:r>
            <w:r>
              <w:rPr>
                <w:webHidden/>
              </w:rPr>
              <w:fldChar w:fldCharType="begin"/>
            </w:r>
            <w:r>
              <w:rPr>
                <w:webHidden/>
              </w:rPr>
              <w:instrText xml:space="preserve"> PAGEREF _Toc162595678 \h </w:instrText>
            </w:r>
            <w:r>
              <w:rPr>
                <w:webHidden/>
              </w:rPr>
            </w:r>
            <w:r>
              <w:rPr>
                <w:webHidden/>
              </w:rPr>
              <w:fldChar w:fldCharType="separate"/>
            </w:r>
            <w:r>
              <w:rPr>
                <w:webHidden/>
              </w:rPr>
              <w:t>78</w:t>
            </w:r>
            <w:r>
              <w:rPr>
                <w:webHidden/>
              </w:rPr>
              <w:fldChar w:fldCharType="end"/>
            </w:r>
          </w:hyperlink>
        </w:p>
        <w:p w14:paraId="52C4361E" w14:textId="77777777" w:rsidR="009F25F9" w:rsidRDefault="009F25F9">
          <w:pPr>
            <w:pStyle w:val="TOC2"/>
            <w:rPr>
              <w:rFonts w:asciiTheme="minorHAnsi" w:eastAsiaTheme="minorEastAsia" w:hAnsiTheme="minorHAnsi" w:cstheme="minorBidi"/>
              <w:kern w:val="2"/>
              <w:lang w:val="en-AR"/>
              <w14:ligatures w14:val="standardContextual"/>
            </w:rPr>
          </w:pPr>
          <w:hyperlink w:anchor="_Toc162595679" w:history="1">
            <w:r w:rsidRPr="0013578F">
              <w:rPr>
                <w:rStyle w:val="Hyperlink"/>
              </w:rPr>
              <w:t>Tercera iteración: Los Films Automáticos</w:t>
            </w:r>
            <w:r>
              <w:rPr>
                <w:webHidden/>
              </w:rPr>
              <w:tab/>
            </w:r>
            <w:r>
              <w:rPr>
                <w:webHidden/>
              </w:rPr>
              <w:fldChar w:fldCharType="begin"/>
            </w:r>
            <w:r>
              <w:rPr>
                <w:webHidden/>
              </w:rPr>
              <w:instrText xml:space="preserve"> PAGEREF _Toc162595679 \h </w:instrText>
            </w:r>
            <w:r>
              <w:rPr>
                <w:webHidden/>
              </w:rPr>
            </w:r>
            <w:r>
              <w:rPr>
                <w:webHidden/>
              </w:rPr>
              <w:fldChar w:fldCharType="separate"/>
            </w:r>
            <w:r>
              <w:rPr>
                <w:webHidden/>
              </w:rPr>
              <w:t>82</w:t>
            </w:r>
            <w:r>
              <w:rPr>
                <w:webHidden/>
              </w:rPr>
              <w:fldChar w:fldCharType="end"/>
            </w:r>
          </w:hyperlink>
        </w:p>
        <w:p w14:paraId="4C5CF9F5" w14:textId="77777777" w:rsidR="009F25F9" w:rsidRDefault="009F25F9">
          <w:pPr>
            <w:pStyle w:val="TOC1"/>
            <w:rPr>
              <w:rFonts w:asciiTheme="minorHAnsi" w:eastAsiaTheme="minorEastAsia" w:hAnsiTheme="minorHAnsi" w:cstheme="minorBidi"/>
              <w:noProof/>
              <w:kern w:val="2"/>
              <w:lang w:val="en-AR"/>
              <w14:ligatures w14:val="standardContextual"/>
            </w:rPr>
          </w:pPr>
          <w:hyperlink w:anchor="_Toc162595680" w:history="1">
            <w:r w:rsidRPr="0013578F">
              <w:rPr>
                <w:rStyle w:val="Hyperlink"/>
                <w:noProof/>
              </w:rPr>
              <w:t>Bibliografía</w:t>
            </w:r>
            <w:r>
              <w:rPr>
                <w:noProof/>
                <w:webHidden/>
              </w:rPr>
              <w:tab/>
            </w:r>
            <w:r>
              <w:rPr>
                <w:noProof/>
                <w:webHidden/>
              </w:rPr>
              <w:fldChar w:fldCharType="begin"/>
            </w:r>
            <w:r>
              <w:rPr>
                <w:noProof/>
                <w:webHidden/>
              </w:rPr>
              <w:instrText xml:space="preserve"> PAGEREF _Toc162595680 \h </w:instrText>
            </w:r>
            <w:r>
              <w:rPr>
                <w:noProof/>
                <w:webHidden/>
              </w:rPr>
            </w:r>
            <w:r>
              <w:rPr>
                <w:noProof/>
                <w:webHidden/>
              </w:rPr>
              <w:fldChar w:fldCharType="separate"/>
            </w:r>
            <w:r>
              <w:rPr>
                <w:noProof/>
                <w:webHidden/>
              </w:rPr>
              <w:t>83</w:t>
            </w:r>
            <w:r>
              <w:rPr>
                <w:noProof/>
                <w:webHidden/>
              </w:rPr>
              <w:fldChar w:fldCharType="end"/>
            </w:r>
          </w:hyperlink>
        </w:p>
        <w:p w14:paraId="25EE1CC6" w14:textId="77777777" w:rsidR="00D96A54" w:rsidRDefault="00000000">
          <w:r>
            <w:fldChar w:fldCharType="end"/>
          </w:r>
        </w:p>
      </w:sdtContent>
    </w:sdt>
    <w:p w14:paraId="3AD29991" w14:textId="77777777" w:rsidR="00D96A54" w:rsidRDefault="00000000">
      <w:pPr>
        <w:pStyle w:val="Heading1"/>
      </w:pPr>
      <w:bookmarkStart w:id="1" w:name="resumen"/>
      <w:bookmarkStart w:id="2" w:name="_Toc162595650"/>
      <w:r>
        <w:lastRenderedPageBreak/>
        <w:t>Resumen</w:t>
      </w:r>
      <w:bookmarkEnd w:id="2"/>
    </w:p>
    <w:p w14:paraId="3C5A2E03" w14:textId="77777777" w:rsidR="00D96A54" w:rsidRDefault="00000000">
      <w:pPr>
        <w:pStyle w:val="FirstParagraph"/>
      </w:pPr>
      <w:r>
        <w:t>La Preservación Involuntaria es un trabajo de tesis que estudia técnicas híbridas de arte y preservación, entendiendo esta hibridez como una combinación de técnicas digitales con procesos, formatos y soportes analógicos no-digitales. La tesis estudia estos conceptos analizando las problemáticas de la preservación digital y analógica y propone un camino híbrido de experimentación y reflexión, con técnicas ligadas a la fotografía, la animación, las computadoras y la programación.</w:t>
      </w:r>
    </w:p>
    <w:p w14:paraId="6AA3F6DD" w14:textId="77777777" w:rsidR="00D96A54" w:rsidRDefault="00000000">
      <w:pPr>
        <w:pStyle w:val="BodyText"/>
      </w:pPr>
      <w:r>
        <w:t xml:space="preserve">Este trabajo se estructura en tres partes. La primera parte es introductoria y es una memoria descriptiva de dos trabajos previos de producción propia que se centran en las temáticas de la memoria, los archivos y los dispositivos. Estos son </w:t>
      </w:r>
      <w:r>
        <w:rPr>
          <w:i/>
          <w:iCs/>
        </w:rPr>
        <w:t>El Viaje del Henrietta</w:t>
      </w:r>
      <w:r>
        <w:t xml:space="preserve"> (2014) y </w:t>
      </w:r>
      <w:r>
        <w:rPr>
          <w:i/>
          <w:iCs/>
        </w:rPr>
        <w:t>Cuanto más se conecta, menos se conecta</w:t>
      </w:r>
      <w:r>
        <w:t xml:space="preserve"> (2019).</w:t>
      </w:r>
    </w:p>
    <w:p w14:paraId="2F426AF5" w14:textId="77777777" w:rsidR="00D96A54" w:rsidRDefault="00000000">
      <w:pPr>
        <w:pStyle w:val="BodyText"/>
      </w:pPr>
      <w:r>
        <w:t>La segunda parte, “Preservación y obsolescencia”, está dividida en cuatro apartados, donde se tratan distintos temas alrededor de la preservación para contextualizar las reflexiones de la tesis. En general los apartados a su vez se dividen en distintos subtemas relacionados y muchas veces entrelazados a través de referentes artísticos. La investigación comienza con un primer apartado titulado “El desafío de preservar”, donde se establece una suerte de “estado de la cuestión” alrededor de los orígenes de la acción de preservar y el vínculo con los archivos cinematográficos. El segundo apartado se llama “Computer Art en papel y en celuloide”, e investiga el rol de estos soportes físicos en el mundo digital del arte por computadora. Luego “Preservación de arte electrónico” reúne referentes teóricos y artísticos sobre la preservación de esta disciplina que forma parte de los llamados ““. Y para finalizar se presenta”Preservación de internet”, un apartado que se compone de descripciones alrededor de la conservación y la descentralización en Internet.</w:t>
      </w:r>
    </w:p>
    <w:p w14:paraId="220DF759" w14:textId="77777777" w:rsidR="00D96A54" w:rsidRDefault="00000000">
      <w:pPr>
        <w:pStyle w:val="BodyText"/>
      </w:pPr>
      <w:r>
        <w:t xml:space="preserve">Y en la tercera parte, de índole práctica, se lleva a cabo el desarrollo y la documentación de la tesis en su formato “obra”: un conjunto de experimentos audiovisuales analógico-digitales libremente titulados como “Los Films Automáticos”. Esta serie es un conjunto de animaciones por computadora y arte generativo transferidos fotográficamente a fílmico en 35 mm para ser reproducidos en proyectores de diapositivas modificados. El mecanismo de proyección consiste en 4 proyectores Kodak Carousel sincronizados para obturar en secuencia, superpuestos </w:t>
      </w:r>
      <w:r>
        <w:lastRenderedPageBreak/>
        <w:t>sobre la misma superficie, generando velocidad e ilusión de movimiento. Es “automático” en tanto que “actúa por sí mismo”, es “maquinal”, “indeliberado” e “involuntario”, como el acto de preservar al que alude la tesis. Alrededor de esta obra se documentan experimentos, pruebas e iteraciones específicas del proceso. El texto que acompaña a la obra busca reflexionar sobre la historia de los soportes y las tecnologías y dar contexto a la investigación. En estas relaciones se busca que el interlocutor reflexione sobre el valor de la responsabilidad y la dimensión del tiempo en la preservación digital.</w:t>
      </w:r>
    </w:p>
    <w:p w14:paraId="0CD6C99B" w14:textId="77777777" w:rsidR="00D96A54" w:rsidRDefault="00000000">
      <w:pPr>
        <w:pStyle w:val="BodyText"/>
      </w:pPr>
      <w:r>
        <w:t>El interés de la investigación se basa en una obsesión personal alrededor de la obsolesencia tecnológica y la memoria. La tesis se trata de una búsqueda ecológica y creativa de rescate y reflexión alrededor del pasado, el presente y el futuro de nuestras imágenes y dispositivos, a través de recursos low-tech y reciclaje de máquinas audiovisuales que hoy podrían considerarse “bastardas”.</w:t>
      </w:r>
    </w:p>
    <w:p w14:paraId="27010299" w14:textId="77777777" w:rsidR="00D96A54" w:rsidRDefault="00000000">
      <w:pPr>
        <w:pStyle w:val="Heading3"/>
      </w:pPr>
      <w:bookmarkStart w:id="3" w:name="palabras-clave"/>
      <w:bookmarkStart w:id="4" w:name="_Toc162595651"/>
      <w:r>
        <w:t>Palabras clave</w:t>
      </w:r>
      <w:bookmarkEnd w:id="4"/>
    </w:p>
    <w:p w14:paraId="6CCD5F67" w14:textId="77777777" w:rsidR="00D96A54" w:rsidRDefault="00000000">
      <w:pPr>
        <w:pStyle w:val="FirstParagraph"/>
      </w:pPr>
      <w:r>
        <w:t>Preservación, hibridez, analógico, digital, automatismo, formatos, películas, fílmico, circuit bending, loop.</w:t>
      </w:r>
    </w:p>
    <w:p w14:paraId="1DD1D89F" w14:textId="77777777" w:rsidR="00D96A54" w:rsidRDefault="00000000">
      <w:pPr>
        <w:pStyle w:val="Heading1"/>
      </w:pPr>
      <w:bookmarkStart w:id="5" w:name="i-introducción"/>
      <w:bookmarkStart w:id="6" w:name="_Toc162595652"/>
      <w:bookmarkEnd w:id="1"/>
      <w:bookmarkEnd w:id="3"/>
      <w:r>
        <w:lastRenderedPageBreak/>
        <w:t>I. Introducción</w:t>
      </w:r>
      <w:bookmarkEnd w:id="6"/>
    </w:p>
    <w:p w14:paraId="16701C50" w14:textId="77777777" w:rsidR="00D96A54" w:rsidRDefault="00000000">
      <w:pPr>
        <w:pStyle w:val="FirstParagraph"/>
      </w:pPr>
      <w:r>
        <w:t xml:space="preserve">En la introducción al libro </w:t>
      </w:r>
      <w:r>
        <w:rPr>
          <w:i/>
          <w:iCs/>
        </w:rPr>
        <w:t>Del grano al pixel: cine y archivos en transición</w:t>
      </w:r>
      <w:r>
        <w:t xml:space="preserve"> la archivista italiana Giovana Fosatti asevera que nos encontramos en un “momento transicional” en el que los medios de comunicación , definidos por su constante transición, tienden a la hibridez como una característica necesaria, y que como consecuencia la idea de pureza del medio, sea analógico o digital, debe ser reconsiderada y eventualmente abandonada (Fossati, 2018, p. 28). Por otro lado, en un artículo de la revista </w:t>
      </w:r>
      <w:r>
        <w:rPr>
          <w:i/>
          <w:iCs/>
        </w:rPr>
        <w:t>Millenium Film Journal</w:t>
      </w:r>
      <w:r>
        <w:t xml:space="preserve"> titulado </w:t>
      </w:r>
      <w:r>
        <w:rPr>
          <w:i/>
          <w:iCs/>
        </w:rPr>
        <w:t>The Archaeology of Redemption: Toward Archival Film</w:t>
      </w:r>
      <w:r>
        <w:t xml:space="preserve"> (que se traduce como </w:t>
      </w:r>
      <w:r>
        <w:rPr>
          <w:i/>
          <w:iCs/>
        </w:rPr>
        <w:t>La Arqueología de la Redención: Hacia el cine de archivo</w:t>
      </w:r>
      <w:r>
        <w:t>) la directora e investigadora de cine experimental Sharon Sandusky sostiene que “cuando se hace una película, su mera existencia es un milagro”, y que “la recuperación de una película es frecuentemente un proceso accidental”, refiriéndose a las múltiples adversidades a las que se enfrenta una película para perdurar en el tiempo, desde aspectos físicos y espaciales hasta legales y económicos (Sandusky, 1992).</w:t>
      </w:r>
    </w:p>
    <w:p w14:paraId="65FAE6A7" w14:textId="77777777" w:rsidR="00D96A54" w:rsidRDefault="00000000">
      <w:pPr>
        <w:pStyle w:val="BodyText"/>
      </w:pPr>
      <w:r>
        <w:t>Las obras propias que se describen en este primer apartado –</w:t>
      </w:r>
      <w:r>
        <w:rPr>
          <w:i/>
          <w:iCs/>
        </w:rPr>
        <w:t>Henrietta</w:t>
      </w:r>
      <w:r>
        <w:t xml:space="preserve"> (2014) y </w:t>
      </w:r>
      <w:r>
        <w:rPr>
          <w:i/>
          <w:iCs/>
        </w:rPr>
        <w:t>Cuanto más se conecta, menos se conecta</w:t>
      </w:r>
      <w:r>
        <w:t xml:space="preserve"> (2019)– tienen en común la utilización de material de archivo como materia prima, más específicamente material de origen familiar, y el tratamiento de este material en forma digital. </w:t>
      </w:r>
      <w:r>
        <w:rPr>
          <w:i/>
          <w:iCs/>
        </w:rPr>
        <w:t>Henrietta</w:t>
      </w:r>
      <w:r>
        <w:t xml:space="preserve"> es una videoinstalación monocanal que fue realizada con material fílmico de 16 mm en descomposición, digitalizando las imágenes cuadro a cuadro a través de un sistema de escaneo hogareño, reconstruyendo manualmente el movimiento en Photoshop y editando la película en After Effects. </w:t>
      </w:r>
      <w:r>
        <w:rPr>
          <w:i/>
          <w:iCs/>
        </w:rPr>
        <w:t>Cuanto más se conecta</w:t>
      </w:r>
      <w:r>
        <w:t>, por otro lado, es una videoinstalación interactiva de dos canales que fue realizada con material en cinta magnética digitalizado y posteriormente procesado con algoritmos automáticos de edición, superposición y reconocimiento facial en tiempo real.</w:t>
      </w:r>
    </w:p>
    <w:p w14:paraId="656F7A58" w14:textId="77777777" w:rsidR="00D96A54" w:rsidRDefault="00000000">
      <w:pPr>
        <w:pStyle w:val="BodyText"/>
      </w:pPr>
      <w:r>
        <w:rPr>
          <w:i/>
          <w:iCs/>
        </w:rPr>
        <w:t>Henrietta</w:t>
      </w:r>
      <w:r>
        <w:t xml:space="preserve"> fue realizado como trabajo de tesis para mi carrera de Diseño de Imagen y Sonido en la UBA. La obra es una especie de viaje audiovisual construido de película avinagrada que muestra las aventuras de mi abuelo a bordo de un barco por el extremo sur de Sudamérica en 1938 en compañía de unos jóvenes navegantes, entre glaciares y nativos kawéscar. La obra, digitalizada manualmente en su totalidad, explora el pasado, la memoria y el alma del acetato en descomposición, e </w:t>
      </w:r>
      <w:r>
        <w:lastRenderedPageBreak/>
        <w:t>invita al espectador a sumergirse en la oscura e hipnótica latencia del material. Por su fragilidad y rigidez, el material original, que alguna vez había sido flexible y resistente, ahora era imposible de digitalizar por medios mecánicos en un escáner profesional y menos que menos de reproducir en un proyector. Por este motivo la primer parte del trabajo consistió en diseñar una forma de digitalizar las imágenes, aunque esto conllevara la destrucción del material. Luego hubo que realizar una reconstrucción de ese movimiento pero de forma digital. Y una vez recuperado el movimiento del material como video, se realizó una edición de las imágenes, entre repeticiones, desplazamientos y diseño sonoro, para terminar proyectado como una videoinstalación sobre una pantalla de tela de diseño propio con ventiladores laterales que generaban turbulencias en la superficie a proyectar</w:t>
      </w:r>
      <w:r>
        <w:rPr>
          <w:rStyle w:val="FootnoteReference"/>
        </w:rPr>
        <w:footnoteReference w:id="1"/>
      </w:r>
      <w:r>
        <w:t>.</w:t>
      </w:r>
    </w:p>
    <w:p w14:paraId="00B56E78" w14:textId="77777777" w:rsidR="00D96A54" w:rsidRDefault="00000000">
      <w:pPr>
        <w:pStyle w:val="BodyText"/>
      </w:pPr>
      <w:r>
        <w:rPr>
          <w:i/>
          <w:iCs/>
        </w:rPr>
        <w:t>Cuanto más se conecta, menos se conecta</w:t>
      </w:r>
      <w:r>
        <w:t xml:space="preserve"> fue realizada en contexto de una residencia de tres meses en la </w:t>
      </w:r>
      <w:r>
        <w:rPr>
          <w:i/>
          <w:iCs/>
        </w:rPr>
        <w:t>School for Poetic Computation</w:t>
      </w:r>
      <w:r>
        <w:t xml:space="preserve"> en Nueva York (que se traduce como </w:t>
      </w:r>
      <w:r>
        <w:rPr>
          <w:i/>
          <w:iCs/>
        </w:rPr>
        <w:t>Escuela de Computación Poética</w:t>
      </w:r>
      <w:r>
        <w:t xml:space="preserve">), gracias a una beca de la Fundación Fulbright de Estados Unidos y el Fondo Nacional de las Artes de Argentina. La videoinstalación interactiva utiliza imágenes de mi infancia de 1992, y consistió en dos monitores de PC modificados, con unos paneles de aluminio adaptados a sus lados que conectaban un monitor con otro a través de cables monopolares. Las distintas combinaciones de cables eran traducidas a digital e interpretadas en una computadora. Desde el punto de vista del espectador, en el monitor izquierdo se podía ver el material sin editar en crudo: mi casa, la nieve, mi abuela, mis padres, mi perra, el auto. En el monitor derecho, la pantalla en negro, y cuando se conectaba un cable de la izquierda a la derecha se generaban distintos resultados en este monitor derecho, que consistían en combinaciones de caras de personajes de la familia recortadas por un algoritmo de reconocimiento facial, y algoritmos de edición que desordenaban los fotogramas del video original. El resultado a la derecha era un collage desordenado y caótico de caras, escenarios y sonidos. La pantalla de la izquierda representa el pasado inalterado, y la pantalla de la derecha representa la forma en que tendemos a recordarlo. La pieza contrasta </w:t>
      </w:r>
      <w:r>
        <w:lastRenderedPageBreak/>
        <w:t>tecnologías analógicas con digitales, confrontando el video de baja resolución con la detección de rostros, los filtros, la inteligencia artificial y los algoritmos automáticos</w:t>
      </w:r>
      <w:r>
        <w:rPr>
          <w:rStyle w:val="FootnoteReference"/>
        </w:rPr>
        <w:footnoteReference w:id="2"/>
      </w:r>
      <w:r>
        <w:t>.</w:t>
      </w:r>
    </w:p>
    <w:p w14:paraId="4B5BA5AB" w14:textId="77777777" w:rsidR="00D96A54" w:rsidRDefault="00000000">
      <w:pPr>
        <w:pStyle w:val="BodyText"/>
      </w:pPr>
      <w:r>
        <w:t>En este primer apartado introductorio vamos a realizar una descripción de estas piezas que nos servirá de antecedente artístico para reflexionar y meditar alrededor de sus estrategias híbridas, la preservación, la técnica y la estética.</w:t>
      </w:r>
    </w:p>
    <w:p w14:paraId="15EF742E" w14:textId="77777777" w:rsidR="00D96A54" w:rsidRDefault="00000000">
      <w:pPr>
        <w:pStyle w:val="Heading2"/>
      </w:pPr>
      <w:bookmarkStart w:id="7" w:name="henrietta-2014"/>
      <w:bookmarkStart w:id="8" w:name="_Toc162595653"/>
      <w:r>
        <w:lastRenderedPageBreak/>
        <w:t>Henrietta (2014)</w:t>
      </w:r>
      <w:bookmarkEnd w:id="8"/>
    </w:p>
    <w:p w14:paraId="1E48CC99" w14:textId="77777777" w:rsidR="00D96A54" w:rsidRDefault="00000000">
      <w:pPr>
        <w:pStyle w:val="FirstParagraph"/>
      </w:pPr>
      <w:r>
        <w:t xml:space="preserve">La historia comienza en 1937 cuando desembarca </w:t>
      </w:r>
      <w:r>
        <w:rPr>
          <w:i/>
          <w:iCs/>
        </w:rPr>
        <w:t>Henrietta</w:t>
      </w:r>
      <w:r>
        <w:t xml:space="preserve"> en el Puerto de Buenos Aires, un velero proveniente de Estados unidos en medio de un viaje alrededor del mundo. La </w:t>
      </w:r>
      <w:r>
        <w:rPr>
          <w:i/>
          <w:iCs/>
        </w:rPr>
        <w:t>Henrietta</w:t>
      </w:r>
      <w:r>
        <w:t xml:space="preserve"> era una goleta clásica de la costa noreste de Estados Unidos, de la zona de Gloucester, Massachusetts. Originalmente era un barco concebido para pescar bacalao en los grandes Bancos de Terranova, usando varios botes que echaban al agua en ese sitio, para pescar a la línea, a mano, desde los botes, en el mar abierto. Estos tipos de bote se llamaban “dory” y eran legendarios por su sencillez y condiciones marineras.</w:t>
      </w:r>
    </w:p>
    <w:p w14:paraId="69DDD2C9" w14:textId="77777777" w:rsidR="00D96A54" w:rsidRDefault="00000000">
      <w:pPr>
        <w:pStyle w:val="BodyText"/>
      </w:pPr>
      <w:r>
        <w:t xml:space="preserve">La llegada del </w:t>
      </w:r>
      <w:r>
        <w:rPr>
          <w:i/>
          <w:iCs/>
        </w:rPr>
        <w:t>Henrietta</w:t>
      </w:r>
      <w:r>
        <w:t xml:space="preserve"> tuvo mucha repercusión en la comunidad porteña de la navegación y fue anunciada en varios medios deportivos. Los navegantes andaban buscando sumar hombres a la tripulación para el trayecto desde Buenos Aires hasta Valparaíso por la particular dificultad de navegación que presentaba el Estrecho de Magallanes. Mi abuelo Horacio Ezcurra tenía 24 años y estaba terminando sus estudios de arquitectura en la Universidad de Buenos Aires. Por su experiencia de navegación se sumó a la tripulación ad honorem junto a dos argentinos más, Alberto Quayat y Eduardo Cavanagh.</w:t>
      </w:r>
    </w:p>
    <w:p w14:paraId="7DEC549D" w14:textId="77777777" w:rsidR="00D96A54" w:rsidRDefault="00000000">
      <w:pPr>
        <w:pStyle w:val="CaptionedFigure"/>
      </w:pPr>
      <w:r>
        <w:lastRenderedPageBreak/>
        <w:drawing>
          <wp:inline distT="0" distB="0" distL="0" distR="0" wp14:anchorId="53328641" wp14:editId="54554647">
            <wp:extent cx="5753100" cy="4011199"/>
            <wp:effectExtent l="0" t="0" r="0" b="0"/>
            <wp:docPr id="25" name="Picture" descr="Federico Ribas, caricaturas de tripulantes de Henrietta (Horacio a la derecha), publicación desconocida, posiblemente El Gráfico (1938)"/>
            <wp:cNvGraphicFramePr/>
            <a:graphic xmlns:a="http://schemas.openxmlformats.org/drawingml/2006/main">
              <a:graphicData uri="http://schemas.openxmlformats.org/drawingml/2006/picture">
                <pic:pic xmlns:pic="http://schemas.openxmlformats.org/drawingml/2006/picture">
                  <pic:nvPicPr>
                    <pic:cNvPr id="26" name="Picture" descr="./assets/a60b509825c936b75fbf807369c99886.png"/>
                    <pic:cNvPicPr>
                      <a:picLocks noChangeAspect="1" noChangeArrowheads="1"/>
                    </pic:cNvPicPr>
                  </pic:nvPicPr>
                  <pic:blipFill>
                    <a:blip r:embed="rId7"/>
                    <a:stretch>
                      <a:fillRect/>
                    </a:stretch>
                  </pic:blipFill>
                  <pic:spPr bwMode="auto">
                    <a:xfrm>
                      <a:off x="0" y="0"/>
                      <a:ext cx="5753100" cy="4011199"/>
                    </a:xfrm>
                    <a:prstGeom prst="rect">
                      <a:avLst/>
                    </a:prstGeom>
                    <a:noFill/>
                    <a:ln w="9525">
                      <a:noFill/>
                      <a:headEnd/>
                      <a:tailEnd/>
                    </a:ln>
                  </pic:spPr>
                </pic:pic>
              </a:graphicData>
            </a:graphic>
          </wp:inline>
        </w:drawing>
      </w:r>
    </w:p>
    <w:p w14:paraId="6E7704F1" w14:textId="77777777" w:rsidR="00D96A54" w:rsidRDefault="00000000">
      <w:pPr>
        <w:pStyle w:val="ImageCaption"/>
      </w:pPr>
      <w:r>
        <w:t>Federico Ribas, caricaturas de tripulantes de Henrietta (Horacio a la derecha), publicación desconocida, posiblemente El Gráfico (1938)</w:t>
      </w:r>
    </w:p>
    <w:p w14:paraId="67057FC5" w14:textId="77777777" w:rsidR="00D96A54" w:rsidRDefault="00000000">
      <w:pPr>
        <w:pStyle w:val="BodyText"/>
      </w:pPr>
      <w:r>
        <w:t>El viaje está muy documentado a través de cartas que le escribía uno de los tripulantes, Marvin Collins, a su padre en Estados Unidos, quien las publicaba en el diario “Spirit Lake Beacon”:</w:t>
      </w:r>
    </w:p>
    <w:p w14:paraId="590389E6" w14:textId="77777777" w:rsidR="00D96A54" w:rsidRDefault="00000000">
      <w:pPr>
        <w:pStyle w:val="BodyText"/>
      </w:pPr>
      <w:r>
        <w:rPr>
          <w:i/>
          <w:iCs/>
        </w:rPr>
        <w:t>We are adding three Argentines to our crew here as we need lots of muscle for the winds in the Straits. Don’t know them very well yet but they look like nice chaps. All speak good English. It will make the forcastle (3) a bit crowded, but I doubt if they last beyond Valpariso. [Estamos agregando tres argentinos a nuestra tripulación aquí, ya que necesitamos mucha fuerza para los vientos en el Estrecho. Todavía no los conocemos muy bien, pero parecen buenos tipos. Todos hablan bien inglés. Hará que el castillo de proa esté un poco abarrotado, pero dudo que permanezcan más allá de Valparaíso.]</w:t>
      </w:r>
      <w:r>
        <w:t xml:space="preserve"> (Collins, 1938).</w:t>
      </w:r>
    </w:p>
    <w:p w14:paraId="77CE1484" w14:textId="77777777" w:rsidR="00D96A54" w:rsidRDefault="00000000">
      <w:pPr>
        <w:pStyle w:val="CaptionedFigure"/>
      </w:pPr>
      <w:r>
        <w:lastRenderedPageBreak/>
        <w:drawing>
          <wp:inline distT="0" distB="0" distL="0" distR="0" wp14:anchorId="6675E363" wp14:editId="53A145C0">
            <wp:extent cx="5753100" cy="3705386"/>
            <wp:effectExtent l="0" t="0" r="0" b="0"/>
            <wp:docPr id="28" name="Picture" descr="Marvin Collins, “Sailing the Seven Seas as an Adventurer”, Spirit Lake Beacon (1938)"/>
            <wp:cNvGraphicFramePr/>
            <a:graphic xmlns:a="http://schemas.openxmlformats.org/drawingml/2006/main">
              <a:graphicData uri="http://schemas.openxmlformats.org/drawingml/2006/picture">
                <pic:pic xmlns:pic="http://schemas.openxmlformats.org/drawingml/2006/picture">
                  <pic:nvPicPr>
                    <pic:cNvPr id="29" name="Picture" descr="./assets/spirit_lake.png"/>
                    <pic:cNvPicPr>
                      <a:picLocks noChangeAspect="1" noChangeArrowheads="1"/>
                    </pic:cNvPicPr>
                  </pic:nvPicPr>
                  <pic:blipFill>
                    <a:blip r:embed="rId8"/>
                    <a:stretch>
                      <a:fillRect/>
                    </a:stretch>
                  </pic:blipFill>
                  <pic:spPr bwMode="auto">
                    <a:xfrm>
                      <a:off x="0" y="0"/>
                      <a:ext cx="5753100" cy="3705386"/>
                    </a:xfrm>
                    <a:prstGeom prst="rect">
                      <a:avLst/>
                    </a:prstGeom>
                    <a:noFill/>
                    <a:ln w="9525">
                      <a:noFill/>
                      <a:headEnd/>
                      <a:tailEnd/>
                    </a:ln>
                  </pic:spPr>
                </pic:pic>
              </a:graphicData>
            </a:graphic>
          </wp:inline>
        </w:drawing>
      </w:r>
    </w:p>
    <w:p w14:paraId="37F61599" w14:textId="77777777" w:rsidR="00D96A54" w:rsidRDefault="00000000">
      <w:pPr>
        <w:pStyle w:val="ImageCaption"/>
      </w:pPr>
      <w:r>
        <w:t>Marvin Collins, “Sailing the Seven Seas as an Adventurer”, Spirit Lake Beacon (1938)</w:t>
      </w:r>
    </w:p>
    <w:p w14:paraId="76A75BFB" w14:textId="77777777" w:rsidR="00D96A54" w:rsidRDefault="00000000">
      <w:pPr>
        <w:pStyle w:val="BodyText"/>
      </w:pPr>
      <w:r>
        <w:t>Como bien pronosticaba Collins, mi abuelo se bajó del viaje en Chile junto a Quayat, posiblemente para volver a sus estudios, pero Cavanagh continuó el viaje hasta Australia. El regreso de este último argentino fue muy documentado en la revista El Gráfico del 16 de junio de 1939, donde el periodista Martín Vázquez entrevista a Cavanagh y cuenta la historia de la travesía:</w:t>
      </w:r>
    </w:p>
    <w:p w14:paraId="0D809E61" w14:textId="77777777" w:rsidR="00D96A54" w:rsidRDefault="00000000">
      <w:pPr>
        <w:pStyle w:val="BlockText"/>
      </w:pPr>
      <w:r>
        <w:rPr>
          <w:i/>
          <w:iCs/>
        </w:rPr>
        <w:t xml:space="preserve">Una autopresentación telefónica y ya éramos amigos con Cavanagh, que es un gran muchacho criollo con sabor a inglés, del cual no se ha podido desprender no obstante descender de cuatro o cinco generaciones de argentinos. Lo que sí tiene de buen criollo es su francachota llaneza y una accesibilidad que casi siempre desconocen los sajones. Bueno, lo pintaré mejor diciendo simplemente que es un gaucho rubio. Efectivamente, desciende de una tradicional familia de estancieros de origen inglés. ¿Cómo diablo tiró para el mar? Sólo él y Dios lo saben. Posiblemente alguna fuerza ancestral. Lo cierto es que la noche en que lo vi por primera vez, cuando zarpaba el Henrietta, hablaba y accionaba como un viejo “sea-dog”, en el más rematado inglés de marinero, andando por la arboladura como si lo hubiera hecho toda la vida. Daba la impresión de ser el más lobo de mar de toda la gente de a bordo, y con seguridad lo es ahora. Sin reparos y con entusiasmo, en la mesa de un bar, entre copa y copa, bien a la usanza marinera, me relata su pintoresco viaje. Hablando sintéticamente diré que de todo el viaje, la parte peor fue el tirón desde el sur de Chiloé hasta Valparaíso, justamente cuando abandonaron el Henrietta </w:t>
      </w:r>
      <w:r>
        <w:rPr>
          <w:i/>
          <w:iCs/>
        </w:rPr>
        <w:lastRenderedPageBreak/>
        <w:t>Ezcurra y Quayat, y cuando se encontraban más escasos de tripulantes que nunca</w:t>
      </w:r>
      <w:r>
        <w:t xml:space="preserve"> (Vázquez, 1939).</w:t>
      </w:r>
    </w:p>
    <w:p w14:paraId="1A489BD3" w14:textId="77777777" w:rsidR="00D96A54" w:rsidRDefault="00000000">
      <w:pPr>
        <w:pStyle w:val="CaptionedFigure"/>
      </w:pPr>
      <w:r>
        <w:drawing>
          <wp:inline distT="0" distB="0" distL="0" distR="0" wp14:anchorId="6CFDA918" wp14:editId="5A4CEF75">
            <wp:extent cx="5753100" cy="3818921"/>
            <wp:effectExtent l="0" t="0" r="0" b="0"/>
            <wp:docPr id="31" name="Picture" descr="J. Martínez Vázquez, “Eduardo Cavanagh, el muchacho argentino que fue en el Henrietta, está de vuelta” (Horacio a la izquierda), El Gráfico (1939)"/>
            <wp:cNvGraphicFramePr/>
            <a:graphic xmlns:a="http://schemas.openxmlformats.org/drawingml/2006/main">
              <a:graphicData uri="http://schemas.openxmlformats.org/drawingml/2006/picture">
                <pic:pic xmlns:pic="http://schemas.openxmlformats.org/drawingml/2006/picture">
                  <pic:nvPicPr>
                    <pic:cNvPr id="32" name="Picture" descr="./assets/elgrafico.png"/>
                    <pic:cNvPicPr>
                      <a:picLocks noChangeAspect="1" noChangeArrowheads="1"/>
                    </pic:cNvPicPr>
                  </pic:nvPicPr>
                  <pic:blipFill>
                    <a:blip r:embed="rId9"/>
                    <a:stretch>
                      <a:fillRect/>
                    </a:stretch>
                  </pic:blipFill>
                  <pic:spPr bwMode="auto">
                    <a:xfrm>
                      <a:off x="0" y="0"/>
                      <a:ext cx="5753100" cy="3818921"/>
                    </a:xfrm>
                    <a:prstGeom prst="rect">
                      <a:avLst/>
                    </a:prstGeom>
                    <a:noFill/>
                    <a:ln w="9525">
                      <a:noFill/>
                      <a:headEnd/>
                      <a:tailEnd/>
                    </a:ln>
                  </pic:spPr>
                </pic:pic>
              </a:graphicData>
            </a:graphic>
          </wp:inline>
        </w:drawing>
      </w:r>
    </w:p>
    <w:p w14:paraId="6E8EA40C" w14:textId="77777777" w:rsidR="00D96A54" w:rsidRDefault="00000000">
      <w:pPr>
        <w:pStyle w:val="ImageCaption"/>
      </w:pPr>
      <w:r>
        <w:t>J. Martínez Vázquez, “Eduardo Cavanagh, el muchacho argentino que fue en el Henrietta, está de vuelta” (Horacio a la izquierda), El Gráfico (1939)</w:t>
      </w:r>
    </w:p>
    <w:p w14:paraId="71385B9D" w14:textId="77777777" w:rsidR="00D96A54" w:rsidRDefault="00000000">
      <w:pPr>
        <w:pStyle w:val="BodyText"/>
      </w:pPr>
      <w:r>
        <w:t>Mi tío Exequiel Ezcurra fue quien llevó a cabo la mayor parte de la investigación sobre el viaje, inspirado por mi primo Joaquín Ezcurra que encontró en 2012 una cinta en VHS de la película, la digitalizó y la envió por email a toda la familia. Toda la información del viaje parte de su documentación, publicada en su blog:</w:t>
      </w:r>
    </w:p>
    <w:p w14:paraId="1A1F8E99" w14:textId="77777777" w:rsidR="00D96A54" w:rsidRDefault="00000000">
      <w:pPr>
        <w:pStyle w:val="BodyText"/>
      </w:pPr>
      <w:r>
        <w:rPr>
          <w:i/>
          <w:iCs/>
        </w:rPr>
        <w:t xml:space="preserve">Después que Joaquín Ezcurra nos enviara la versión digital de la película de Horacio Ezcurra –“El Yayo”– con su fascinante viaje alrededor del continente en la goleta “Henrietta”, me puse a buscar en las hemerotecas de la época a ver si encontraba alguna pista periodística del viaje. Finalmente, encontré lo que buscaba: Uno de los tripulantes del “Henrietta” era un joven norteamericano llamado Marvin Collins, hijo de un pastor metodista del pueblo de Spirit Lake, en Iowa. Durante el viaje del barco, las cartas que enviaba Marvin Collins a sus padres fueron publicadas en el diario local, llamado el “Spirit Lake Beacon”. Aquí publico las transcripciones de las noticias, comenzando a partir de la descripción del embarco en Buenos Aires, escrita en 30 de diciembre de 1937 y publicada en el diario el 26 de febrero de 1938, en </w:t>
      </w:r>
      <w:r>
        <w:rPr>
          <w:i/>
          <w:iCs/>
        </w:rPr>
        <w:lastRenderedPageBreak/>
        <w:t>donde Marvin Collins describe la llegada de tres argentinos (Alberto Quayat, Horacio Ezcurra, y Eduardo Cavanagh): “They look like nice chaps“, escribe. A medida que vaya haciendo las transcripciones, seguirán las cartas subsecuentes.</w:t>
      </w:r>
      <w:r>
        <w:t xml:space="preserve"> (Ezcurra, 2012).</w:t>
      </w:r>
      <w:r>
        <w:rPr>
          <w:rStyle w:val="FootnoteReference"/>
        </w:rPr>
        <w:footnoteReference w:id="3"/>
      </w:r>
    </w:p>
    <w:p w14:paraId="47AE4119" w14:textId="77777777" w:rsidR="00D96A54" w:rsidRDefault="00000000">
      <w:pPr>
        <w:pStyle w:val="CaptionedFigure"/>
      </w:pPr>
      <w:r>
        <w:drawing>
          <wp:inline distT="0" distB="0" distL="0" distR="0" wp14:anchorId="548B5184" wp14:editId="7FC31203">
            <wp:extent cx="5753100" cy="932002"/>
            <wp:effectExtent l="0" t="0" r="0" b="0"/>
            <wp:docPr id="35" name="Picture" descr="Joaquín Ezcurra, foto de la copia en VHS de “Henrietta” (2012)"/>
            <wp:cNvGraphicFramePr/>
            <a:graphic xmlns:a="http://schemas.openxmlformats.org/drawingml/2006/main">
              <a:graphicData uri="http://schemas.openxmlformats.org/drawingml/2006/picture">
                <pic:pic xmlns:pic="http://schemas.openxmlformats.org/drawingml/2006/picture">
                  <pic:nvPicPr>
                    <pic:cNvPr id="36" name="Picture" descr="./assets/henrietta_vhs.png"/>
                    <pic:cNvPicPr>
                      <a:picLocks noChangeAspect="1" noChangeArrowheads="1"/>
                    </pic:cNvPicPr>
                  </pic:nvPicPr>
                  <pic:blipFill>
                    <a:blip r:embed="rId10"/>
                    <a:stretch>
                      <a:fillRect/>
                    </a:stretch>
                  </pic:blipFill>
                  <pic:spPr bwMode="auto">
                    <a:xfrm>
                      <a:off x="0" y="0"/>
                      <a:ext cx="5753100" cy="932002"/>
                    </a:xfrm>
                    <a:prstGeom prst="rect">
                      <a:avLst/>
                    </a:prstGeom>
                    <a:noFill/>
                    <a:ln w="9525">
                      <a:noFill/>
                      <a:headEnd/>
                      <a:tailEnd/>
                    </a:ln>
                  </pic:spPr>
                </pic:pic>
              </a:graphicData>
            </a:graphic>
          </wp:inline>
        </w:drawing>
      </w:r>
    </w:p>
    <w:p w14:paraId="03043ACC" w14:textId="77777777" w:rsidR="00D96A54" w:rsidRDefault="00000000">
      <w:pPr>
        <w:pStyle w:val="ImageCaption"/>
      </w:pPr>
      <w:r>
        <w:t>Joaquín Ezcurra, foto de la copia en VHS de “Henrietta” (2012)</w:t>
      </w:r>
    </w:p>
    <w:p w14:paraId="54504800" w14:textId="77777777" w:rsidR="00D96A54" w:rsidRDefault="00000000">
      <w:pPr>
        <w:pStyle w:val="BodyText"/>
      </w:pPr>
      <w:r>
        <w:t>Mi abuelo Horacio tuvo la oportunidad de documentar el viaje con una filmadora de 16 mm, posiblemente prestada. El material es fascinante, y pueden verse imágenes de Mar del Plata, Mar Argentino, Estrecho de Magallanes, glaciares, barcos petroleros, nativos Kawésqar, Valparaíso y Los Andes. También la relación entre ellos en el viaje, que eran 12 tripulantes: 7 norteamericanos, 2 británicos y 3 argentinos.</w:t>
      </w:r>
    </w:p>
    <w:p w14:paraId="26E70211" w14:textId="77777777" w:rsidR="00D96A54" w:rsidRDefault="00000000">
      <w:pPr>
        <w:pStyle w:val="BodyText"/>
      </w:pPr>
      <w:r>
        <w:rPr>
          <w:i/>
          <w:iCs/>
        </w:rPr>
        <w:t>Henrietta</w:t>
      </w:r>
      <w:r>
        <w:t xml:space="preserve"> partió de una obsesión personal con la fotografía analógica y también por una curiosidad natural de estudiante de cine por trabajar con fílmico, cosa que para mi generación y al menos para la Universidad de Buenos Aires era un poco lejana. Para el 2014 estaba muy inspirado por el cine de Werner Herzog, filmado en exteriores, de personajes masculinos aventureros en paisajes inhóspitos. En la cátedra Campos-Trilnick, el último año de diseño es de temática libre, y me parecía un buen punto de partida, porque para obtener una “buena resolución” era este camino o trabajar con cámaras de alta definición en un proyecto totalmente diferente.</w:t>
      </w:r>
    </w:p>
    <w:p w14:paraId="07471D65" w14:textId="77777777" w:rsidR="00D96A54" w:rsidRDefault="00000000">
      <w:pPr>
        <w:pStyle w:val="BodyText"/>
      </w:pPr>
      <w:r>
        <w:t xml:space="preserve">Desde un punto de vista técnico estaba interesado en el fílmico por una idealización que tenía de la resolución potencialmente infinita de la película analógica (por no tratarse de valores discretos de píxeles). Ese año había visto en el festival BAFICI una restauración en 4k de </w:t>
      </w:r>
      <w:r>
        <w:rPr>
          <w:i/>
          <w:iCs/>
        </w:rPr>
        <w:t>La Épica del Everest</w:t>
      </w:r>
      <w:r>
        <w:t xml:space="preserve">, de John Noel, y me fascinó poder </w:t>
      </w:r>
      <w:r>
        <w:lastRenderedPageBreak/>
        <w:t>ver esas imágenes del pasado en una resolución tan alta, con los planos del Everest entintados en azul. Fue la primera vez que vi cine de principio de siglo en alta resolución.</w:t>
      </w:r>
    </w:p>
    <w:p w14:paraId="4E3F6FA7" w14:textId="77777777" w:rsidR="00D96A54" w:rsidRDefault="00000000">
      <w:pPr>
        <w:pStyle w:val="BodyText"/>
      </w:pPr>
      <w:r>
        <w:t>Me puse en contacto con mi familia para localizar el material original, y parece que estaba guardado en la casa en San Luis donde supo vivir mi abuelo en sus últimos años. Cuando dí con el material, me encontré con una gran decepción. La película desprendía un olor muy fuerte a vinagre y el material estaba endurecido y resquebradizo, era muy difícil apreciar las imágenes porque parecía como si la emulsión se hubiera separado del soporte. Con un poco de investigación descubrí el famoso “Síndrome del Vinagre”,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14:paraId="72AB29D7" w14:textId="77777777" w:rsidR="00D96A54" w:rsidRDefault="00000000">
      <w:pPr>
        <w:pStyle w:val="BodyText"/>
      </w:pPr>
      <w:r>
        <w:t>Además de esto la película estaba encojida y arrugada, era imposible de reproducir en un proyector convencional, también imposible de enviar a digitalizar a una casa de post profesional como había imaginado en un comienzo… así que recurrí a métodos caseros. En internet encontré un señor alemán llamado W. Kurz que digitalizaba sus películas en 16 mm con un escáner Epson V700 y una serie de motores</w:t>
      </w:r>
      <w:r>
        <w:rPr>
          <w:rStyle w:val="FootnoteReference"/>
        </w:rPr>
        <w:footnoteReference w:id="4"/>
      </w:r>
      <w:r>
        <w:t>. Inspirado en este trabajo compré el mismo escáner pero por el estado de la película tuve que hacer el arrastre y la digitalización de forma manual, cuadro por cuadro.</w:t>
      </w:r>
    </w:p>
    <w:p w14:paraId="2B710495" w14:textId="77777777" w:rsidR="00D96A54" w:rsidRDefault="00000000">
      <w:pPr>
        <w:pStyle w:val="BodyText"/>
      </w:pPr>
      <w:r>
        <w:t xml:space="preserve">Esta primera etapa me tomó varios meses, fueron días de mucha repetición y concentración. Por cada pasada capturaba 9 fotogramas a la vez, de un total de casi 20.000. El trabajo consistía en posicionar, escanear, recortar, compilar, estabilizar y renderizar. Diseñé un sistema en el que escaneaba cada tira, con Photoshop individualizaba los fotogramas en orden a través de una grilla, compilaba nuevamente la animación en After Effects, estabilizaba el movimiento y exportaba el video. Cada tanto podía mirar un poco el resultado y descubrir detalles y cosas </w:t>
      </w:r>
      <w:r>
        <w:lastRenderedPageBreak/>
        <w:t>nuevas (porque ya conocíamos la película en su versión VHS). Por la fragilidad, cada tira de película que retiraba del rollo quedaba desprendida del resto.</w:t>
      </w:r>
    </w:p>
    <w:p w14:paraId="29C99C20" w14:textId="77777777" w:rsidR="00D96A54" w:rsidRDefault="00000000">
      <w:pPr>
        <w:pStyle w:val="CaptionedFigure"/>
      </w:pPr>
      <w:r>
        <w:drawing>
          <wp:inline distT="0" distB="0" distL="0" distR="0" wp14:anchorId="7996EDDB" wp14:editId="2E2FD2A3">
            <wp:extent cx="5753100" cy="2186627"/>
            <wp:effectExtent l="0" t="0" r="0" b="0"/>
            <wp:docPr id="39" name="Picture" descr="A la izquierda, Henrietta en VHS, a la derecha, Henrietta en alta resolución (2014)"/>
            <wp:cNvGraphicFramePr/>
            <a:graphic xmlns:a="http://schemas.openxmlformats.org/drawingml/2006/main">
              <a:graphicData uri="http://schemas.openxmlformats.org/drawingml/2006/picture">
                <pic:pic xmlns:pic="http://schemas.openxmlformats.org/drawingml/2006/picture">
                  <pic:nvPicPr>
                    <pic:cNvPr id="40" name="Picture" descr="./assets/henrietta.png"/>
                    <pic:cNvPicPr>
                      <a:picLocks noChangeAspect="1" noChangeArrowheads="1"/>
                    </pic:cNvPicPr>
                  </pic:nvPicPr>
                  <pic:blipFill>
                    <a:blip r:embed="rId11"/>
                    <a:stretch>
                      <a:fillRect/>
                    </a:stretch>
                  </pic:blipFill>
                  <pic:spPr bwMode="auto">
                    <a:xfrm>
                      <a:off x="0" y="0"/>
                      <a:ext cx="5753100" cy="2186627"/>
                    </a:xfrm>
                    <a:prstGeom prst="rect">
                      <a:avLst/>
                    </a:prstGeom>
                    <a:noFill/>
                    <a:ln w="9525">
                      <a:noFill/>
                      <a:headEnd/>
                      <a:tailEnd/>
                    </a:ln>
                  </pic:spPr>
                </pic:pic>
              </a:graphicData>
            </a:graphic>
          </wp:inline>
        </w:drawing>
      </w:r>
    </w:p>
    <w:p w14:paraId="367742DB" w14:textId="77777777" w:rsidR="00D96A54" w:rsidRDefault="00000000">
      <w:pPr>
        <w:pStyle w:val="ImageCaption"/>
      </w:pPr>
      <w:r>
        <w:t>A la izquierda, Henrietta en VHS, a la derecha, Henrietta en alta resolución (2014)</w:t>
      </w:r>
    </w:p>
    <w:p w14:paraId="184C8D20" w14:textId="77777777" w:rsidR="00D96A54" w:rsidRDefault="00000000">
      <w:pPr>
        <w:pStyle w:val="BodyText"/>
      </w:pPr>
      <w:r>
        <w:t>El proyecto se transformó en otra cosa: pasé de la búsqueda por la “buena resolución” al interés de salvar esas imágenes de la destrucción total (al menos en su forma fílmica). El resultado era asombroso pero cada fotograma era distinto del otro, las imágenes bailaban entre foto y foto y se generaba un movimiento muy psicodélico.</w:t>
      </w:r>
    </w:p>
    <w:p w14:paraId="4BCEB5A1" w14:textId="77777777" w:rsidR="00D96A54" w:rsidRDefault="00000000">
      <w:pPr>
        <w:pStyle w:val="BodyText"/>
      </w:pPr>
      <w:r>
        <w:t>Luego de digitalizar la totalidad del material, pasé a la segunda fase, “qué hacer con el material”. Estaba muy inspirado por las imágenes y quería generar algún tipo de inmersión en el espectador. Para esto, diseñé un espacio bidimensional parecido a un “dominó”, conectando planos por su morfología y continuidad espacial. Cada plano estaba loopeado como si fuera un GIF, lo que me permitía explorar este espacio sin prestar mucha atención al tiempo. Este espacio bidimensional era recorrido por una cámara virtual, que entraba y salía de los escenarios. Por momentos también hacía un montaje convencional, pero esta idea fue la principal a la hora de explorar las imágenes. Esto iba en contra de la dirección natural de una película en fílmico, que es vertical, y me gustaba la idea de evidenciar el dispositivo, el fílmico, las perforaciones y las marcas de la cámara.</w:t>
      </w:r>
    </w:p>
    <w:p w14:paraId="541AB362" w14:textId="77777777" w:rsidR="00D96A54" w:rsidRDefault="00000000">
      <w:pPr>
        <w:pStyle w:val="CaptionedFigure"/>
      </w:pPr>
      <w:r>
        <w:lastRenderedPageBreak/>
        <w:drawing>
          <wp:inline distT="0" distB="0" distL="0" distR="0" wp14:anchorId="7BB0763A" wp14:editId="3BB4860F">
            <wp:extent cx="5753100" cy="3236118"/>
            <wp:effectExtent l="0" t="0" r="0" b="0"/>
            <wp:docPr id="42" name="Picture" descr="Espacio construído en After Effects, que era recorrido por una cámara virtual" title="Espacio construído en After Effects, que era recorrido por una cámara virtual"/>
            <wp:cNvGraphicFramePr/>
            <a:graphic xmlns:a="http://schemas.openxmlformats.org/drawingml/2006/main">
              <a:graphicData uri="http://schemas.openxmlformats.org/drawingml/2006/picture">
                <pic:pic xmlns:pic="http://schemas.openxmlformats.org/drawingml/2006/picture">
                  <pic:nvPicPr>
                    <pic:cNvPr id="43" name="Picture" descr="./assets/vista.png"/>
                    <pic:cNvPicPr>
                      <a:picLocks noChangeAspect="1" noChangeArrowheads="1"/>
                    </pic:cNvPicPr>
                  </pic:nvPicPr>
                  <pic:blipFill>
                    <a:blip r:embed="rId12"/>
                    <a:stretch>
                      <a:fillRect/>
                    </a:stretch>
                  </pic:blipFill>
                  <pic:spPr bwMode="auto">
                    <a:xfrm>
                      <a:off x="0" y="0"/>
                      <a:ext cx="5753100" cy="3236118"/>
                    </a:xfrm>
                    <a:prstGeom prst="rect">
                      <a:avLst/>
                    </a:prstGeom>
                    <a:noFill/>
                    <a:ln w="9525">
                      <a:noFill/>
                      <a:headEnd/>
                      <a:tailEnd/>
                    </a:ln>
                  </pic:spPr>
                </pic:pic>
              </a:graphicData>
            </a:graphic>
          </wp:inline>
        </w:drawing>
      </w:r>
    </w:p>
    <w:p w14:paraId="1F60A4E6" w14:textId="77777777" w:rsidR="00D96A54" w:rsidRDefault="00000000">
      <w:pPr>
        <w:pStyle w:val="ImageCaption"/>
      </w:pPr>
      <w:r>
        <w:t>Espacio construído en After Effects, que era recorrido por una cámara virtual</w:t>
      </w:r>
    </w:p>
    <w:p w14:paraId="59A2CD6A" w14:textId="77777777" w:rsidR="00D96A54" w:rsidRDefault="00000000">
      <w:pPr>
        <w:pStyle w:val="BodyText"/>
      </w:pPr>
      <w:r>
        <w:t>Los textos de El Gráfico y el Spirit Lake Beacon fueron incorporados al trabajo de forma gráfica y sirvieron como separadores entre escenas. La banda sonora fue compuesta por el músico argentino Ariel Schlichter.</w:t>
      </w:r>
    </w:p>
    <w:p w14:paraId="55AF4EBF" w14:textId="77777777" w:rsidR="00D96A54" w:rsidRDefault="00000000">
      <w:pPr>
        <w:pStyle w:val="BodyText"/>
      </w:pPr>
      <w:r>
        <w:t>Luego de terminado el montaje se pasó a la siguiente fase de videoinstalación. Por sugerencia de mi profesor Mariano Ramis, diseñamos una pantalla de tela no tensada, suelta, que era flameada por unos ventiladores a los laterales del marco de la pantalla. La idea era imitar el movimiento que se generaba en las imágenes. También se le agregó un switch automático que encendía y apagaba los ventiladores cada unos segundos para generar irregularidad en el movimiento.</w:t>
      </w:r>
    </w:p>
    <w:p w14:paraId="416CDD2A" w14:textId="77777777" w:rsidR="00D96A54" w:rsidRDefault="00000000">
      <w:pPr>
        <w:pStyle w:val="BodyText"/>
      </w:pPr>
      <w:r>
        <w:t xml:space="preserve">A finales del año 2014 </w:t>
      </w:r>
      <w:r>
        <w:rPr>
          <w:i/>
          <w:iCs/>
        </w:rPr>
        <w:t>Henrietta</w:t>
      </w:r>
      <w:r>
        <w:t xml:space="preserve"> se mostró en la muestra anual de diseño en el Centro Hipermediático Experimental Latino Americano (cheLA), junto a otros trabajos de la cátedra. El proyecto fue muy grato, fueron muchos meses de trabajo y más adelante llegó a ganar algunos premios y reconocimientos</w:t>
      </w:r>
      <w:r>
        <w:rPr>
          <w:rStyle w:val="FootnoteReference"/>
        </w:rPr>
        <w:footnoteReference w:id="5"/>
      </w:r>
      <w:r>
        <w:t xml:space="preserve">. El material en </w:t>
      </w:r>
      <w:r>
        <w:lastRenderedPageBreak/>
        <w:t xml:space="preserve">crudo fue incluso proyectado en el Museo Malba de Buenos Aires en el marco del Orphan Films Symposium, invitado por Andrés Levinson. Además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 </w:t>
      </w:r>
      <w:r>
        <w:rPr>
          <w:i/>
          <w:iCs/>
        </w:rPr>
        <w:t>Henrietta</w:t>
      </w:r>
      <w:r>
        <w:t xml:space="preserve"> para digitalizar distintos materiales. El mismo sistema se utilizó para digitalizar los fotogramas del libro </w:t>
      </w:r>
      <w:r>
        <w:rPr>
          <w:i/>
          <w:iCs/>
        </w:rPr>
        <w:t>Nitrato argentino, una historia del cine de los primeros tiempos</w:t>
      </w:r>
      <w:r>
        <w:t>, editado por Carolina Cappa y el museo. Este sistema de digitalización y conservación del 2014 me acompañó hasta el día de hoy y es, en una versión más nueva, una de las herramientas de experimentación que se usan en la tesis.</w:t>
      </w:r>
    </w:p>
    <w:p w14:paraId="086D5DB1" w14:textId="77777777" w:rsidR="00D96A54" w:rsidRDefault="00000000">
      <w:pPr>
        <w:pStyle w:val="CaptionedFigure"/>
      </w:pPr>
      <w:r>
        <w:drawing>
          <wp:inline distT="0" distB="0" distL="0" distR="0" wp14:anchorId="1787B203" wp14:editId="4BC4D848">
            <wp:extent cx="5753100" cy="4314824"/>
            <wp:effectExtent l="0" t="0" r="0" b="0"/>
            <wp:docPr id="46" name="Picture" descr="Fotograma de Henrietta (2014)"/>
            <wp:cNvGraphicFramePr/>
            <a:graphic xmlns:a="http://schemas.openxmlformats.org/drawingml/2006/main">
              <a:graphicData uri="http://schemas.openxmlformats.org/drawingml/2006/picture">
                <pic:pic xmlns:pic="http://schemas.openxmlformats.org/drawingml/2006/picture">
                  <pic:nvPicPr>
                    <pic:cNvPr id="47" name="Picture" descr="./assets/henrietta_b.jpg"/>
                    <pic:cNvPicPr>
                      <a:picLocks noChangeAspect="1" noChangeArrowheads="1"/>
                    </pic:cNvPicPr>
                  </pic:nvPicPr>
                  <pic:blipFill>
                    <a:blip r:embed="rId13"/>
                    <a:stretch>
                      <a:fillRect/>
                    </a:stretch>
                  </pic:blipFill>
                  <pic:spPr bwMode="auto">
                    <a:xfrm>
                      <a:off x="0" y="0"/>
                      <a:ext cx="5753100" cy="4314824"/>
                    </a:xfrm>
                    <a:prstGeom prst="rect">
                      <a:avLst/>
                    </a:prstGeom>
                    <a:noFill/>
                    <a:ln w="9525">
                      <a:noFill/>
                      <a:headEnd/>
                      <a:tailEnd/>
                    </a:ln>
                  </pic:spPr>
                </pic:pic>
              </a:graphicData>
            </a:graphic>
          </wp:inline>
        </w:drawing>
      </w:r>
    </w:p>
    <w:p w14:paraId="66B00313" w14:textId="77777777" w:rsidR="00D96A54" w:rsidRDefault="00000000">
      <w:pPr>
        <w:pStyle w:val="ImageCaption"/>
      </w:pPr>
      <w:r>
        <w:t>Fotograma de Henrietta (2014)</w:t>
      </w:r>
    </w:p>
    <w:p w14:paraId="0972DD73" w14:textId="77777777" w:rsidR="00D96A54" w:rsidRDefault="00000000">
      <w:pPr>
        <w:pStyle w:val="Heading2"/>
      </w:pPr>
      <w:bookmarkStart w:id="9" w:name="X7df11c77e6814c231c9685731423dea7fec0159"/>
      <w:bookmarkStart w:id="10" w:name="_Toc162595654"/>
      <w:bookmarkEnd w:id="7"/>
      <w:r>
        <w:lastRenderedPageBreak/>
        <w:t>Cuanto más se conecta, menos se conecta (2019)</w:t>
      </w:r>
      <w:bookmarkEnd w:id="10"/>
    </w:p>
    <w:p w14:paraId="16A64DAF" w14:textId="77777777" w:rsidR="00D96A54" w:rsidRDefault="00000000">
      <w:pPr>
        <w:pStyle w:val="FirstParagraph"/>
      </w:pPr>
      <w:r>
        <w:t>No tengo muchas imágenes en video de mi infancia, mis padres no tenían filmadora así que el único material audiovisual de esa época es un cassette que grabó mi tío Miguel en una de sus visitas por Bariloche. Esta película, junto a otra producida por mi jardín de infantes, y el proyector de diapositivas de mi papá, eran las experiencias más cercanas que tuve de acercamiento a la creación audiovisual de chico, y me impactaban mucho. Empezaba a entender que existían las películas, y también otro tipo de películas, en las que uno podía participar.</w:t>
      </w:r>
    </w:p>
    <w:p w14:paraId="04FF024D" w14:textId="77777777" w:rsidR="00D96A54" w:rsidRDefault="00000000">
      <w:pPr>
        <w:pStyle w:val="BodyText"/>
      </w:pPr>
      <w:r>
        <w:t xml:space="preserve">Como se mencionó antes, </w:t>
      </w:r>
      <w:r>
        <w:rPr>
          <w:i/>
          <w:iCs/>
        </w:rPr>
        <w:t>Cuanto más se conecta, menos se conecta</w:t>
      </w:r>
      <w:r>
        <w:t xml:space="preserve"> fue realizada en contexto de una residencia de tres meses en la </w:t>
      </w:r>
      <w:r>
        <w:rPr>
          <w:i/>
          <w:iCs/>
        </w:rPr>
        <w:t>School for Poetic Computation</w:t>
      </w:r>
      <w:r>
        <w:t xml:space="preserve"> en Nueva York. Esta escuela, que sigue hasta el día de hoy, es una institución de enseñanza de electrónica e informática con un enfoque crítico y poético, fundada por Zach Lieberman y Taeyoon Choi en 2013. La residencia en 2019 se realizó en un espacio del edificio Westbeth, en el Far West Village de Manhattan. Originalmente este lugar había sido construido como un complejo de 13 edificios en 1868 para Western Electric. En 1898, Bell Laboratories lo compró y lo convirtió en uno de los centros de investigación más importantes del mundo. Fue aquí donde se proyectó la primera película sonora, el micrófono de condensador, la primera transmisión de televisión y la primera computadora binaria. En 1966, Bell Labs se trasladó fuera de Manhattan. A partir de 1970 comenzó a funcionar como un edificio para hospedar artistas y familias de artistas</w:t>
      </w:r>
      <w:r>
        <w:rPr>
          <w:rStyle w:val="FootnoteReference"/>
        </w:rPr>
        <w:footnoteReference w:id="6"/>
      </w:r>
      <w:r>
        <w:t>. En un espacio de este edificio es que se llevó a cabo la cursada, que se dividió en cuatro materias, dictadas por diferentes profesores, y se nos permitió utilizar el espacio para desarrollar un proyecto final.</w:t>
      </w:r>
    </w:p>
    <w:p w14:paraId="460801A3" w14:textId="77777777" w:rsidR="00D96A54" w:rsidRDefault="00000000">
      <w:pPr>
        <w:pStyle w:val="CaptionedFigure"/>
      </w:pPr>
      <w:r>
        <w:lastRenderedPageBreak/>
        <w:drawing>
          <wp:inline distT="0" distB="0" distL="0" distR="0" wp14:anchorId="59AA2F07" wp14:editId="70DAF675">
            <wp:extent cx="5753100" cy="4258263"/>
            <wp:effectExtent l="0" t="0" r="0" b="0"/>
            <wp:docPr id="51" name="Picture" descr="Clase de Recreating the Past, dictada por Zach Lieberman (2019)"/>
            <wp:cNvGraphicFramePr/>
            <a:graphic xmlns:a="http://schemas.openxmlformats.org/drawingml/2006/main">
              <a:graphicData uri="http://schemas.openxmlformats.org/drawingml/2006/picture">
                <pic:pic xmlns:pic="http://schemas.openxmlformats.org/drawingml/2006/picture">
                  <pic:nvPicPr>
                    <pic:cNvPr id="52" name="Picture" descr="./assets/sfpc.jpg"/>
                    <pic:cNvPicPr>
                      <a:picLocks noChangeAspect="1" noChangeArrowheads="1"/>
                    </pic:cNvPicPr>
                  </pic:nvPicPr>
                  <pic:blipFill>
                    <a:blip r:embed="rId14"/>
                    <a:stretch>
                      <a:fillRect/>
                    </a:stretch>
                  </pic:blipFill>
                  <pic:spPr bwMode="auto">
                    <a:xfrm>
                      <a:off x="0" y="0"/>
                      <a:ext cx="5753100" cy="4258263"/>
                    </a:xfrm>
                    <a:prstGeom prst="rect">
                      <a:avLst/>
                    </a:prstGeom>
                    <a:noFill/>
                    <a:ln w="9525">
                      <a:noFill/>
                      <a:headEnd/>
                      <a:tailEnd/>
                    </a:ln>
                  </pic:spPr>
                </pic:pic>
              </a:graphicData>
            </a:graphic>
          </wp:inline>
        </w:drawing>
      </w:r>
    </w:p>
    <w:p w14:paraId="3C33B6DD" w14:textId="77777777" w:rsidR="00D96A54" w:rsidRDefault="00000000">
      <w:pPr>
        <w:pStyle w:val="ImageCaption"/>
      </w:pPr>
      <w:r>
        <w:t>Clase de Recreating the Past, dictada por Zach Lieberman (2019)</w:t>
      </w:r>
    </w:p>
    <w:p w14:paraId="26FAFE4D" w14:textId="77777777" w:rsidR="00D96A54" w:rsidRDefault="00000000">
      <w:pPr>
        <w:pStyle w:val="BodyText"/>
      </w:pPr>
      <w:r>
        <w:t>Después de aproximadamente 2 meses de cursada había llegado el momento de desarrollar el trabajo para la exposición final. Yo tenía digitalizado el video de mi infancia de mi tío Miguel y se me ocurrió partir de ese material. En primer lugar, en la cursada había desarrollado un programa en Python que con una librería llamada Moviepy desordenaba los fotogramas de un video de una forma determinada: al primero le seguía el último, al segundo el penúltimo, al tercero el antepenúltimo, y así. Si un video era una sucesión de imágenes A-B-C-D-E-F-G, el programa devolvía un video con siguiente orden: A-G-B-F-C-E-D</w:t>
      </w:r>
      <w:r>
        <w:rPr>
          <w:rStyle w:val="FootnoteReference"/>
        </w:rPr>
        <w:footnoteReference w:id="7"/>
      </w:r>
      <w:r>
        <w:t xml:space="preserve">. Este primer acercamiento demostró ser un muy buen ejemplo de la tecnología del código para editar video, cosa que no había hecho nunca programáticamente. Con el video de mi infancia quedaba muy </w:t>
      </w:r>
      <w:r>
        <w:lastRenderedPageBreak/>
        <w:t>bien, generaba una banda sonora muy especial y la alternancia de imágenes un efecto muy hipnótico en la retina del ojo, al mejor estilo de cine expandido</w:t>
      </w:r>
      <w:r>
        <w:rPr>
          <w:rStyle w:val="FootnoteReference"/>
        </w:rPr>
        <w:footnoteReference w:id="8"/>
      </w:r>
      <w:r>
        <w:t>.</w:t>
      </w:r>
    </w:p>
    <w:p w14:paraId="05FA846D" w14:textId="77777777" w:rsidR="00D96A54" w:rsidRDefault="00000000">
      <w:pPr>
        <w:pStyle w:val="BodyText"/>
      </w:pPr>
      <w:r>
        <w:t>En otra materia habíamos visto librerías de detección de rostros con inteligencia artificial. Con ella uno podía detectar caras en una imagen y reemplazarlas o recortarlas en tiempo real, a través de una cámara o un video. Esto me llevó a experimentar con el material en video y experimentar con las caras de la familia y generar un collage digital-analógico muy particular.</w:t>
      </w:r>
    </w:p>
    <w:p w14:paraId="76B702C4" w14:textId="77777777" w:rsidR="00D96A54" w:rsidRDefault="00000000">
      <w:pPr>
        <w:pStyle w:val="BodyText"/>
      </w:pPr>
      <w:r>
        <w:t>Más adelante llegó el momento de combinar todas estas tecnologías, y viendo los recursos disponibles en la escuela conseguí dos monitores de PC sin carcaza, con el marco de aluminio expuesto, a los que les incorporé un panel de aluminio con conectores banana hembra.</w:t>
      </w:r>
    </w:p>
    <w:p w14:paraId="65F209BE" w14:textId="77777777" w:rsidR="00D96A54" w:rsidRDefault="00000000">
      <w:pPr>
        <w:pStyle w:val="CaptionedFigure"/>
      </w:pPr>
      <w:r>
        <w:drawing>
          <wp:inline distT="0" distB="0" distL="0" distR="0" wp14:anchorId="1B2DDB52" wp14:editId="49439328">
            <wp:extent cx="5753100" cy="3835400"/>
            <wp:effectExtent l="0" t="0" r="0" b="0"/>
            <wp:docPr id="56" name="Picture" descr="Construcción de paneles laterales"/>
            <wp:cNvGraphicFramePr/>
            <a:graphic xmlns:a="http://schemas.openxmlformats.org/drawingml/2006/main">
              <a:graphicData uri="http://schemas.openxmlformats.org/drawingml/2006/picture">
                <pic:pic xmlns:pic="http://schemas.openxmlformats.org/drawingml/2006/picture">
                  <pic:nvPicPr>
                    <pic:cNvPr id="57" name="Picture" descr="./assets/monitores.jpg"/>
                    <pic:cNvPicPr>
                      <a:picLocks noChangeAspect="1" noChangeArrowheads="1"/>
                    </pic:cNvPicPr>
                  </pic:nvPicPr>
                  <pic:blipFill>
                    <a:blip r:embed="rId15"/>
                    <a:stretch>
                      <a:fillRect/>
                    </a:stretch>
                  </pic:blipFill>
                  <pic:spPr bwMode="auto">
                    <a:xfrm>
                      <a:off x="0" y="0"/>
                      <a:ext cx="5753100" cy="3835400"/>
                    </a:xfrm>
                    <a:prstGeom prst="rect">
                      <a:avLst/>
                    </a:prstGeom>
                    <a:noFill/>
                    <a:ln w="9525">
                      <a:noFill/>
                      <a:headEnd/>
                      <a:tailEnd/>
                    </a:ln>
                  </pic:spPr>
                </pic:pic>
              </a:graphicData>
            </a:graphic>
          </wp:inline>
        </w:drawing>
      </w:r>
    </w:p>
    <w:p w14:paraId="116CB7A3" w14:textId="77777777" w:rsidR="00D96A54" w:rsidRDefault="00000000">
      <w:pPr>
        <w:pStyle w:val="ImageCaption"/>
      </w:pPr>
      <w:r>
        <w:t>Construcción de paneles laterales</w:t>
      </w:r>
    </w:p>
    <w:p w14:paraId="12CD9420" w14:textId="77777777" w:rsidR="00D96A54" w:rsidRDefault="00000000">
      <w:pPr>
        <w:pStyle w:val="BodyText"/>
      </w:pPr>
      <w:r>
        <w:lastRenderedPageBreak/>
        <w:t>Como se explicó anteriormente, los paneles de aluminio adaptados a sus lados conectaban un monitor con el otro a través de cables banana monopolares. Las distintas combinaciones de cables eran traducidas a digital por un módulo Arduino e interpretadas en una computadora por un programa escrito en openFrameworks. Este programa tenía precargados todos los videos alterados, y se iban acumulando en capas de acuerdo al orden de los cables. Desde el punto de vista del espectador, en el monitor izquierdo se podía ver el material sin editar en crudo. En el monitor derecho, la pantalla en negro. Cuando se conectaba un cable de la izquierda a la derecha se generaban distintos resultados en este monitor derecho, que consistían en combinaciones de caras de personajes de la familia recortadas por un algoritmo de reconocimiento facial, y algoritmos de edición que desordenaban los fotogramas del video original. El resultado a la derecha era un collage desordenado y caótico de caras, escenarios y sonidos.</w:t>
      </w:r>
    </w:p>
    <w:p w14:paraId="73B85408" w14:textId="77777777" w:rsidR="00D96A54" w:rsidRDefault="00000000">
      <w:pPr>
        <w:pStyle w:val="CaptionedFigure"/>
      </w:pPr>
      <w:r>
        <w:drawing>
          <wp:inline distT="0" distB="0" distL="0" distR="0" wp14:anchorId="4071527A" wp14:editId="5675F034">
            <wp:extent cx="5753100" cy="3835400"/>
            <wp:effectExtent l="0" t="0" r="0" b="0"/>
            <wp:docPr id="59" name="Picture" descr="A la izquierda: módulo Arduino. A la derecha: monitores terminados."/>
            <wp:cNvGraphicFramePr/>
            <a:graphic xmlns:a="http://schemas.openxmlformats.org/drawingml/2006/main">
              <a:graphicData uri="http://schemas.openxmlformats.org/drawingml/2006/picture">
                <pic:pic xmlns:pic="http://schemas.openxmlformats.org/drawingml/2006/picture">
                  <pic:nvPicPr>
                    <pic:cNvPr id="60" name="Picture" descr="./assets/arduino.jpg"/>
                    <pic:cNvPicPr>
                      <a:picLocks noChangeAspect="1" noChangeArrowheads="1"/>
                    </pic:cNvPicPr>
                  </pic:nvPicPr>
                  <pic:blipFill>
                    <a:blip r:embed="rId16"/>
                    <a:stretch>
                      <a:fillRect/>
                    </a:stretch>
                  </pic:blipFill>
                  <pic:spPr bwMode="auto">
                    <a:xfrm>
                      <a:off x="0" y="0"/>
                      <a:ext cx="5753100" cy="3835400"/>
                    </a:xfrm>
                    <a:prstGeom prst="rect">
                      <a:avLst/>
                    </a:prstGeom>
                    <a:noFill/>
                    <a:ln w="9525">
                      <a:noFill/>
                      <a:headEnd/>
                      <a:tailEnd/>
                    </a:ln>
                  </pic:spPr>
                </pic:pic>
              </a:graphicData>
            </a:graphic>
          </wp:inline>
        </w:drawing>
      </w:r>
    </w:p>
    <w:p w14:paraId="017CB0E5" w14:textId="77777777" w:rsidR="00D96A54" w:rsidRDefault="00000000">
      <w:pPr>
        <w:pStyle w:val="ImageCaption"/>
      </w:pPr>
      <w:r>
        <w:t>A la izquierda: módulo Arduino. A la derecha: monitores terminados.</w:t>
      </w:r>
    </w:p>
    <w:p w14:paraId="279AE994" w14:textId="77777777" w:rsidR="00D96A54" w:rsidRDefault="00000000">
      <w:pPr>
        <w:pStyle w:val="BodyText"/>
      </w:pPr>
      <w:r>
        <w:rPr>
          <w:i/>
          <w:iCs/>
        </w:rPr>
        <w:t>Cuanto más se conecta, menos se conecta</w:t>
      </w:r>
      <w:r>
        <w:t xml:space="preserve"> vino a concluir y representar un poco lo aprendido en la cursada. La pantalla de la izquierda era una representación del pasado inalterado, y la pantalla de la derecha aludía a la forma en que tendemos a </w:t>
      </w:r>
      <w:r>
        <w:lastRenderedPageBreak/>
        <w:t>recordar las cosas: fragmentadas, rotas, en detalles, reconstruidas. Fue un ejercicio de nostalgia y memoria, que contrasta tecnologías analógicas con digitales, confrontando el video de baja resolución con la detección de rostros, los filtros, la inteligencia artificial y los algoritmos automáticos.</w:t>
      </w:r>
    </w:p>
    <w:p w14:paraId="7CFFA8EE" w14:textId="77777777" w:rsidR="00D96A54" w:rsidRDefault="00000000">
      <w:pPr>
        <w:pStyle w:val="CaptionedFigure"/>
      </w:pPr>
      <w:r>
        <w:drawing>
          <wp:inline distT="0" distB="0" distL="0" distR="0" wp14:anchorId="058CEB96" wp14:editId="0A36942A">
            <wp:extent cx="5753100" cy="3236118"/>
            <wp:effectExtent l="0" t="0" r="0" b="0"/>
            <wp:docPr id="62" name="Picture" descr="Cuanto más se conecta, menos se conecta (2019)"/>
            <wp:cNvGraphicFramePr/>
            <a:graphic xmlns:a="http://schemas.openxmlformats.org/drawingml/2006/main">
              <a:graphicData uri="http://schemas.openxmlformats.org/drawingml/2006/picture">
                <pic:pic xmlns:pic="http://schemas.openxmlformats.org/drawingml/2006/picture">
                  <pic:nvPicPr>
                    <pic:cNvPr id="63" name="Picture" descr="./assets/cuandomas.jpg"/>
                    <pic:cNvPicPr>
                      <a:picLocks noChangeAspect="1" noChangeArrowheads="1"/>
                    </pic:cNvPicPr>
                  </pic:nvPicPr>
                  <pic:blipFill>
                    <a:blip r:embed="rId17"/>
                    <a:stretch>
                      <a:fillRect/>
                    </a:stretch>
                  </pic:blipFill>
                  <pic:spPr bwMode="auto">
                    <a:xfrm>
                      <a:off x="0" y="0"/>
                      <a:ext cx="5753100" cy="3236118"/>
                    </a:xfrm>
                    <a:prstGeom prst="rect">
                      <a:avLst/>
                    </a:prstGeom>
                    <a:noFill/>
                    <a:ln w="9525">
                      <a:noFill/>
                      <a:headEnd/>
                      <a:tailEnd/>
                    </a:ln>
                  </pic:spPr>
                </pic:pic>
              </a:graphicData>
            </a:graphic>
          </wp:inline>
        </w:drawing>
      </w:r>
    </w:p>
    <w:p w14:paraId="7700B9D1" w14:textId="77777777" w:rsidR="00D96A54" w:rsidRDefault="00000000">
      <w:pPr>
        <w:pStyle w:val="ImageCaption"/>
      </w:pPr>
      <w:r>
        <w:t>Cuanto más se conecta, menos se conecta (2019)</w:t>
      </w:r>
    </w:p>
    <w:p w14:paraId="71E57930" w14:textId="77777777" w:rsidR="00D96A54" w:rsidRDefault="00000000">
      <w:pPr>
        <w:pStyle w:val="Heading2"/>
      </w:pPr>
      <w:bookmarkStart w:id="11" w:name="la-preservación-involuntaria"/>
      <w:bookmarkStart w:id="12" w:name="_Toc162595655"/>
      <w:bookmarkEnd w:id="9"/>
      <w:r>
        <w:lastRenderedPageBreak/>
        <w:t>La preservación involuntaria</w:t>
      </w:r>
      <w:bookmarkEnd w:id="12"/>
    </w:p>
    <w:p w14:paraId="0B6726CB" w14:textId="77777777" w:rsidR="00D96A54" w:rsidRDefault="00000000">
      <w:pPr>
        <w:pStyle w:val="FirstParagraph"/>
      </w:pPr>
      <w:r>
        <w:t xml:space="preserve">Podríamos imaginar entonces que </w:t>
      </w:r>
      <w:r>
        <w:rPr>
          <w:i/>
          <w:iCs/>
        </w:rPr>
        <w:t>Henrietta</w:t>
      </w:r>
      <w:r>
        <w:t xml:space="preserve"> y </w:t>
      </w:r>
      <w:r>
        <w:rPr>
          <w:i/>
          <w:iCs/>
        </w:rPr>
        <w:t>Cuando más se conecta menos se conecta</w:t>
      </w:r>
      <w:r>
        <w:t xml:space="preserve"> pertenecen a este universo transicional que describe Fosatti, y podríamos pensarlas en una contexto de recuperación accidental como sostiene Sandusky. ¿Qué podemos decir de una preservacíon involuntaria? Quizás la creación artística en general provoca este resultado automáticamente. Vamos a verlo a través de un ejemplo.</w:t>
      </w:r>
    </w:p>
    <w:p w14:paraId="0F47F312" w14:textId="77777777" w:rsidR="00D96A54" w:rsidRDefault="00000000">
      <w:pPr>
        <w:pStyle w:val="BodyText"/>
      </w:pPr>
      <w:r>
        <w:t>Un realizador experimental encuentra en los años 90 una película Super 8 junto a la basura caminando por su barrio. Vuelve a su casa y decide pintar el celuloide a mano con marcadores y pinceles, influenciado por Len Lye, Norman McLaren y Stan Brakhage. 30 años después digitaliza las películas cuadro a cuadro con un escáner en su casa y sin necesidad de un proyector reconstruye la animación del movimiento en su computadora. Satisfecho con el resultado, guarda el trabajo en un disco externo y comparte el video en Instagram y Vimeo. Recibe un par de likes. Algunos foros de animación publican su creación e incluso descubre que otros usuarios lo descargan y lo vuelven a subir.</w:t>
      </w:r>
    </w:p>
    <w:p w14:paraId="5644AB4A" w14:textId="77777777" w:rsidR="00D96A54" w:rsidRDefault="00000000">
      <w:pPr>
        <w:pStyle w:val="BodyText"/>
      </w:pPr>
      <w:r>
        <w:t xml:space="preserve">Es 2020: el realizador lee sobre el auge de las criptomonedas y los NFT. Las obras digitales tienen un valor de mercado. Decide subir su obra a la </w:t>
      </w:r>
      <w:r>
        <w:rPr>
          <w:i/>
          <w:iCs/>
        </w:rPr>
        <w:t>Blockchain</w:t>
      </w:r>
      <w:r>
        <w:t xml:space="preserve"> y sin entender mucho la pone a la venta en “HicEtNunc” en formato GIF. Este GIF queda para siempre circulando en estos sitios, respaldado por tecnologías de bloques, algoritmos y sistemas de guardado descentralizados. Un coleccionista compra la obra por 20 “Tezos”, la moneda que utiliza esa red. La obra ya se reprodujo y copió cientos de veces.</w:t>
      </w:r>
    </w:p>
    <w:p w14:paraId="236C271A" w14:textId="77777777" w:rsidR="00D96A54" w:rsidRDefault="00000000">
      <w:pPr>
        <w:pStyle w:val="BodyText"/>
      </w:pPr>
      <w:r>
        <w:t>Pasan los años, es el año 2050. El disco rígido se rompió hace mucho y los NFT nunca resultaron, y los foros de animadores experimentales están en su mayoría caídos. Y quizás no se supo más de este realizador experimental, sus discos y herramientas terminaron en un tacho de reciclables, y los foros solo existen en la Wayback Machine de Archive.org, que ahora es paga. Quizás la Blockchain conserva rastros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14:paraId="0724D588" w14:textId="77777777" w:rsidR="00D96A54" w:rsidRDefault="00000000">
      <w:pPr>
        <w:pStyle w:val="BodyText"/>
      </w:pPr>
      <w:r>
        <w:lastRenderedPageBreak/>
        <w:t>Preservar es un verbo ambiguo: a pesar de su definición más pura de “conservar la forma original de algo a lo largo del tiempo”, en la idea que venimos describiendo los autores “inmortalizan” sus obras por utilizar determinados medios y soportes y por un búsqueda estética. No parece ocurrir intencionalmente y en realidad es parte de la creación. Sin embargo, es esa justamente la base de la búsqueda: el trazo que dejan los distintos soportes físicos y digitales; las copias, iteraciones y generaciones; y el proceso que perdura y se preserva.</w:t>
      </w:r>
    </w:p>
    <w:p w14:paraId="2B208804" w14:textId="77777777" w:rsidR="00D96A54" w:rsidRDefault="00000000">
      <w:pPr>
        <w:pStyle w:val="BodyText"/>
      </w:pPr>
      <w:r>
        <w:t>En este tipo de hibridez e iteración es que se observa una preservación involuntaria. En las decisiones estéticas y técnicas que quizás determinan la única copia que queda de algo importante que queríamos recordar.</w:t>
      </w:r>
    </w:p>
    <w:p w14:paraId="1A0ED17B" w14:textId="77777777" w:rsidR="00D96A54" w:rsidRDefault="00000000">
      <w:pPr>
        <w:pStyle w:val="Heading1"/>
      </w:pPr>
      <w:bookmarkStart w:id="13" w:name="ii-preservación-y-obsolescencia"/>
      <w:bookmarkStart w:id="14" w:name="_Toc162595656"/>
      <w:bookmarkEnd w:id="5"/>
      <w:bookmarkEnd w:id="11"/>
      <w:r>
        <w:lastRenderedPageBreak/>
        <w:t>II. Preservación y obsolescencia</w:t>
      </w:r>
      <w:bookmarkEnd w:id="14"/>
    </w:p>
    <w:p w14:paraId="45870EDC" w14:textId="77777777" w:rsidR="00D96A54" w:rsidRDefault="00000000">
      <w:pPr>
        <w:pStyle w:val="FirstParagraph"/>
      </w:pPr>
      <w:r>
        <w:t>¿Por qué se preserva? ¿Cómo se guardan las películas? ¿Qué tienen en común con el arte por computadora? ¿Cómo hacen los museos para salvar videos, páginas web, obras de arte electrónico y videojuegos en tiempos de velocidad tecnológica y obsolescencia electrónica? En este segundo capítulo vamos a estudiar algunas formas de preservación de los “Time-based Media” y vamos a analizar el trabajo de algunos referentes artísticos y técnicos del mundo del cine experimental, el arte por computadora, el arte electrónico y los archivos de internet.</w:t>
      </w:r>
    </w:p>
    <w:p w14:paraId="6951EA15" w14:textId="77777777" w:rsidR="00D96A54" w:rsidRDefault="00000000">
      <w:pPr>
        <w:pStyle w:val="BodyText"/>
      </w:pPr>
      <w:r>
        <w:t>Los “Time-based Media” son aquellos medios que se “despliegan” en el tiempo, y a pesar de que muchas veces son de naturaleza tecnológica, es un nombre flexible que engloba disciplinas desde cine y video hasta instalaciones, arte electrónico y performance. En general estas obras, que son muchas veces de naturaleza efímera, dependen de su formato desplegado en el espacio, o de ciertas tecnologías específicas que hacen posible su desarrollo y ejecución. Son medios inestables, en constante cambio y actualización. Mientras que existen estándares internacionales para el manejo, instalación y cuidado de obras de arte tradicionales, en este grupo los métodos suelen ser más jóvenes y son principalmente estudiados por instituciones específicas en cooperación con estándares de industrias audiovisuales y tecnológicas.</w:t>
      </w:r>
    </w:p>
    <w:p w14:paraId="068E1182" w14:textId="77777777" w:rsidR="00D96A54" w:rsidRDefault="00000000">
      <w:pPr>
        <w:pStyle w:val="Heading2"/>
      </w:pPr>
      <w:bookmarkStart w:id="15" w:name="el-desafío-de-preservar"/>
      <w:bookmarkStart w:id="16" w:name="_Toc162595657"/>
      <w:r>
        <w:lastRenderedPageBreak/>
        <w:t>El desafío de preservar</w:t>
      </w:r>
      <w:bookmarkEnd w:id="16"/>
    </w:p>
    <w:p w14:paraId="13424E98" w14:textId="77777777" w:rsidR="00D96A54" w:rsidRDefault="00000000">
      <w:pPr>
        <w:pStyle w:val="FirstParagraph"/>
      </w:pPr>
      <w:r>
        <w:t xml:space="preserve">¿Qué es preservar? del latín </w:t>
      </w:r>
      <w:r>
        <w:rPr>
          <w:i/>
          <w:iCs/>
        </w:rPr>
        <w:t>praeservare</w:t>
      </w:r>
      <w:r>
        <w:t xml:space="preserve"> (“cuidar/observar con antelación”), preservar podría definirse como proteger anticipadamente alguna cosa frente a accidentes, acciones humanas o el paso del tiempo. Preservar implica pensar estrategias para desafiar el paso del tiempo y desarrollar un juicio de valor para decidir el criterio con el que se preserva. En este primer apartado vamos a contextualizar de forma general la acción de preservar y vincular sus particularidades y contradicciones con el mundo de la preservación de obras cinematográficas.</w:t>
      </w:r>
    </w:p>
    <w:p w14:paraId="71CDD0B1" w14:textId="77777777" w:rsidR="00D96A54" w:rsidRDefault="00000000">
      <w:pPr>
        <w:pStyle w:val="Heading3"/>
      </w:pPr>
      <w:bookmarkStart w:id="17" w:name="orígenes-criterios-y-alternativas"/>
      <w:bookmarkStart w:id="18" w:name="_Toc162595658"/>
      <w:r>
        <w:t>Orígenes, criterios y alternativas</w:t>
      </w:r>
      <w:bookmarkEnd w:id="18"/>
    </w:p>
    <w:p w14:paraId="7FCC0E55" w14:textId="77777777" w:rsidR="00D96A54" w:rsidRDefault="00000000">
      <w:pPr>
        <w:pStyle w:val="FirstParagraph"/>
      </w:pPr>
      <w:r>
        <w:t>¿Por qué preservamos? La investigadora argentina Mariela Cantú plantea que “una de las más fascinantes e imperecederas fantasías humanas (aún hoy, a pesar de todas nuestras derrotas) radica en la creencia de un mundo que puede ser ordenado, clasificado y así, en última instancia, dominado. (…) Es aquí donde el archivo se hace presente, en la medida en que su concepto (y su labor) proponen un ordenamiento, un discurso y, en última instancia, una forma de contacto con el pasado y con las posibles memorias que pueden generarse a partir de él” (Cantú, 2015).</w:t>
      </w:r>
    </w:p>
    <w:p w14:paraId="524ED2C8" w14:textId="77777777" w:rsidR="00D96A54" w:rsidRDefault="00000000">
      <w:pPr>
        <w:pStyle w:val="BodyText"/>
      </w:pPr>
      <w:r>
        <w:t xml:space="preserve">El historiador norteamericano David Lowenthal explica algunos de los orígenes de la “manía por la memorabilia” de la humanidad en su artículo </w:t>
      </w:r>
      <w:r>
        <w:rPr>
          <w:i/>
          <w:iCs/>
        </w:rPr>
        <w:t>Material Preservation and Its Alternatives</w:t>
      </w:r>
      <w:r>
        <w:t>. En primer lugar plantea los orígenes de la preservación en la búsqueda humana por sus raíces desde un aspecto nostálgico y genealógico: la tradición oral, el romanticismo por la historia, las expectativas y la decepción con el presente. En este contexto, también destaca como orígenes la difusión del nacionalismo, que preserva íconos de identidad, y el capitalismo, que preserva símbolos de poder. Y en segundo lugar plantea lo obvio: la memoria es trunca y da origen a herramientas de preservación como aniversarios, archivos y museos (Lowenthal, 1989, p. 68).</w:t>
      </w:r>
    </w:p>
    <w:p w14:paraId="34F91EE5" w14:textId="77777777" w:rsidR="00D96A54" w:rsidRDefault="00000000">
      <w:pPr>
        <w:pStyle w:val="BodyText"/>
      </w:pPr>
      <w:r>
        <w:t xml:space="preserve">El autor enumera de manera general un par de motivos de la preservación en forma de “cultos”. Primero habla del “culto a lo representativo” como el mérito a aquello que </w:t>
      </w:r>
      <w:r>
        <w:lastRenderedPageBreak/>
        <w:t>representa “algo de un tiempo determinado”. Después plantea el “culto al folklore” por el valor de los pueblos que no dejaron palabra escrita. El “culto a lo familiar y reciente” como una lucha contra la obsolescencia y la dislocación. Y el “culto a lo económico” por la explotación energética, turística o de materiales (Lowenthal, 1989, p. 68).</w:t>
      </w:r>
    </w:p>
    <w:p w14:paraId="542301AB" w14:textId="77777777" w:rsidR="00D96A54" w:rsidRDefault="00000000">
      <w:pPr>
        <w:pStyle w:val="BodyText"/>
      </w:pPr>
      <w:r>
        <w:t>Lowenthal también explica los criterios y contradicciones de preservar patrimonio histórico a través del dilema de “El Barco de Teseo” de Plutarco. Amarrado en el muelle de un astillero por reparaciones, todas las viejas tablas del barco son reemplazadas por unas nuevas. ¿Es todavía el barco original? Según el autor es difícil separar la “identidad” de la “colección”, lo más importante son las propiedades genéticas: el creador, el período, y la historia. Por otro lado, Lowenthal también plantea que preservar conlleva contradicciones en la sociedad: los “costos” contra el progreso de la modernidad, la preservación contra la creatividad, y el divorcio con la realidad de todos los días (Lowenthal, 1989, p. 69 - 71).</w:t>
      </w:r>
    </w:p>
    <w:p w14:paraId="5E03EC17" w14:textId="77777777" w:rsidR="00D96A54" w:rsidRDefault="00000000">
      <w:pPr>
        <w:pStyle w:val="BodyText"/>
      </w:pPr>
      <w:r>
        <w:t>Lowenthal además propone que preservar es más que la persistencia física de algo y lo ejemplifica a través de algunas alternativas. Primero habla de la “fragmentación”, preservar una parte y no el todo, lo que trae ventajas espaciales y simbólicas. Luego habla de preservar con “procesos”, la destrucción inherente a la preservación como parte de una reconstrucción (y cita el ejemplo del templo de madera Ise Shinto en Japón que en los últimos mil años se viene desarmando y rearmando completamente cada 20 años). Y finalmente habla de preservar con “el lenguaje y las ideas”, la memoria contra la persistencia física, como la china de Mao cuando se mandó demoler monumentos históricos para dar paso a nuevas ideas y nuevo arte, donde las posesiones materiales son vistas como vicios que dan lugar a la lujuria de la acumulación (Lowenthal, 1989, p. 74). Lowenthal acompaña esta idea de que si bien preservar es innato a la vida, no lo es más que innovar: “Preservation is not action or epilogue; it is only prologue” [Preservar no es la acción ni el epílogo; es solamente el prólogo] (Lowenthal, 1989, p. 76).</w:t>
      </w:r>
    </w:p>
    <w:p w14:paraId="57850891" w14:textId="77777777" w:rsidR="00D96A54" w:rsidRDefault="00000000">
      <w:pPr>
        <w:pStyle w:val="BodyText"/>
      </w:pPr>
      <w:r>
        <w:t>Preservar entonces es un acto creativo, innovador, contradictorio e innato en el ser humano, y muchas decisiones se toman en relación al momento histórico, el contexto, los recursos y el patrimonio en sí. Vamos a ver los desafíos de preservar películas.</w:t>
      </w:r>
    </w:p>
    <w:p w14:paraId="25A69731" w14:textId="77777777" w:rsidR="00D96A54" w:rsidRDefault="00000000">
      <w:pPr>
        <w:pStyle w:val="Heading3"/>
      </w:pPr>
      <w:bookmarkStart w:id="19" w:name="una-obligación-incuestionable"/>
      <w:bookmarkStart w:id="20" w:name="_Toc162595659"/>
      <w:bookmarkEnd w:id="17"/>
      <w:r>
        <w:lastRenderedPageBreak/>
        <w:t>Una obligación incuestionable</w:t>
      </w:r>
      <w:bookmarkEnd w:id="20"/>
    </w:p>
    <w:p w14:paraId="0302F797" w14:textId="77777777" w:rsidR="00D96A54" w:rsidRDefault="00000000">
      <w:pPr>
        <w:pStyle w:val="FirstParagraph"/>
      </w:pPr>
      <w:r>
        <w:t xml:space="preserve">En el prólogo al libro </w:t>
      </w:r>
      <w:r>
        <w:rPr>
          <w:i/>
          <w:iCs/>
        </w:rPr>
        <w:t>Clasificar para Preservar</w:t>
      </w:r>
      <w:r>
        <w:t xml:space="preserve"> del investigador español en cine Alfonso del Amo García plantea la “obligación incuestionable” de las civilizaciones de “preservar la memoria y la historia”. El texto asevera que “mediante la palabra repetida y atesorada en piedra, pergamino y papel, sabemos quiénes somos y cuál es nuestro lugar en el mundo” (Amo García, 2008). Considerando las diferentes realidades socio económicas e históricas de los archivos del mundo, el autor presenta el libro como una especie de guía y manifiesto y no como un “manual de preservación”.</w:t>
      </w:r>
    </w:p>
    <w:p w14:paraId="23E10598" w14:textId="77777777" w:rsidR="00D96A54" w:rsidRDefault="00000000">
      <w:pPr>
        <w:pStyle w:val="BlockText"/>
      </w:pPr>
      <w:r>
        <w:rPr>
          <w:i/>
          <w:iCs/>
        </w:rPr>
        <w:t>…los archivos se mueven en un amplio abanico de circunstancias económicas y técnicas, en general muy precarias. Pocos archivos disponen del personal y los recursos necesarios y casi ninguno puede garantizar el mantenimiento indefinido de las condiciones de conservación; además, todos los archivos están sometidos a presiones para que centren sus posibilidades económicas en “lo digital”</w:t>
      </w:r>
      <w:r>
        <w:t xml:space="preserve"> (Amo García, 2008).</w:t>
      </w:r>
    </w:p>
    <w:p w14:paraId="0AA0525E" w14:textId="77777777" w:rsidR="00D96A54" w:rsidRDefault="00000000">
      <w:pPr>
        <w:pStyle w:val="FirstParagraph"/>
      </w:pPr>
      <w:r>
        <w:t>Además de resaltar la importancia del compartir y el acceso a las películas, el autor prioriza la clasificación en los archivos y el conocimiento técnico de los materiales como fuente de poder frente a la acción implacable del tiempo. De la era del cine silente en Estados Unidos se estima que al menos el 70% de las películas están completamente perdidas (Pierce, 2013, p. 136).</w:t>
      </w:r>
    </w:p>
    <w:p w14:paraId="4384A8D4" w14:textId="77777777" w:rsidR="00D96A54" w:rsidRDefault="00000000">
      <w:pPr>
        <w:pStyle w:val="BodyText"/>
      </w:pPr>
      <w:r>
        <w:t>La idea principal del libro es la documentación: la mayor cantidad posible. En la introducción se plantea que “la clasificación de los materiales que se tienen que preservar es una actividad básica para cualquier tipo de archivo y, además, es la actividad sobre la que puede fundamentarse la implantación de políticas de preservación” (Amo García, 2008, p. 2). Por otro lado el autor destaca que “la conservación de los originales, en las mejores condiciones funcionales y durante todo el tiempo que sea posible, es la única política que puede asegurar la supervivencia del patrimonio cultural cinematográfico”. Y finalmente hace especial hincapié en la importancia de “reproducir para preservar”, una actividad básica en archivos cinematográficos, que presenta muchas dificultades y discusiones pero que nos abre las puertas a las ideas de acceso que trataremos más adelante.</w:t>
      </w:r>
    </w:p>
    <w:p w14:paraId="534DAE32" w14:textId="77777777" w:rsidR="00D96A54" w:rsidRDefault="00000000">
      <w:pPr>
        <w:pStyle w:val="BodyText"/>
      </w:pPr>
      <w:r>
        <w:t xml:space="preserve">En el libro </w:t>
      </w:r>
      <w:r>
        <w:rPr>
          <w:i/>
          <w:iCs/>
        </w:rPr>
        <w:t>From Grain to Pixel: The Archival Life of Film in Transition</w:t>
      </w:r>
      <w:r>
        <w:t xml:space="preserve"> la archivista Giovana Fossati aumenta la apuesta y suma a la discusión el papel de lo digital en la </w:t>
      </w:r>
      <w:r>
        <w:lastRenderedPageBreak/>
        <w:t>preservación cinematográfica. La autora define al cine como una transición, como una continua transformación de los medios audiovisuales. Este momento transicional que define la autora se basa en su cualidad híbrida analógico-digital, en su momento histórico donde si bien lo digital ya forma parte del estándar industrial, lo analógico sigue siendo relevante en producción y en distribución. Lo analógico en la práctica también funciona como base teórica y metafórica, pues las cámaras, los proyectores y hasta los procesos en el flujo de trabajo industrial son todas herencias de sus parientes analógicos (por ejemplo, la señal digital vs los fotogramas por segundo, la apertura del obturador vs la tasa de refresco de un sensor digital, etc.). Es en este “momento transicional” (Fossati, 2018, p. 22) que se para el archivista hoy y es importante apreciar y estudiar la hibridez de lo analógico y lo digital para entender esta transición en los archivos y la preservación.</w:t>
      </w:r>
    </w:p>
    <w:p w14:paraId="6620A48E" w14:textId="77777777" w:rsidR="00D96A54" w:rsidRDefault="00000000">
      <w:pPr>
        <w:pStyle w:val="BodyText"/>
      </w:pPr>
      <w:r>
        <w:t>Cantú plantea “tres niveles de preservación de la memoria audiovisual: el del deseo de conservar el mundo a través de las imágenes; el de conservar las propias imágenes, en tanto también son estas objetos materiales sometidos al desgaste y por ende, a la desaparición; y el del cuidado hacia los propios archivos que procuran evitar que esas imágenes caigan en el deterioro y la muerte” (Cantú, 2015).</w:t>
      </w:r>
    </w:p>
    <w:p w14:paraId="0D55C71D" w14:textId="77777777" w:rsidR="00D96A54" w:rsidRDefault="00000000">
      <w:pPr>
        <w:pStyle w:val="BodyText"/>
      </w:pPr>
      <w:r>
        <w:t>Las películas implican un desafío particular de preservación. Presentes en las sociedades desde hace poco más de 100 años, ocupan mucho lugar, se descomponen, se pudren. Necesitan temperaturas y humedad controladas. El material de nitrato de la mayoría de las copias del período de cine mudo es inflamable, y el material de acetato se avinagra en ácido acético con facilidad. Las copias se encojen, se endurecen. No es un material fácil, aunque al mismo tiempo es un sistema genial y elemental: a diferencia de sistemas digitales o magnéticos donde hay que decodificar la señal, lo único que requiere una película para apreciarse con el ojo humano es luz a través de su soporte. Esto trae ventajas importantísimas frente a la preservación de otros medios como los “born-digital” o los basados en tiempo que veremos más adelante. Sin embargo, con respecto a esta ventaja, Fossati dice:</w:t>
      </w:r>
    </w:p>
    <w:p w14:paraId="2EC449C0" w14:textId="77777777" w:rsidR="00D96A54" w:rsidRDefault="00000000">
      <w:pPr>
        <w:pStyle w:val="BlockText"/>
      </w:pPr>
      <w:r>
        <w:rPr>
          <w:i/>
          <w:iCs/>
        </w:rPr>
        <w:t xml:space="preserve">…the concepts of analog and digital do not help in distinguishing between those media that are intelligible for us and those that need transcoding to allow intelligibility. Analog photography and film, in the end, are a technological singularity since they are the only representation systems that are fully transcoding-free and isomorphic with the originating </w:t>
      </w:r>
      <w:r>
        <w:rPr>
          <w:i/>
          <w:iCs/>
        </w:rPr>
        <w:lastRenderedPageBreak/>
        <w:t>image, as photographic images are transcribed and stored in a way that is intelligible for us without any kind of transcoding process. This is true unless we consider the chemical development of the latent image of a photograph as a transcoding process in itself.</w:t>
      </w:r>
      <w:r>
        <w:t xml:space="preserve"> […los conceptos de analógico y digital no ayudan a distinguir entre los medios que son comprensibles para nosotros y aquellos que necesitan ser decodificados para permitir la comprensión. La fotografía y el cine analógicos, al final, son una singularidad tecnológica ya que son los únicos sistemas de representación que son completamente libres de codificación e isomorfos con la imagen original, ya que las imágenes fotográficas se transcriben y almacenan de una manera que es comprensible para nosotros sin ningún tipo de proceso de decodificación. Esto es cierto a menos que consideremos el desarrollo químico de la imagen latente de una fotografía como un proceso de decodificación en sí mismo] (Fossati, 2018, p. 26).</w:t>
      </w:r>
    </w:p>
    <w:p w14:paraId="3B4E16A7" w14:textId="77777777" w:rsidR="00D96A54" w:rsidRDefault="00000000">
      <w:pPr>
        <w:pStyle w:val="FirstParagraph"/>
      </w:pPr>
      <w:r>
        <w:t>En relación a esto, es importante hacer una pequeña mención del formato de video. Las cintas magnéticas transportan información en forma de señales eléctricas, codificadas de forma magnética a través de materiales metálicos ordenados sobre el soporte. Cualquier tipo de información que transporten, sea digital o analógica, necesita ser decodificada antes de ser utilizada, por lo que esta particularidad hace del video un sistema que requiere muchísimo mantenimiento y actualización de los dispositivos encargados de reproducirlos. Su utilización en video fue deprecada en los últimos años por sistemas más rápidos como la tarjetas de memoria o los discos rígidos, pero el soporte sigue existiendo, los LTO (Linear-Tape Open), por ejemplo, son sistemas de guardado digital en cinta magnética de capacidades de hasta 18 TB en su última generación. Cada generación requiere de su reproductor indicado, por lo cual el archivado en este tipo de tecnología consume muchísima logística para la mudanza y la actualización.</w:t>
      </w:r>
    </w:p>
    <w:p w14:paraId="3DC7DE95" w14:textId="77777777" w:rsidR="00D96A54" w:rsidRDefault="00000000">
      <w:pPr>
        <w:pStyle w:val="BodyText"/>
      </w:pPr>
      <w:r>
        <w:t>Por esto hoy el cine digital está viviendo una tragedia archivística reminiscente a las de la época del celuloide. Hay una idea errónea de que los archivos digitales son seguros para siempre. Los archivos terminan corrompiéndose, los datos se transfieren incorrectamente, los discos duros fallan, los formatos cambian y el trabajo simplemente desaparece. “Es un incendio silencioso”, como mencionan Gary Baum y Carolyn Giardina en un artículo del Hollywood Reporter (traducido del inglés):“El temor es que, al igual que muchas películas mudas y películas de mediados del siglo pasado se han perdido debido a políticas de archivo inadecuadas, los archivos digitales contemporáneos podrían sufrir un destino similar” (Baum &amp; Giardina, 2024).</w:t>
      </w:r>
    </w:p>
    <w:p w14:paraId="37B2D2C5" w14:textId="77777777" w:rsidR="00D96A54" w:rsidRDefault="00000000">
      <w:pPr>
        <w:pStyle w:val="BodyText"/>
      </w:pPr>
      <w:r>
        <w:lastRenderedPageBreak/>
        <w:t>Con el video magnético no es diferente, y a la migración se le suman también la multiplicidad de formatos. Mariela Cantú explica que “es difícil pensar al video por fuera de la multiplicidad de sus formatos (cintas de 2 pulgadas, de 1 pulgada, Betamax, U-Matic, VHS, Hi-8, Betacam, mini DV, DVCAM, Betacam digital o Digi Beta, D I, D II o el CG, el DVD, la HDD, etc.), así como de la necesaria mudanza de soportes para asegurar su supervivencia” (Cantú, 2015).</w:t>
      </w:r>
    </w:p>
    <w:p w14:paraId="624CA4D5" w14:textId="77777777" w:rsidR="00D96A54" w:rsidRDefault="00000000">
      <w:pPr>
        <w:pStyle w:val="BodyText"/>
      </w:pPr>
      <w:r>
        <w:t>El video cuenta con otra particularidad: el “original” suele ser un componente ambiguo en la cadena de preservación, a diferencia de la escultura o la pintura, o los negativos de cámara de una película. Muchas veces son pasos siguientes a un original, o se trata de una generación del material de algo en otro formato (fílmico, digital, etc). Cantú suma que “muchas veces, antes incluso de alcanzar la desaparición material que ataca al cine fotoquímico, el video migra de soporte. Signados por un presente en el que la hibridez constituye una constante en la creación audiovisual, sería posible inscribir a cada uno de esos soportes como marca de una época, casi como signo de los cambios físicos que se revelan con cada edad en el propio cuerpo (Cantú, 2012).</w:t>
      </w:r>
    </w:p>
    <w:p w14:paraId="315C7458" w14:textId="77777777" w:rsidR="00D96A54" w:rsidRDefault="00000000">
      <w:pPr>
        <w:pStyle w:val="BodyText"/>
      </w:pPr>
      <w:r>
        <w:t>Incluso dentro de la labor de preservación, es notable advertir que las técnicas de restauración de obras insisten en general en el trabajo sobre los originales: en la pintura o la escultura por ser obras únicas, pero también cuando hablamos de películas o fotografías, se busca operar sobre los negativos (para el caso de las imágenes reproducibles, lo más cercano a un original). El video es diverso en este sentido, ya que su supervivencia se ha visto vinculada sobre todo a la ausencia de esa obra material originaria: si bien tuvo que existir una primera copia en el momento de creación, su circulación y por lo tanto su existencia (dos coordenadas que al tratarse de un medio técnicamente reproducible aparecen prácticamente asociadas), han sido definidas por la imposibilidad de rastrear aquella copia primera, en pos de la multiplicación y la difusión (Cantú, 2015).</w:t>
      </w:r>
    </w:p>
    <w:p w14:paraId="42E81C33" w14:textId="77777777" w:rsidR="00D96A54" w:rsidRDefault="00000000">
      <w:pPr>
        <w:pStyle w:val="Heading3"/>
      </w:pPr>
      <w:bookmarkStart w:id="21" w:name="el-acceso-al-original"/>
      <w:bookmarkStart w:id="22" w:name="_Toc162595660"/>
      <w:bookmarkEnd w:id="19"/>
      <w:r>
        <w:t>El acceso al original</w:t>
      </w:r>
      <w:bookmarkEnd w:id="22"/>
    </w:p>
    <w:p w14:paraId="5D8EAE43" w14:textId="77777777" w:rsidR="00D96A54" w:rsidRDefault="00000000">
      <w:pPr>
        <w:pStyle w:val="FirstParagraph"/>
      </w:pPr>
      <w:r>
        <w:t xml:space="preserve">En el libro </w:t>
      </w:r>
      <w:r>
        <w:rPr>
          <w:i/>
          <w:iCs/>
        </w:rPr>
        <w:t>Restoration of Motion Picture Film</w:t>
      </w:r>
      <w:r>
        <w:t xml:space="preserve"> de Read y Meyer se define al original como el material capturado directa y exactamente desde la cámara. El negativo de cámara es el original y los “prints” son las copias para ver el material (Read &amp; Meyer, </w:t>
      </w:r>
      <w:r>
        <w:lastRenderedPageBreak/>
        <w:t>2000, p. 14). Y si en el cine analógico resulta intuitivo imaginar cuál es el material original, en el cine digital la definición tiende a complicarse.</w:t>
      </w:r>
    </w:p>
    <w:p w14:paraId="45C02318" w14:textId="77777777" w:rsidR="00D96A54" w:rsidRDefault="00000000">
      <w:pPr>
        <w:pStyle w:val="BodyText"/>
      </w:pPr>
      <w:r>
        <w:t>En su libro Fossati habla del “original” como el núcleo de la práctica archivística, pero lo define como un punto de discusión entre la naturaleza conceptual y material del medio. Y el original es, en difinitiva, protagonista del conflicto de la preservación que venimos definiendo hasta ahora. La autora defiende lo siguiente:</w:t>
      </w:r>
    </w:p>
    <w:p w14:paraId="770F38FD" w14:textId="77777777" w:rsidR="00D96A54" w:rsidRDefault="00000000">
      <w:pPr>
        <w:pStyle w:val="BlockText"/>
      </w:pPr>
      <w:r>
        <w:rPr>
          <w:i/>
          <w:iCs/>
        </w:rPr>
        <w:t>…the meaning of “original” can change depending on the theoretical frameworks one embraces. “The original” can be a conceptual artifact (e.g. one particular version of a film) or a material artifact (e.g. the original camera negative), it can refer to the film as it was originally shown to the audience, as well as the material film artifact as it was recovered by the film archive. But it can refer to the film as text where its integrity is measured in terms of completeness and continuity (e.g. all the scenes that constitute the version as it was meant by the director, edited in their right order), or to the film as text and as technological artifact, where resolution, color depth and look in general are also integral parts of the whole. In view of all these different assumptions, “film as original” forms a framework of reference in itself and, as such, it lies at the core of the archival practice, the focal point for the discussion on the nature of (archival) film, again, both as material and conceptual artifact.</w:t>
      </w:r>
      <w:r>
        <w:t xml:space="preserve"> […el significado de “original” puede cambiar según los marcos teóricos que uno adopte. “Lo original” puede ser un artefacto conceptual (por ejemplo, una versión particular de una película) o un artefacto material (por ejemplo, el negativo original de la cámara), puede referirse a la película tal como se mostró originalmente al público, así como al artefacto material cinematográfico tal como fue recuperado por el archivo cinematográfico. Pero puede referirse a la película como texto, donde su integridad se mide en términos de completitud y continuidad (por ejemplo, todas las escenas que constituyen la versión tal como fue concebida por el director, editadas en su orden correcto), o a la película como texto y como artefacto tecnológico, donde la resolución, la profundidad de color y el aspecto en general también son partes integrales del conjunto. A la luz de todas estas suposiciones diferentes, “la película como original” forma en sí misma un marco de referencia y, como tal, se encuentra en el núcleo de la práctica archivística, el punto focal para la discusión sobre la naturaleza del cine (archivístico), tanto como artefacto material como conceptual] (Fossati, 2018, p. 161).</w:t>
      </w:r>
    </w:p>
    <w:p w14:paraId="1E0A49FB" w14:textId="77777777" w:rsidR="00D96A54" w:rsidRDefault="00000000">
      <w:pPr>
        <w:pStyle w:val="FirstParagraph"/>
      </w:pPr>
      <w:r>
        <w:t xml:space="preserve">Sería pertinente diferenciar preservación de “acceso” porque muchas veces se mezclan. Como habíamos dicho, preservar patrimonio cultural consiste principalmente en conservar su forma original frente a las adversidades del paso del tiempo, o frente a accidentes o acciones humanas; y muchas veces consiste también en “restaurarlo” (o volverlo) a esa forma. “Dar acceso” a una obra, a nivel </w:t>
      </w:r>
      <w:r>
        <w:lastRenderedPageBreak/>
        <w:t>público, consiste en democratizar su visualización y utilidad. Y podría considerarse la antítesis de la idea de preservación, pues a nivel abstracto puede sugerir degradación y desgaste, aunque muchas veces demuestran ser inesperados salvadores del patrimonio.</w:t>
      </w:r>
    </w:p>
    <w:p w14:paraId="0BC4F6A2" w14:textId="77777777" w:rsidR="00D96A54" w:rsidRDefault="00000000">
      <w:pPr>
        <w:pStyle w:val="BodyText"/>
      </w:pPr>
      <w:r>
        <w:t xml:space="preserve">Un poco parecido a las ideas de Walter Benjamin en </w:t>
      </w:r>
      <w:r>
        <w:rPr>
          <w:i/>
          <w:iCs/>
        </w:rPr>
        <w:t>La obra de arte en la época de su reproductibilidad técnica</w:t>
      </w:r>
      <w:r>
        <w:t>, que planteaba una polaridad en las obras de arte, basada en el valor de culto por un lado y el valor de exhibición por el otro. La producción artística nace al servicio de los rituales: la apreciación humana era casi accidental y lo que realmente importaba era que sea presenciada por dioses y espíritus. A medida que en la historia se fue emancipando el ritual del proceso artístico, el potencial de exhibición fue aumentando, para llegar hoy al énfasis exclusivo puesto en este valor (Benjamin et al., 2008, p. 25).</w:t>
      </w:r>
    </w:p>
    <w:p w14:paraId="1E364D2A" w14:textId="77777777" w:rsidR="00D96A54" w:rsidRDefault="00000000">
      <w:pPr>
        <w:pStyle w:val="BodyText"/>
      </w:pPr>
      <w:r>
        <w:t>Como se habló antes, Del Amo García destacaba la clasificación de los materiales, la conservación de los originales y la “reproducción para la preservación”. Este último punto es importante, porque Fossati menciona que la diferencia principal entre los archivos y los museos o cinematecas es que los primeros tienden a no tener como misión principal el acceso al material (la reproducción), mientras que los otros sí. La principal diferencia entre archivos, museos y cinematecas radica en la forma en que exhiben sus películas, de acuerdo con la declaración de su misión, o política de exhibición (Fossati, 2018, p. 31).</w:t>
      </w:r>
    </w:p>
    <w:p w14:paraId="243B1376" w14:textId="77777777" w:rsidR="00D96A54" w:rsidRDefault="00000000">
      <w:pPr>
        <w:pStyle w:val="BodyText"/>
      </w:pPr>
      <w:r>
        <w:t xml:space="preserve">El concepto de la “conservación de los originales” que menciona del Amo García parece obvia, pero no es así de manera universal. En el ámbito cinematográfico la duplicación fílmica (la copia de películas) sirve tanto para producir copias de acceso al material como para generar nuevas copias de archivo. En Argentina es conocido el caso de la colección de películas de Manuel Peña Rodriguez, actualmente conservadas en el Museo del Cine Pablo Ducrós Hicken de Buenos Aires. En el libro </w:t>
      </w:r>
      <w:r>
        <w:rPr>
          <w:i/>
          <w:iCs/>
        </w:rPr>
        <w:t>Nitrato argentino, una historia del cine de los primeros tiempos</w:t>
      </w:r>
      <w:r>
        <w:t xml:space="preserve">, Leandro Varela cuenta la historia de Peña Rodriguez, un crítico, productor y realizador de cine Argentino que en 1941 fundó el Primer Museo Cinematográfico Argentino (PMCA) y cuya colección pasó a estar bajo custodia del Fondo Nacional de las Artes a finales de los años 60 por una deuda que tenía el crítico con la institución. La colección contaba con importantes obras del período silente en su formato original de 35 mm </w:t>
      </w:r>
      <w:r>
        <w:lastRenderedPageBreak/>
        <w:t>en soporte nitrato, algunas de las cuales hoy se consideraban perdidas. El estatuto del PMCA hacía mención a la posibilidad de reducir películas “con el objeto de facilitar su conservación, distribución y manejo” (Peña, 2011, p. 136) y hacia 1971 se dispuso la destrucción de las copias originales luego de reducirlas a 16 mm en soporte acetato, con intenciones de dar acceso pero también de salvarlas de su pronta degradación total, pues era lo que se solía hacer en esos tiempos con el material en soporte nitrato, que entre otras cosas era inflamable y el acetato era más económico y seguro (“Safety Film”). A esto se le sumó en 1974 una transmisión televisiva de estos cortos del período silente transmitida por Canal 7, en el que sin ningún criterio de preservación se cortaban y editaban nuevas versiones adaptadas para los tiempos televisivos. Los efectos fueron devastadores para la colección: las películas perdieron color, detalle, e incluso coherencia narrativa. Sin embargo, son también las únicas copias existentes de algunas películas que se consideraban perdidas a nivel internacional</w:t>
      </w:r>
      <w:r>
        <w:rPr>
          <w:rStyle w:val="FootnoteReference"/>
        </w:rPr>
        <w:footnoteReference w:id="9"/>
      </w:r>
      <w:r>
        <w:t>. La llegada de la película con soporte de acetato fue de gran impacto en el ámbito de la preservación ya que este nuevo soporte poco inflamable y químicamente estable permitiría generar copias de preservación a largo plazo, aunque al final el soporte resultó ser “altamente susceptible a la descomposición, sobre todo cuando se encuentra conservado en ambientes cálidos y húmedos. Al descomponerse, el soporte comienza a producir ácido acético y emite un olor similar al del vinagre. Es por esto que se suele denominar a esta forma de descomposición fílmica”síndrome de vinagre” (Varela, 2019).</w:t>
      </w:r>
    </w:p>
    <w:p w14:paraId="0966491F" w14:textId="77777777" w:rsidR="00D96A54" w:rsidRDefault="00000000">
      <w:pPr>
        <w:pStyle w:val="BodyText"/>
      </w:pPr>
      <w:r>
        <w:t>La colección de Manuel Peña Rodriguez es una surgida de los márgenes, sin cuidado y legitimización institucional, que finalmente terminan siendo indispensables para el patrimonio audiovisual institucional. Casos parecidos a este son los de Henri Langlois y la Cinemateca Francesa, o la colección de películas efímeras del coleccionista amateur Rick Prelinger, parte de la cual hoy custodia la Library of Congress en Estados Unidos, y de la que sus títulos están disponibles en el Internet Archive.</w:t>
      </w:r>
    </w:p>
    <w:p w14:paraId="340FE708" w14:textId="77777777" w:rsidR="00D96A54" w:rsidRDefault="00000000">
      <w:pPr>
        <w:pStyle w:val="BodyText"/>
      </w:pPr>
      <w:r>
        <w:lastRenderedPageBreak/>
        <w:t>En restauración digital para cine, la idea general de preservación muchas veces depende del interés del cliente que paga por el trabajo. La idea de “conservar” la forma original muchas veces es olvidada y reemplazada por una idea de que se vea “mejor” (e incluso cuando esto implica modificar limitaciones tecnológicas de la época: corregir fluctuaciones de luz, simular fotogramas faltantes, estabilizar la cámara, simular color, etc.).</w:t>
      </w:r>
    </w:p>
    <w:p w14:paraId="611EDD4B" w14:textId="77777777" w:rsidR="00D96A54" w:rsidRDefault="00000000">
      <w:pPr>
        <w:pStyle w:val="BodyText"/>
      </w:pPr>
      <w:r>
        <w:t>Estos dilemas también escapan de los laboratorios de restauración más profesionales: en Youtube hay decenas de canales dedicados al rescate y la preservación de películas del cine mudo, con herramientas de Inteligencia Artificial, que le suman color, resolución, estabilización y fotogramas. “Nineteenth century videos back to life” promete uno de los canales más famosos, con sus upscalings</w:t>
      </w:r>
      <w:r>
        <w:rPr>
          <w:rStyle w:val="FootnoteReference"/>
        </w:rPr>
        <w:footnoteReference w:id="10"/>
      </w:r>
      <w:r>
        <w:t xml:space="preserve"> a 4K y conversión digital a 60 fotogramas por segundo. A pesar de la polémica, la aparición de la IA en películas históricas de Youtube es una hibridez interesante. Fossati también hablaba de la hibridez, y menciona en el libro que citamos anteriormente muchas herramientas de predicción y de inteligencia artificial que se usan en laboratorios de restauración cinematográfica en el apartado </w:t>
      </w:r>
      <w:r>
        <w:rPr>
          <w:i/>
          <w:iCs/>
        </w:rPr>
        <w:t>Scratches, dust, and other spatial problems</w:t>
      </w:r>
      <w:r>
        <w:t xml:space="preserve"> (Fossati, 2018, p. 114). La diferencia entre la última tecnología de un laboratorio europeo que restaura películas y estos usuarios de Youtube que restauran “videos del siglo 19” da para debate (técnicamente ni siquiera son “videos”, o al menos no en su forma original). En primer lugar y como veníamos hablando pareciera haber un abismo importante entre los conceptos de “originales” de ambas partes. En segundo lugar, unos buscan la conservación del original, la vuelta a la generación más fiel del material, mientras que los otros parecieran buscar verosimilitud, realismo, asombro, colores… pero es para largo: las roturas, la velocidad de los fotogramas, la inestabilidad e la proyección, la inexactitud de la cámara, son parte de un original? Los reestrenos de la trilogía original de Star Wars de George Lucas, quien apostó incondicionalmente al digital y en sus sucesivas nuevas versiones fue mejorando planos y tomas de las primeras películas, ¿son más o menos originales? es un debate interesante y quizás excede un poco el objetivo del apartado.</w:t>
      </w:r>
    </w:p>
    <w:p w14:paraId="781C79B5" w14:textId="77777777" w:rsidR="00D96A54" w:rsidRDefault="00000000">
      <w:pPr>
        <w:pStyle w:val="BodyText"/>
      </w:pPr>
      <w:r>
        <w:lastRenderedPageBreak/>
        <w:t>Decíamos que los laboratorios de preservación muchas veces toman decisiones de restauración de acuerdo a lo que busca el cliente. Es interesante el caso del director de cine experimental Bill Brand, devenido en preservador experto, que tiene muchas ideas innatas de preservación por ser parte del mundo de cine vanguardista experimental y conocer bien el medio. Su legado engloba muchos de los puntos que vimos hasta ahora como documentación, acceso, preservación y conceptos de original y copia. Vamos a estudiar un poco a este autor y cómo conecta con las ideas que venimos tratando.</w:t>
      </w:r>
    </w:p>
    <w:p w14:paraId="7776116E" w14:textId="77777777" w:rsidR="00D96A54" w:rsidRDefault="00000000">
      <w:pPr>
        <w:pStyle w:val="Heading3"/>
      </w:pPr>
      <w:bookmarkStart w:id="23" w:name="bill-brand-y-la-preservación-accidental"/>
      <w:bookmarkStart w:id="24" w:name="_Toc162595661"/>
      <w:bookmarkEnd w:id="21"/>
      <w:r>
        <w:t>Bill Brand y la preservación accidental</w:t>
      </w:r>
      <w:bookmarkEnd w:id="24"/>
    </w:p>
    <w:p w14:paraId="0787B2C2" w14:textId="77777777" w:rsidR="00D96A54" w:rsidRDefault="00000000">
      <w:pPr>
        <w:pStyle w:val="FirstParagraph"/>
      </w:pPr>
      <w:r>
        <w:t xml:space="preserve">La directora e investigadora de cine experimental Sharon Sandusky opina que “cuando se hace una película, su mera existencia es un milagro”, que “la recuperación de una película es frecuentemente un proceso accidental”, y que “la creación o la destrucción de imágenes y sonidos está enteramente conducida por intereses económicos” (Sandusky, 1992). La tesis de la autora en el artículo </w:t>
      </w:r>
      <w:r>
        <w:rPr>
          <w:i/>
          <w:iCs/>
        </w:rPr>
        <w:t>The Archaeology of Redemption: Toward Archival Film</w:t>
      </w:r>
      <w:r>
        <w:t xml:space="preserve"> del </w:t>
      </w:r>
      <w:r>
        <w:rPr>
          <w:i/>
          <w:iCs/>
        </w:rPr>
        <w:t>Millenium Film Journal</w:t>
      </w:r>
      <w:r>
        <w:t xml:space="preserve"> apunta a que para los grandes estudios, elegir qué se guarda y que se tira depende de decisiones estrictamente comerciales y que recae en el “taxpayer” (los que pagan impuestos, el estado) la preservación universal de las imágenes. Y en este escenario, además de mencionar la importancia del material de “stock” y su potencial de preservación por el mero hecho de su rentabilidad, la autora destaca el papel de los artistas experimentales de vanguardia que trabajan con material de archivo, o “metraje encontrado”, los “Archival Art Film artists”, quienes por el mero uso de material preexistente muchas veces terminan salvando imágenes que en circunstancias normales terminaría perdidas o descartadas.</w:t>
      </w:r>
    </w:p>
    <w:p w14:paraId="7BE17173" w14:textId="77777777" w:rsidR="00D96A54" w:rsidRDefault="00000000">
      <w:pPr>
        <w:pStyle w:val="BlockText"/>
      </w:pPr>
      <w:r>
        <w:rPr>
          <w:i/>
          <w:iCs/>
        </w:rPr>
        <w:t xml:space="preserve">Many Archival Art Filmmakers take a film fragment and reprint it. The message of the culture industry is that as things are, so they should be. The Archival Art Film locates the fissures in this belief and pushes downward through these cracks. It is these tiny yet heroic gestures that demonstrate that there are many ways to find the loose thread and pull it, thereby revealing a poorly-made fabric. [Muchos cineastas del Archival Art Film toman un fragmento de película y lo copian. El mensaje de la industria cultural es que las cosas son como son y así deberían ser. El Archival Art Film localiza las fisuras en esta creencia y empuja hacia abajo a través de estas grietas. Son estos pequeños pero heroicos gestos </w:t>
      </w:r>
      <w:r>
        <w:rPr>
          <w:i/>
          <w:iCs/>
        </w:rPr>
        <w:lastRenderedPageBreak/>
        <w:t>los que demuestran que hay muchas formas de encontrar el hilo suelto y tirar de él, revelando así un tejido mal hecho]</w:t>
      </w:r>
      <w:r>
        <w:t xml:space="preserve"> (Sandusky, 1992).</w:t>
      </w:r>
    </w:p>
    <w:p w14:paraId="12CA32BB" w14:textId="77777777" w:rsidR="00D96A54" w:rsidRDefault="00000000">
      <w:pPr>
        <w:pStyle w:val="FirstParagraph"/>
      </w:pPr>
      <w:r>
        <w:t>Bill Brand es un director de cine experimental de Estados Unidos conocido por sus contribuciones al cine vanguardista de los años 60 y 70. Los cineastas de vanguardia suelen explorar estructuras narrativas no convencionales, técnicas visuales y elementos temáticos poco convencionales. El cine estructural, por ejemplo, es una variante de esta rama y hace mucho foco en los aspectos formales y las cualidades físicas del soporte fílmico. En general estos cineastas no buscan invisibilizar el dispositivo, por el contrario, buscan que la audiencia sea consciente de que está viendo una película, con recursos como la repetición, la simetría, las perforaciones, las roturas, el color, lógicas de montaje matemáticas; todo como una experimentación alrededor del aparato físico de las películas (la cámara, la pantalla, el proyector). Como ejemplos de directores vanguardistas podemos incluir a Stan Brakhage, Kenneth Anger, Hollis Frampton, Peter Tscherkassky, etc.</w:t>
      </w:r>
    </w:p>
    <w:p w14:paraId="7208DD6A" w14:textId="77777777" w:rsidR="00D96A54" w:rsidRDefault="00000000">
      <w:pPr>
        <w:pStyle w:val="BodyText"/>
      </w:pPr>
      <w:r>
        <w:t xml:space="preserve">Las películas estructuralistas en general están producidas en formatos de película chicos y medianos, por su naturaleza independiente y no comercial. Además de su carrera como artista, Bill Brand en particular se hizo muy reconocido por su habilidad como técnico de impresora óptica, un dispositivo cinematográfico con un par de cámaras mecánicamente enlazadas que se usa para hacer copias y efectos especiales. Brand realizaba copias y “blow ups” de esas películas en formatos pequeños a formatos de proyección y distribución, como podría ser una ampliación de un Super8 a 16 mm. En el libro </w:t>
      </w:r>
      <w:r>
        <w:rPr>
          <w:i/>
          <w:iCs/>
        </w:rPr>
        <w:t>Results You Can’t Refuse: Celebrating 30 Years of BB Optics</w:t>
      </w:r>
      <w:r>
        <w:t xml:space="preserve"> de Andrew Lampert, Bill Brand se define a sí mismo como un “preservador accidental”, siendo que adquirió muchísima habilidad para esta disciplina a través de la práctica en su laboratorio BB Optics, trabajando para amigos y artistas de la escena, conociendo el medio en el que se manejaba siendo él mismo artista, y entendiendo además las particularidades del cine de vanguardia, pero sin realmente proponérselo. ¿Qué se guarda, qué se salva, qué se corrije en una película estructuralista, siendo que toda la obra es justamente volver explícito las particularidades del soporte? Y en relación al acceso de las obras, Brand dice en una entrevista del libro:</w:t>
      </w:r>
    </w:p>
    <w:p w14:paraId="59230F29" w14:textId="77777777" w:rsidR="00D96A54" w:rsidRDefault="00000000">
      <w:pPr>
        <w:pStyle w:val="BlockText"/>
      </w:pPr>
      <w:r>
        <w:rPr>
          <w:i/>
          <w:iCs/>
        </w:rPr>
        <w:t>The preservation process is not just about making a long-lasting object and putting it on ice. (…) It’s not really preserved as far as I’m concerned, unless it is made available.</w:t>
      </w:r>
      <w:r>
        <w:t xml:space="preserve"> [Preservar </w:t>
      </w:r>
      <w:r>
        <w:lastRenderedPageBreak/>
        <w:t>no es solamente conseguir que un objeto dure en el tiempo y se congele como hielo. (…) En lo que a mí respecta, si no está accesible no está realmente preservado] (Brand, 2006a, p. 42).</w:t>
      </w:r>
    </w:p>
    <w:p w14:paraId="31098837" w14:textId="77777777" w:rsidR="00D96A54" w:rsidRDefault="00000000">
      <w:pPr>
        <w:pStyle w:val="FirstParagraph"/>
      </w:pPr>
      <w:r>
        <w:t>Aún así, según Brand preservar una película no es exactamente una práctica transparente, y requiere mucha empatía con la estrategia original del artista (Lampert, 2006, p. 28). Aquí podemos recordar lo que hablábamos de la importancia de la documentación. Ser un artista y ser parte del contexto donde se desarrolla ese arte lo hace la persona idónea para el trabajo: qué decisiones tomar, qué limpiar, qué dejar de lado, qué arreglar, y lejos de las estandarizaciones de los laboratorios de la industria del cine.</w:t>
      </w:r>
    </w:p>
    <w:p w14:paraId="55BB642C" w14:textId="77777777" w:rsidR="00D96A54" w:rsidRDefault="00000000">
      <w:pPr>
        <w:pStyle w:val="BodyText"/>
      </w:pPr>
      <w:r>
        <w:t xml:space="preserve">Brand menciona un caso interesante en el libro que nos va a permitir pasar al siguiente apartado. En 1972, siendo asistente y alumno del director de cine estructuralista Paul Sharits, lo ayudó a llevar a cabo su primera instalación, titulada </w:t>
      </w:r>
      <w:r>
        <w:rPr>
          <w:i/>
          <w:iCs/>
        </w:rPr>
        <w:t>Sound Strip/ Film Strip</w:t>
      </w:r>
      <w:r>
        <w:t xml:space="preserve">. La obra consistía en 4 proyectores de 16 mm en paralelo, apoyados de costado para proyectar en vertical, modificados para no obturar entre fotograma y fotograma. Las imágenes proyectadas consistían en un parpadeo de diferentes colores, con la película intervenida y rayada a mano a lo largo de varios fotogramas y en diagonal. Como los cuatro rollos tenían distinta duración y los proyectores comenzaban de nuevo en cada vuelta en un loop, la simultaneidad ocasionaba que las imágenes nunca coincidieran de la misma forma. Al mismo tiempo la banda sonora de cada película consistía en la repetición de la palabra “miscelaneous” fragmentada en 4 partes. La instalación es diferente a los materiales que venimos hablando hasta ahora porque entra en escena el factor del tiempo y la aleatoriedad de los proyectores, una especie de resultado “generativo” con material fílmico. 30 años después, Brand se encontró trabajando en la restauración y montaje de esta obra, con las muchísimas dificultades que esto le ocasionó a pesar de ser la persona indicada para el trabajo. Los rollos originales, custodiados por el centro Anthology Film Archives en Nueva York, se encontraban en cartuchos diseñados para un tipo de proyectores en particular, y veía muy difícil que se los prestaran para desarmar e instalar en proyectores nuevos. Sin embargo un día descubrió que tenía una copia en Super8 que le había regalado el mismo Sharits y que le sirvió para pensar en la reconstrucción. Consiguió por otro lado una copia de la banda sonora, y junto al Super 8 digitalizado logró finalmente una simulación de la proyección de 4 </w:t>
      </w:r>
      <w:r>
        <w:lastRenderedPageBreak/>
        <w:t xml:space="preserve">pantallas, en formato DVD. Y aquí Brand comienza a hacerse unas preguntas. Está lejos de parecerse a la obra original del artista, pero después de 30 años es lo más cerca que se pudo estar de </w:t>
      </w:r>
      <w:r>
        <w:rPr>
          <w:i/>
          <w:iCs/>
        </w:rPr>
        <w:t>Sound Strip/ Film Strip</w:t>
      </w:r>
      <w:r>
        <w:t>. Podía ir más adelante y hacer 4 proyecciones digitales en paralelo para lograr la simultaneidad original de Sharits. Pero ahí surge un nuevo problema, la película está pensada para ser proyectada en fílmico, todo el discurso estructuralista se basa en este principio. Pero si se agarra la copia en Super8 y se la transfiere a 16 mm, ¿qué pasa con las rayas intervenidas del original? ¿Se estaría preservando si se apuesta a recrearlas a mano como el autor?</w:t>
      </w:r>
    </w:p>
    <w:p w14:paraId="10FEBCAF" w14:textId="77777777" w:rsidR="00D96A54" w:rsidRDefault="00000000">
      <w:pPr>
        <w:pStyle w:val="BlockText"/>
      </w:pPr>
      <w:r>
        <w:rPr>
          <w:i/>
          <w:iCs/>
        </w:rPr>
        <w:t>Each 16 mm print has to be scratched and on whose authority is this to occur? Is is right for us as exhibitors or preservationists to create a 16 mm version with fresh scratches? Is this the same as a conservator repairing a damaged painting or is this an interpretation of the piece? Would the meaning of this work be lost if it were migrated to video? Hence, will the piece itself actually be lost? Or is it more that, if video allows the work to be reconstructed and exhibited, this preserves the work by subjecting it to public use? Does my personal involvement in the making of the work enhace its chances for preservation? Or because I know too much, am I unintentionally blocking its preservation by insisting on retaining too much of its original intention?</w:t>
      </w:r>
      <w:r>
        <w:t xml:space="preserve"> [Cada copia en 16 mm debe ser rayada, ¿y con qué autoridad se lleva esto a cabo? ¿Es correcto para nosotros como expositores o preservadores crear una versión en 16 mm con rayones nuevos? ¿Es esto similar a un restaurador reparando un cuadro dañado o es una interpretación de la obra? ¿Se perdería el significado de esta obra si se migrara a video? Por lo tanto, ¿la obra en sí se perdería realmente? ¿O es más bien que, si el video permite la reconstrucción y exhibición de la obra, se preserva al someterla al uso público? ¿Mi participación personal en la creación de la obra aumenta sus posibilidades de conservación? ¿O porque sé demasiado, estoy bloqueando involuntariamente su conservación al insistir en retener demasiado de su intención original?] (Brand, 2006b, p. 76).</w:t>
      </w:r>
    </w:p>
    <w:p w14:paraId="1799511B" w14:textId="77777777" w:rsidR="00D96A54" w:rsidRDefault="00000000">
      <w:pPr>
        <w:pStyle w:val="FirstParagraph"/>
      </w:pPr>
      <w:r>
        <w:t>La obra de Bill Brand es “medium-specific” (si la obra se mueve de su medio o soporte esencial pierde parte sustancial, o total, de su significado). Por la naturaleza de su trabajo, y por trabajar por tantos años con material fílmico, Bill se ha convertido en una eminencia en torno a la preservación audiovisual, por su expertise de conocer los soportes y las búsquedas de los artistas como él.</w:t>
      </w:r>
    </w:p>
    <w:p w14:paraId="6FC92FE1" w14:textId="77777777" w:rsidR="00D96A54" w:rsidRDefault="00000000">
      <w:pPr>
        <w:pStyle w:val="BodyText"/>
      </w:pPr>
      <w:r>
        <w:t xml:space="preserve">Su obra más conocida es quizás la más híbrida de todas: </w:t>
      </w:r>
      <w:r>
        <w:rPr>
          <w:i/>
          <w:iCs/>
        </w:rPr>
        <w:t>Masstransiscope</w:t>
      </w:r>
      <w:r>
        <w:t xml:space="preserve"> (1980), realizada íntegramente en las paredes de una estación de metro abandonada en Brooklyn, New York, siguiendo el concepto del Zootropo, un juguete óptico del siglo </w:t>
      </w:r>
      <w:r>
        <w:lastRenderedPageBreak/>
        <w:t>19. Mientras se desplaza el tren las ventanas funcionan como obturador de una serie de fotogramas emplazados sobre las paredes de la estación. Curiosamente, es una de sus obras más vistas (de a millones) y peor preservadas: la obturación dependía de una minuciosa limpieza y mantenimiento (Lampert, 2006, pp. 69–78).</w:t>
      </w:r>
    </w:p>
    <w:p w14:paraId="143EB7FD" w14:textId="77777777" w:rsidR="00D96A54" w:rsidRDefault="00000000">
      <w:pPr>
        <w:pStyle w:val="CaptionedFigure"/>
      </w:pPr>
      <w:r>
        <w:drawing>
          <wp:inline distT="0" distB="0" distL="0" distR="0" wp14:anchorId="6ADECB59" wp14:editId="002C091A">
            <wp:extent cx="5753100" cy="3843070"/>
            <wp:effectExtent l="0" t="0" r="0" b="0"/>
            <wp:docPr id="73" name="Picture" descr="Bill Brand, “Masstransiscope Illustration” (1980). Accedido 15 de Febrero de 2024 desde https://www.billbrand.net/public-art"/>
            <wp:cNvGraphicFramePr/>
            <a:graphic xmlns:a="http://schemas.openxmlformats.org/drawingml/2006/main">
              <a:graphicData uri="http://schemas.openxmlformats.org/drawingml/2006/picture">
                <pic:pic xmlns:pic="http://schemas.openxmlformats.org/drawingml/2006/picture">
                  <pic:nvPicPr>
                    <pic:cNvPr id="74" name="Picture" descr="./assets/masstransiscope+illustration.jpg"/>
                    <pic:cNvPicPr>
                      <a:picLocks noChangeAspect="1" noChangeArrowheads="1"/>
                    </pic:cNvPicPr>
                  </pic:nvPicPr>
                  <pic:blipFill>
                    <a:blip r:embed="rId18"/>
                    <a:stretch>
                      <a:fillRect/>
                    </a:stretch>
                  </pic:blipFill>
                  <pic:spPr bwMode="auto">
                    <a:xfrm>
                      <a:off x="0" y="0"/>
                      <a:ext cx="5753100" cy="3843070"/>
                    </a:xfrm>
                    <a:prstGeom prst="rect">
                      <a:avLst/>
                    </a:prstGeom>
                    <a:noFill/>
                    <a:ln w="9525">
                      <a:noFill/>
                      <a:headEnd/>
                      <a:tailEnd/>
                    </a:ln>
                  </pic:spPr>
                </pic:pic>
              </a:graphicData>
            </a:graphic>
          </wp:inline>
        </w:drawing>
      </w:r>
    </w:p>
    <w:p w14:paraId="45251218" w14:textId="77777777" w:rsidR="00D96A54" w:rsidRDefault="00000000">
      <w:pPr>
        <w:pStyle w:val="ImageCaption"/>
      </w:pPr>
      <w:r>
        <w:t>Bill Brand, “Masstransiscope Illustration” (1980). Accedido 15 de Febrero de 2024 desde https://www.billbrand.net/public-art</w:t>
      </w:r>
    </w:p>
    <w:p w14:paraId="3A33EA80" w14:textId="77777777" w:rsidR="00D96A54" w:rsidRDefault="00000000">
      <w:pPr>
        <w:pStyle w:val="BodyText"/>
      </w:pPr>
      <w:r>
        <w:t xml:space="preserve">Esta obra de Brand por fuera del soporte y las tecnologías originales del medio, desde un tren y directo a la pared, nos abre el camino a la hibridez que venimos describiendo, para saltar al medio digital. Fossati menciona en su libro que Dan Streible, académico y fundador del </w:t>
      </w:r>
      <w:r>
        <w:rPr>
          <w:i/>
          <w:iCs/>
        </w:rPr>
        <w:t>Simposio de Películas Huérfanas</w:t>
      </w:r>
      <w:r>
        <w:t xml:space="preserve">, argumenta que hablar de “digital films” es un oxymoron. Pero la autora lo ve como algo esencial: en ese oxymoron se puede ver cómo el soporte y la técnica se contraponen y se complementan (Fossati, 2018, p. 18). Siguiendo con las hibridaciones y alejándonos un poco de la preservación vamos a investigar los inicios del </w:t>
      </w:r>
      <w:r>
        <w:rPr>
          <w:i/>
          <w:iCs/>
        </w:rPr>
        <w:t>computer art</w:t>
      </w:r>
      <w:r>
        <w:t>, o arte por computadora, donde no era para nada extraño que el soporte para visualizar o proyectar las obras fuera uno físico o analógico.</w:t>
      </w:r>
    </w:p>
    <w:p w14:paraId="74B80AC9" w14:textId="77777777" w:rsidR="00D96A54" w:rsidRDefault="00000000">
      <w:pPr>
        <w:pStyle w:val="Heading2"/>
      </w:pPr>
      <w:bookmarkStart w:id="25" w:name="arte-por-computadora-sin-computadora"/>
      <w:bookmarkStart w:id="26" w:name="_Toc162595662"/>
      <w:bookmarkEnd w:id="15"/>
      <w:bookmarkEnd w:id="23"/>
      <w:r>
        <w:lastRenderedPageBreak/>
        <w:t>Arte por computadora sin computadora</w:t>
      </w:r>
      <w:bookmarkEnd w:id="26"/>
    </w:p>
    <w:p w14:paraId="5382BC80" w14:textId="77777777" w:rsidR="00D96A54" w:rsidRDefault="00000000">
      <w:pPr>
        <w:pStyle w:val="FirstParagraph"/>
      </w:pPr>
      <w:r>
        <w:t xml:space="preserve">En los inicios del </w:t>
      </w:r>
      <w:r>
        <w:rPr>
          <w:i/>
          <w:iCs/>
        </w:rPr>
        <w:t>computer art</w:t>
      </w:r>
      <w:r>
        <w:t>, o arte por computadora, en los cimientos de los pioneros como los hermanos Whitney, Vera Molnar, Georg Ness, Frieder Nake o Michael Noll, el soporte para visualizar o proyectar las obras era siempre fílmico o papel. En muchas situaciones, en particular al comienzo, al contrario de lo que sucede hoy en día, no había forma de visualizar los resultados en tiempo real. Zsofi Valyi-Nagy escribe sobre estos temas en su dosier sobre Vera Molnar:</w:t>
      </w:r>
    </w:p>
    <w:p w14:paraId="59866186" w14:textId="77777777" w:rsidR="00D96A54" w:rsidRDefault="00000000">
      <w:pPr>
        <w:pStyle w:val="BlockText"/>
      </w:pPr>
      <w:r>
        <w:rPr>
          <w:i/>
          <w:iCs/>
        </w:rPr>
        <w:t>In the early days, computing was a blind process. Artist gave instructions using punch cards but wouldn’t see the results of their program for hours or even days.</w:t>
      </w:r>
      <w:r>
        <w:t xml:space="preserve"> [En los primeros tiempos, la computación era un proceso a ciegas. Los artistas daban instrucciones con tarjetas perforadas pero no verían los resultados del programa por horas o incluso días] (Valyi-Nagy, 2022).</w:t>
      </w:r>
    </w:p>
    <w:p w14:paraId="13584885" w14:textId="77777777" w:rsidR="00D96A54" w:rsidRDefault="00000000">
      <w:pPr>
        <w:pStyle w:val="Heading3"/>
      </w:pPr>
      <w:bookmarkStart w:id="27" w:name="los-hermanos-whitney-y-el-celuloide"/>
      <w:bookmarkStart w:id="28" w:name="_Toc162595663"/>
      <w:r>
        <w:t>Los hermanos Whitney y el celuloide</w:t>
      </w:r>
      <w:bookmarkEnd w:id="28"/>
    </w:p>
    <w:p w14:paraId="3CE2CCF1" w14:textId="77777777" w:rsidR="00D96A54" w:rsidRDefault="00000000">
      <w:pPr>
        <w:pStyle w:val="FirstParagraph"/>
      </w:pPr>
      <w:r>
        <w:t>John (1917 - 1995) y James (1921 - 1982) Whitney fueron pioneros del cine abstracto minimalista y la animación “programada” por computadora, experimentando con la sinestesia y trabajando con luz, aerógrafos, impresión óptica y gráficos generados por computadora, en un principio mecánicas y modificadas de armamento militar en desuso. John, quien inicialmente estaba interesado en composición y había viajado a Europa para estudiar el sistema atonal del compositor Arnold Schoenberg, y su hermano menor James, quien se había formado como pintor, crecieron en Hollywood, California.</w:t>
      </w:r>
    </w:p>
    <w:p w14:paraId="63DCFCFC" w14:textId="77777777" w:rsidR="00D96A54" w:rsidRDefault="00000000">
      <w:pPr>
        <w:pStyle w:val="BodyText"/>
      </w:pPr>
      <w:r>
        <w:t xml:space="preserve">Para dar contexto a estos autores vamos a citar al teórico de cine Michael Betancourt que explica en su libro </w:t>
      </w:r>
      <w:r>
        <w:rPr>
          <w:i/>
          <w:iCs/>
        </w:rPr>
        <w:t>The History of Motion Graphics</w:t>
      </w:r>
      <w:r>
        <w:t xml:space="preserve"> los orígenes de la relación entre la sinestesia, el arte abstracto, la música visual y el arte moderno, y cómo todo esto llegó al campo comercial de la publicidad.</w:t>
      </w:r>
    </w:p>
    <w:p w14:paraId="2FE23BAB" w14:textId="77777777" w:rsidR="00D96A54" w:rsidRDefault="00000000">
      <w:pPr>
        <w:pStyle w:val="BodyText"/>
      </w:pPr>
      <w:r>
        <w:t xml:space="preserve">En psicología la sinestesia se la define como un fenómeno perceptual donde se experimentan simultáneamente dos sentidos, como ver sonidos y escuchar colores, y que en el campo del arte en general se la define como aquellas obras que frecuentemente se producen en analogía con las estructuras en la música. Las obras de Vassily Kandinski, por ejemplo, que promovían el arte abstracto, tienen en parte el uso de formas imaginadas a través de alucinaciones sinestéticas pero también </w:t>
      </w:r>
      <w:r>
        <w:lastRenderedPageBreak/>
        <w:t>tienen una conexión directa con analogías musicales. Betancourt relaciona la sinestesia con el arte abstracto que define el historiador Jeffrey T. Schnapp, donde describe ese movimiento como un arte que encuentra en la geometría no solo el resumen de la era de la industria sino además “el lenguaje secreto del mundo”, en estados de “meditación, ensueño, delirio y alucinación” (Betancourt, 2013, p. 14). Betancourt explica que antes de la 2da Guerra Mundial, la estética del cine abstracto ya estaba incorporada al mundo de la publicidad, y que después de la guerra se le dio espacio a la estética del arte moderno, y muchos artistas que venían experimentando con música visual y cine vanguardista de animación encontraron incentivos y formas de explotación comercial de sus obras.</w:t>
      </w:r>
    </w:p>
    <w:p w14:paraId="1517ED16" w14:textId="77777777" w:rsidR="00D96A54" w:rsidRDefault="00000000">
      <w:pPr>
        <w:pStyle w:val="BodyText"/>
      </w:pPr>
      <w:r>
        <w:t xml:space="preserve">En este contexto es que los hermanos Whitney se encontraban, habiendo experimentado en los años 40 con arte abstracto siguieron sus búsquedas estéticas con la música visual y la sinestesia en los años 50 a través de las incipientes computadoras. Directa o indirectamente formaron parte de hechos técnicos revolucionarios, como la primera incorporación de gráficos por computadora a un largometraje comercial, como fue en los títulos de inicio de </w:t>
      </w:r>
      <w:r>
        <w:rPr>
          <w:i/>
          <w:iCs/>
        </w:rPr>
        <w:t>Vértigo</w:t>
      </w:r>
      <w:r>
        <w:t xml:space="preserve"> (1958) de Alfred Hitchcock a través de una amistad con el diseñador Saul Bass, o como inspiración directa para la escena del viaje espacio-tiempo de la película </w:t>
      </w:r>
      <w:r>
        <w:rPr>
          <w:i/>
          <w:iCs/>
        </w:rPr>
        <w:t>2001: Odisea del Espacio</w:t>
      </w:r>
      <w:r>
        <w:t xml:space="preserve"> de Stanley Kubrick.</w:t>
      </w:r>
    </w:p>
    <w:p w14:paraId="51EF0FED" w14:textId="77777777" w:rsidR="00D96A54" w:rsidRDefault="00000000">
      <w:pPr>
        <w:pStyle w:val="BodyText"/>
      </w:pPr>
      <w:r>
        <w:t xml:space="preserve">Las “computadoras mecánicas” que utilizaban los hermanos Whitney en los 50, por ejemplo, se trataban de cañones antiaéreos de la Segunda Guerra Mundial modificados. Aprovechando los cálculos y las ecuaciones polares que realizaban estas máquinas para calcular la trayectoria de un avión, los Whitney realizaban movimientos matemáticos para sus animaciones, que eran luego fotografiadas cuadro por cuadro con cámaras de cine. Tal es el caso con </w:t>
      </w:r>
      <w:r>
        <w:rPr>
          <w:i/>
          <w:iCs/>
        </w:rPr>
        <w:t>Catalog</w:t>
      </w:r>
      <w:r>
        <w:t xml:space="preserve"> (1961) y </w:t>
      </w:r>
      <w:r>
        <w:rPr>
          <w:i/>
          <w:iCs/>
        </w:rPr>
        <w:t>Lapis</w:t>
      </w:r>
      <w:r>
        <w:t xml:space="preserve"> (1966) (Whitney, 1980, pp. 184–186).</w:t>
      </w:r>
    </w:p>
    <w:p w14:paraId="5B42D402" w14:textId="77777777" w:rsidR="00D96A54" w:rsidRDefault="00000000">
      <w:pPr>
        <w:pStyle w:val="BlockText"/>
      </w:pPr>
      <w:r>
        <w:t xml:space="preserve">I acquired, (not exactly overnight) a highly specialized skill in adapting the almost worth- less mechanical junk excreted from army depots across the country as the Army, Navy, Air Force and Marines unloaded material on the surplus market. Junk such as brand new thirty-thousand-dollar antiaircraft specialized analog ballistic problem-solver computers dating back to World War II. [Adquirí (no exactamente de la noche a la mañana) una habilidad altamente especializada en adaptar chatarra mecánica casi sin valor que salía de depósitos de todo el país, cuando el Ejército, la Armada, la Fuerza Aérea y los Marines </w:t>
      </w:r>
      <w:r>
        <w:lastRenderedPageBreak/>
        <w:t>descargaban material en el mercado de excedentes. Chatarra como computadoras analógicas especializadas en resolver problemas balísticos, completamente nuevas y valuadas en treinta mil dólares, que databan de la Segunda Guerra Mundial] (Whitney, 1980, p. 184).</w:t>
      </w:r>
    </w:p>
    <w:p w14:paraId="2DCC338F" w14:textId="77777777" w:rsidR="00D96A54" w:rsidRDefault="00000000">
      <w:pPr>
        <w:pStyle w:val="CaptionedFigure"/>
      </w:pPr>
      <w:r>
        <w:drawing>
          <wp:inline distT="0" distB="0" distL="0" distR="0" wp14:anchorId="3465CFFC" wp14:editId="40E8D076">
            <wp:extent cx="5753100" cy="4389615"/>
            <wp:effectExtent l="0" t="0" r="0" b="0"/>
            <wp:docPr id="78" name="Picture" descr="John Whitney &amp; James Whitney, “Pacoima Court studio, Studio City, CA”, Whitney Editions™ (1947). Accedido 15 de Febrero de 2024 desde https://canyoncinema.com/2023/03/14/new-artist-members-john-and-james-whitney"/>
            <wp:cNvGraphicFramePr/>
            <a:graphic xmlns:a="http://schemas.openxmlformats.org/drawingml/2006/main">
              <a:graphicData uri="http://schemas.openxmlformats.org/drawingml/2006/picture">
                <pic:pic xmlns:pic="http://schemas.openxmlformats.org/drawingml/2006/picture">
                  <pic:nvPicPr>
                    <pic:cNvPr id="79" name="Picture" descr="./assets/Whitneys_1.jpg"/>
                    <pic:cNvPicPr>
                      <a:picLocks noChangeAspect="1" noChangeArrowheads="1"/>
                    </pic:cNvPicPr>
                  </pic:nvPicPr>
                  <pic:blipFill>
                    <a:blip r:embed="rId19"/>
                    <a:stretch>
                      <a:fillRect/>
                    </a:stretch>
                  </pic:blipFill>
                  <pic:spPr bwMode="auto">
                    <a:xfrm>
                      <a:off x="0" y="0"/>
                      <a:ext cx="5753100" cy="4389615"/>
                    </a:xfrm>
                    <a:prstGeom prst="rect">
                      <a:avLst/>
                    </a:prstGeom>
                    <a:noFill/>
                    <a:ln w="9525">
                      <a:noFill/>
                      <a:headEnd/>
                      <a:tailEnd/>
                    </a:ln>
                  </pic:spPr>
                </pic:pic>
              </a:graphicData>
            </a:graphic>
          </wp:inline>
        </w:drawing>
      </w:r>
    </w:p>
    <w:p w14:paraId="0DE2BED5" w14:textId="77777777" w:rsidR="00D96A54" w:rsidRDefault="00000000">
      <w:pPr>
        <w:pStyle w:val="ImageCaption"/>
      </w:pPr>
      <w:r>
        <w:t>John Whitney &amp; James Whitney, “Pacoima Court studio, Studio City, CA”, Whitney Editions™ (1947). Accedido 15 de Febrero de 2024 desde https://canyoncinema.com/2023/03/14/new-artist-members-john-and-james-whitney</w:t>
      </w:r>
    </w:p>
    <w:p w14:paraId="4EBFA89A" w14:textId="77777777" w:rsidR="00D96A54" w:rsidRDefault="00000000">
      <w:pPr>
        <w:pStyle w:val="BodyText"/>
      </w:pPr>
      <w:r>
        <w:t xml:space="preserve">Los fotogramas originales en papel para la truca fueron eventualmente reemplazados por haces de luz, aunque eventualmente los Whitney abandonaron esa “absurdidad que producía poco más que un equivalente al rayo catódico de un osciloscopio” (Whitney, 1980, p. 184) para trabajar con computadoras digitales a partir de los años 70. Fotografiaban cuadro a cuadro el monitor para imprimir en fílmico la animación, con las ventajas de la velocidad y la posibilidad de la interacción en vivo a través del teclado (Whitney, 1980, p. 197). Así es el caso de </w:t>
      </w:r>
      <w:r>
        <w:rPr>
          <w:i/>
          <w:iCs/>
        </w:rPr>
        <w:t>Matrix I</w:t>
      </w:r>
      <w:r>
        <w:t xml:space="preserve">, </w:t>
      </w:r>
      <w:r>
        <w:rPr>
          <w:i/>
          <w:iCs/>
        </w:rPr>
        <w:t>II</w:t>
      </w:r>
      <w:r>
        <w:t xml:space="preserve"> y </w:t>
      </w:r>
      <w:r>
        <w:rPr>
          <w:i/>
          <w:iCs/>
        </w:rPr>
        <w:t>III</w:t>
      </w:r>
      <w:r>
        <w:t xml:space="preserve"> (1971-72).</w:t>
      </w:r>
    </w:p>
    <w:p w14:paraId="29B3F0C4" w14:textId="77777777" w:rsidR="00D96A54" w:rsidRDefault="00000000">
      <w:pPr>
        <w:pStyle w:val="CaptionedFigure"/>
      </w:pPr>
      <w:r>
        <w:lastRenderedPageBreak/>
        <w:drawing>
          <wp:inline distT="0" distB="0" distL="0" distR="0" wp14:anchorId="3E9225E5" wp14:editId="07C492AB">
            <wp:extent cx="5753100" cy="1573898"/>
            <wp:effectExtent l="0" t="0" r="0" b="0"/>
            <wp:docPr id="81" name="Picture" descr="John Whitney, fotogramas de Matrix I (1971), Digital harmony: on the complementarity of music and visual art (1980), p. 77"/>
            <wp:cNvGraphicFramePr/>
            <a:graphic xmlns:a="http://schemas.openxmlformats.org/drawingml/2006/main">
              <a:graphicData uri="http://schemas.openxmlformats.org/drawingml/2006/picture">
                <pic:pic xmlns:pic="http://schemas.openxmlformats.org/drawingml/2006/picture">
                  <pic:nvPicPr>
                    <pic:cNvPr id="82" name="Picture" descr="./assets/matrix.jpg"/>
                    <pic:cNvPicPr>
                      <a:picLocks noChangeAspect="1" noChangeArrowheads="1"/>
                    </pic:cNvPicPr>
                  </pic:nvPicPr>
                  <pic:blipFill>
                    <a:blip r:embed="rId20"/>
                    <a:stretch>
                      <a:fillRect/>
                    </a:stretch>
                  </pic:blipFill>
                  <pic:spPr bwMode="auto">
                    <a:xfrm>
                      <a:off x="0" y="0"/>
                      <a:ext cx="5753100" cy="1573898"/>
                    </a:xfrm>
                    <a:prstGeom prst="rect">
                      <a:avLst/>
                    </a:prstGeom>
                    <a:noFill/>
                    <a:ln w="9525">
                      <a:noFill/>
                      <a:headEnd/>
                      <a:tailEnd/>
                    </a:ln>
                  </pic:spPr>
                </pic:pic>
              </a:graphicData>
            </a:graphic>
          </wp:inline>
        </w:drawing>
      </w:r>
    </w:p>
    <w:p w14:paraId="77285A5A" w14:textId="77777777" w:rsidR="00D96A54" w:rsidRDefault="00000000">
      <w:pPr>
        <w:pStyle w:val="ImageCaption"/>
      </w:pPr>
      <w:r>
        <w:t>John Whitney, fotogramas de Matrix I (1971), Digital harmony: on the complementarity of music and visual art (1980), p. 77</w:t>
      </w:r>
    </w:p>
    <w:p w14:paraId="621F3604" w14:textId="77777777" w:rsidR="00D96A54" w:rsidRDefault="00000000">
      <w:pPr>
        <w:pStyle w:val="BodyText"/>
      </w:pPr>
      <w:r>
        <w:t xml:space="preserve">En el documental de John Musilli </w:t>
      </w:r>
      <w:r>
        <w:rPr>
          <w:i/>
          <w:iCs/>
        </w:rPr>
        <w:t>The film art of John Whitney, Sr.</w:t>
      </w:r>
      <w:r>
        <w:t xml:space="preserve"> (1975) Whitney compara su trabajo con la música, por compartir con ella la experiencia “tensional” y la “harmonía visual”. El animador describe una suerte de sinestesia sonora al hablar de la búsqueda humana por la “música visual” (</w:t>
      </w:r>
      <w:r>
        <w:rPr>
          <w:i/>
          <w:iCs/>
        </w:rPr>
        <w:t>Visual Music</w:t>
      </w:r>
      <w:r>
        <w:t xml:space="preserve"> en inglés) a lo largo de la historia, desde Leonardo da Vinci, quien fue de los primeros en poner en palabras esta idea, hasta la cronología de los </w:t>
      </w:r>
      <w:r>
        <w:rPr>
          <w:i/>
          <w:iCs/>
        </w:rPr>
        <w:t>Color Organs</w:t>
      </w:r>
      <w:r>
        <w:t>, invenciones que buscaban generar luz y color como si se tocara un instrumento musical. Al percibir entonces sus invenciones como instrumentos de música visual, lo que más lamenta Whitney en el documental es “el problema del control directo”, o la falta de interacción en tiempo real con la máquina, imaginando en este sentido un futuro con sus sueños realizados (</w:t>
      </w:r>
      <w:r>
        <w:rPr>
          <w:i/>
          <w:iCs/>
        </w:rPr>
        <w:t>The Film Art of John Whitney, Sr.</w:t>
      </w:r>
      <w:r>
        <w:t>, 1974).</w:t>
      </w:r>
    </w:p>
    <w:p w14:paraId="62681317" w14:textId="77777777" w:rsidR="00D96A54" w:rsidRDefault="00000000">
      <w:pPr>
        <w:pStyle w:val="BodyText"/>
      </w:pPr>
      <w:r>
        <w:t xml:space="preserve">Los experimentos audiovisuales de los Whitney dejan en claro hoy la particularidad del soporte, además del valor documental y, por ejemplo, la posibilidad de hacer copias nuevas 50 años después. El </w:t>
      </w:r>
      <w:r>
        <w:rPr>
          <w:i/>
          <w:iCs/>
        </w:rPr>
        <w:t>Academy Film Archive</w:t>
      </w:r>
      <w:r>
        <w:t xml:space="preserve"> de la Academia de Artes y Ciencias Cinematográficas (AMPAS por sus siglas en inglés) preserva docenas de los films de los Whitney (“John Whitney (Animator),” 2023).</w:t>
      </w:r>
    </w:p>
    <w:p w14:paraId="4DB138D0" w14:textId="77777777" w:rsidR="00D96A54" w:rsidRDefault="00000000">
      <w:pPr>
        <w:pStyle w:val="Heading3"/>
      </w:pPr>
      <w:bookmarkStart w:id="29" w:name="vera-molnar-y-el-papel"/>
      <w:bookmarkStart w:id="30" w:name="_Toc162595664"/>
      <w:bookmarkEnd w:id="27"/>
      <w:r>
        <w:t>Vera Molnar y el papel</w:t>
      </w:r>
      <w:bookmarkEnd w:id="30"/>
    </w:p>
    <w:p w14:paraId="22DD6D23" w14:textId="77777777" w:rsidR="00D96A54" w:rsidRDefault="00000000">
      <w:pPr>
        <w:pStyle w:val="FirstParagraph"/>
      </w:pPr>
      <w:r>
        <w:t xml:space="preserve">Vera Molnar (1924 - 2023) es una artista visual húngara pionera en el campo del arte generativo y por computadora que desarrolló la mayor parte de su carrera en Francia. Interesada en formarse como pintora de arte abstracto, se mudó a París al terminar su carrera de arte en Budapest. Aunque solo usaba herramientas tradicionales, como lápices de colores, pinceles y pasteles, antes de empezar a trabajar con computadoras en 1968 Vera recuerda haber inventado varios métodos </w:t>
      </w:r>
      <w:r>
        <w:lastRenderedPageBreak/>
        <w:t xml:space="preserve">sistemáticos para hacer arte, incluso desde una edad temprana. Antes de tener acceso a una computadora, Molnar trabajaba con lo que ella llamaba </w:t>
      </w:r>
      <w:r>
        <w:rPr>
          <w:i/>
          <w:iCs/>
        </w:rPr>
        <w:t>le machine imaginaire</w:t>
      </w:r>
      <w:r>
        <w:t>, una computadora imaginaria con la que generaba series de imágenes emulando movimientos aleatorios con un dado, y haciendo pequeños desplazamientos morfológicos y matemáticos de las formas.</w:t>
      </w:r>
    </w:p>
    <w:p w14:paraId="23B0AEEF" w14:textId="77777777" w:rsidR="00D96A54" w:rsidRDefault="00000000">
      <w:pPr>
        <w:pStyle w:val="BodyText"/>
      </w:pPr>
      <w:r>
        <w:t>Molnar (que casualmente perteneció al mismo colectivo artístico que el mendocino Julio Le Parc en París) al igual que otros artistas como Georg Ness, Frieder Nake o Michael Noll, trabajaba en papel con plotters, grandes computadoras que traducían a papel instrucciones y procedimientos. La historiadora y artista norteamericana Zsofi Valyi-Nagy describe en un dossier sobre Vera Molnar que la artista se especializaba en los “Drum Plotters”, que a diferencia de los “Flatbed Plotters” tenían una fuente continua de papel, como una impresora (Valyi-Nagy, 2022).</w:t>
      </w:r>
    </w:p>
    <w:p w14:paraId="4C33CAC9" w14:textId="77777777" w:rsidR="00D96A54" w:rsidRDefault="00000000">
      <w:pPr>
        <w:pStyle w:val="BodyText"/>
      </w:pPr>
      <w:r>
        <w:t>En un entorno arístico de mucha riqueza, su vínculo con las computadoras se dio a través de su amigo Pierre Barbaud, un compositor experimental que la invitó en 1968 a la Universidad de Borbona a conocer la computadora que utilizaba para su investigación en música, una IBM system/370, con la que Molnar comenzó clandestinamente a experimentar. La mayoría de sus obras de los 70 tienen impresa la marca del plotter “Benson” en los márgenes (Valyi-Nagy, 2022). Valyi-Nagy hace una observación muy interesante con respecto al soporte en papel de Molnar:</w:t>
      </w:r>
    </w:p>
    <w:p w14:paraId="79F75131" w14:textId="77777777" w:rsidR="00D96A54" w:rsidRDefault="00000000">
      <w:pPr>
        <w:pStyle w:val="BlockText"/>
      </w:pPr>
      <w:r>
        <w:t>_The ink-on-paper format is perhaps what has allowed art museums to collect this work more extensively than other forms of digital art, as we don’t need to reactivate obsolete technologies to view it. But its deceptive straightforwardness also runs the risk of flattening our understanding of early computational art into a simple process of input and output. [El formato de tinta sobre papel es quizás lo que ha permitido a los museos de arte coleccionar su obra de manera más extensa que otras formas de arte digital, ya que no necesitamos preservar tecnologías obsoletas para verla. Sin embargo, su aparente sencillez también corre el riesgo de simplificar nuestra comprensión del arte por computadoras temprano en un simple proceso de entrada y salida] (Valyi-Nagy, 2022).</w:t>
      </w:r>
    </w:p>
    <w:p w14:paraId="1FF2AC47" w14:textId="77777777" w:rsidR="00D96A54" w:rsidRDefault="00000000">
      <w:pPr>
        <w:pStyle w:val="CaptionedFigure"/>
      </w:pPr>
      <w:r>
        <w:lastRenderedPageBreak/>
        <w:drawing>
          <wp:inline distT="0" distB="0" distL="0" distR="0" wp14:anchorId="1B3B60BF" wp14:editId="4FFB42D2">
            <wp:extent cx="5753100" cy="3236624"/>
            <wp:effectExtent l="0" t="0" r="0" b="0"/>
            <wp:docPr id="85" name="Picture" descr="Vera Molnar, dibujo hecho en plotter de la serie “Inclinaisons” (1974), accedido desde https://www.holo.mg/dossiers/vera-molnar-weaving-variations/inclinaisons-1971"/>
            <wp:cNvGraphicFramePr/>
            <a:graphic xmlns:a="http://schemas.openxmlformats.org/drawingml/2006/main">
              <a:graphicData uri="http://schemas.openxmlformats.org/drawingml/2006/picture">
                <pic:pic xmlns:pic="http://schemas.openxmlformats.org/drawingml/2006/picture">
                  <pic:nvPicPr>
                    <pic:cNvPr id="86" name="Picture" descr="./assets/vera%20molnar.jpg"/>
                    <pic:cNvPicPr>
                      <a:picLocks noChangeAspect="1" noChangeArrowheads="1"/>
                    </pic:cNvPicPr>
                  </pic:nvPicPr>
                  <pic:blipFill>
                    <a:blip r:embed="rId21"/>
                    <a:stretch>
                      <a:fillRect/>
                    </a:stretch>
                  </pic:blipFill>
                  <pic:spPr bwMode="auto">
                    <a:xfrm>
                      <a:off x="0" y="0"/>
                      <a:ext cx="5753100" cy="3236624"/>
                    </a:xfrm>
                    <a:prstGeom prst="rect">
                      <a:avLst/>
                    </a:prstGeom>
                    <a:noFill/>
                    <a:ln w="9525">
                      <a:noFill/>
                      <a:headEnd/>
                      <a:tailEnd/>
                    </a:ln>
                  </pic:spPr>
                </pic:pic>
              </a:graphicData>
            </a:graphic>
          </wp:inline>
        </w:drawing>
      </w:r>
    </w:p>
    <w:p w14:paraId="3BC7F3CA" w14:textId="77777777" w:rsidR="00D96A54" w:rsidRDefault="00000000">
      <w:pPr>
        <w:pStyle w:val="ImageCaption"/>
      </w:pPr>
      <w:r>
        <w:t>Vera Molnar, dibujo hecho en plotter de la serie “Inclinaisons” (1974), accedido desde https://www.holo.mg/dossiers/vera-molnar-weaving-variations/inclinaisons-1971</w:t>
      </w:r>
    </w:p>
    <w:p w14:paraId="00E0579D" w14:textId="77777777" w:rsidR="00D96A54" w:rsidRDefault="00000000">
      <w:pPr>
        <w:pStyle w:val="BodyText"/>
      </w:pPr>
      <w:r>
        <w:t>El trabajo de Molnar implicaba una vuelta constante entre papel y computadora, relación que mejoró mucho con la existencia del monitor. Esta nueva herramienta le permitió incorporar al proceso tan sistematizado y predeterminado un elemento de improvisación e interactividad directa desde su subjetividad a la obra, contrario a la limitación que implicaba esperar que el resultado terminara impreso en papel.</w:t>
      </w:r>
    </w:p>
    <w:p w14:paraId="398DE399" w14:textId="77777777" w:rsidR="00D96A54" w:rsidRDefault="00000000">
      <w:pPr>
        <w:pStyle w:val="BlockText"/>
      </w:pPr>
      <w:r>
        <w:rPr>
          <w:i/>
          <w:iCs/>
        </w:rPr>
        <w:t>I belong to that generation where the first things I made with computers … there was no screen. If you can imagine that. You couldn’t see what you were doing. You would see [the results] the next day, or three days later, and then you’d say … that’s not what I wanted! When the screen appeared, it completely changed my life. It was like moving to Paris all over again, that’s how exciting it was…. I had this feeling that this was invented for me. This was an academic research institute, so people didn’t really care how the graphics looked, or what graphics even were, really. But that is all I cared about. I realized very quickly that the computer screen was the thing for me. [Pertenezco a una generación en la que las primeras cosas que hice con computadoras… no había pantalla. Si pudieras imaginar eso. No podías ver lo que estabas haciendo. Verías los resultados al día siguiente, o tres días después, y luego dirías… ¡eso no es lo que quería! Cuando apareció la pantalla, mi vida cambió por completo. Fue como mudarme a París de nuevo, así de emocionante fue… Tenía la sensación de que esto fue inventado para mí]</w:t>
      </w:r>
      <w:r>
        <w:t xml:space="preserve"> (Valyi-Nagy, 2022).</w:t>
      </w:r>
    </w:p>
    <w:p w14:paraId="13613BF4" w14:textId="77777777" w:rsidR="00D96A54" w:rsidRDefault="00000000">
      <w:pPr>
        <w:pStyle w:val="CaptionedFigure"/>
      </w:pPr>
      <w:r>
        <w:lastRenderedPageBreak/>
        <w:drawing>
          <wp:inline distT="0" distB="0" distL="0" distR="0" wp14:anchorId="753F5E68" wp14:editId="1B15C01B">
            <wp:extent cx="5753100" cy="3705955"/>
            <wp:effectExtent l="0" t="0" r="0" b="0"/>
            <wp:docPr id="88" name="Picture" descr="A la izquierda: Vera Molnar, estudio para “Inclinaisons” (1971). A la derecha: Vera Molnar, dibujo hecho en plotter “Inclinaison” (1971). Accedido desde https://www.holo.mg/dossiers/vera-molnar-weaving-variations/inclinaisons-1971/"/>
            <wp:cNvGraphicFramePr/>
            <a:graphic xmlns:a="http://schemas.openxmlformats.org/drawingml/2006/main">
              <a:graphicData uri="http://schemas.openxmlformats.org/drawingml/2006/picture">
                <pic:pic xmlns:pic="http://schemas.openxmlformats.org/drawingml/2006/picture">
                  <pic:nvPicPr>
                    <pic:cNvPr id="89" name="Picture" descr="./assets/vera_molnar.jpg"/>
                    <pic:cNvPicPr>
                      <a:picLocks noChangeAspect="1" noChangeArrowheads="1"/>
                    </pic:cNvPicPr>
                  </pic:nvPicPr>
                  <pic:blipFill>
                    <a:blip r:embed="rId22"/>
                    <a:stretch>
                      <a:fillRect/>
                    </a:stretch>
                  </pic:blipFill>
                  <pic:spPr bwMode="auto">
                    <a:xfrm>
                      <a:off x="0" y="0"/>
                      <a:ext cx="5753100" cy="3705955"/>
                    </a:xfrm>
                    <a:prstGeom prst="rect">
                      <a:avLst/>
                    </a:prstGeom>
                    <a:noFill/>
                    <a:ln w="9525">
                      <a:noFill/>
                      <a:headEnd/>
                      <a:tailEnd/>
                    </a:ln>
                  </pic:spPr>
                </pic:pic>
              </a:graphicData>
            </a:graphic>
          </wp:inline>
        </w:drawing>
      </w:r>
    </w:p>
    <w:p w14:paraId="1445B6A4" w14:textId="77777777" w:rsidR="00D96A54" w:rsidRDefault="00000000">
      <w:pPr>
        <w:pStyle w:val="ImageCaption"/>
      </w:pPr>
      <w:r>
        <w:t>A la izquierda: Vera Molnar, estudio para “Inclinaisons” (1971). A la derecha: Vera Molnar, dibujo hecho en plotter “Inclinaison” (1971). Accedido desde https://www.holo.mg/dossiers/vera-molnar-weaving-variations/inclinaisons-1971/</w:t>
      </w:r>
    </w:p>
    <w:p w14:paraId="517C717E" w14:textId="77777777" w:rsidR="00D96A54" w:rsidRDefault="00000000">
      <w:pPr>
        <w:pStyle w:val="Heading3"/>
      </w:pPr>
      <w:bookmarkStart w:id="31" w:name="los-paper-prints"/>
      <w:bookmarkStart w:id="32" w:name="_Toc162595665"/>
      <w:bookmarkEnd w:id="29"/>
      <w:r>
        <w:t>Los Paper Prints</w:t>
      </w:r>
      <w:bookmarkEnd w:id="32"/>
    </w:p>
    <w:p w14:paraId="2E1AC64B" w14:textId="77777777" w:rsidR="00D96A54" w:rsidRDefault="00000000">
      <w:pPr>
        <w:pStyle w:val="FirstParagraph"/>
      </w:pPr>
      <w:r>
        <w:t>En esta misma línea es interesante traer a colación los “Paper Prints”, un sistema guardado de propiedad intelectual para películas hacia finales del siglo XIX y principios del siglo XX en los que se archivaban los fotogramas de las películas. Como no había antecedentes legales para registrar este formato, las cintas se transferían a papel con una copiadora óptica y se las archivaba como obras gráficas, y de esta manera se mantenía su autoría. Thomas Alva Edison fue el primero en registrar una película con este sistema en 1893 (“Paper Print,” 2023).</w:t>
      </w:r>
    </w:p>
    <w:p w14:paraId="5435E4B7" w14:textId="77777777" w:rsidR="00D96A54" w:rsidRDefault="00000000">
      <w:pPr>
        <w:pStyle w:val="CaptionedFigure"/>
      </w:pPr>
      <w:r>
        <w:lastRenderedPageBreak/>
        <w:drawing>
          <wp:inline distT="0" distB="0" distL="0" distR="0" wp14:anchorId="2C779D42" wp14:editId="03D8B177">
            <wp:extent cx="5753100" cy="3747342"/>
            <wp:effectExtent l="0" t="0" r="0" b="0"/>
            <wp:docPr id="92" name="Picture" descr="A la izquierda: William Kennedy Dickson, “Edison Kinetoscopic Record of a Sneeze” (1889). A la derecha: Georges Méliès, paper print de “Le roi du maquillage” (1904). Accedido desde https://en.wikipedia.org/wiki/Paper_print"/>
            <wp:cNvGraphicFramePr/>
            <a:graphic xmlns:a="http://schemas.openxmlformats.org/drawingml/2006/main">
              <a:graphicData uri="http://schemas.openxmlformats.org/drawingml/2006/picture">
                <pic:pic xmlns:pic="http://schemas.openxmlformats.org/drawingml/2006/picture">
                  <pic:nvPicPr>
                    <pic:cNvPr id="93" name="Picture" descr="./assets/Edison.jpg"/>
                    <pic:cNvPicPr>
                      <a:picLocks noChangeAspect="1" noChangeArrowheads="1"/>
                    </pic:cNvPicPr>
                  </pic:nvPicPr>
                  <pic:blipFill>
                    <a:blip r:embed="rId23"/>
                    <a:stretch>
                      <a:fillRect/>
                    </a:stretch>
                  </pic:blipFill>
                  <pic:spPr bwMode="auto">
                    <a:xfrm>
                      <a:off x="0" y="0"/>
                      <a:ext cx="5753100" cy="3747342"/>
                    </a:xfrm>
                    <a:prstGeom prst="rect">
                      <a:avLst/>
                    </a:prstGeom>
                    <a:noFill/>
                    <a:ln w="9525">
                      <a:noFill/>
                      <a:headEnd/>
                      <a:tailEnd/>
                    </a:ln>
                  </pic:spPr>
                </pic:pic>
              </a:graphicData>
            </a:graphic>
          </wp:inline>
        </w:drawing>
      </w:r>
    </w:p>
    <w:p w14:paraId="32942689" w14:textId="77777777" w:rsidR="00D96A54" w:rsidRDefault="00000000">
      <w:pPr>
        <w:pStyle w:val="ImageCaption"/>
      </w:pPr>
      <w:r>
        <w:t>A la izquierda: William Kennedy Dickson, “Edison Kinetoscopic Record of a Sneeze” (1889). A la derecha: Georges Méliès, paper print de “Le roi du maquillage” (1904). Accedido desde https://en.wikipedia.org/wiki/Paper_print</w:t>
      </w:r>
    </w:p>
    <w:p w14:paraId="78971861" w14:textId="77777777" w:rsidR="00D96A54" w:rsidRDefault="00000000">
      <w:pPr>
        <w:pStyle w:val="BodyText"/>
      </w:pPr>
      <w:r>
        <w:t>En muchísimos casos gracias a los Paper Prints es que se conservan hoy películas de esa época, pues por falta de interés, por la naturaleza de los materiales (como el nitrato autocombustible) o por los requisitos legales, muchas copias se perdieron para siempre. (Rewald &amp; National Gallery of Art (U.S.), 1983)</w:t>
      </w:r>
    </w:p>
    <w:p w14:paraId="578F2D6F" w14:textId="77777777" w:rsidR="00D96A54" w:rsidRDefault="00000000">
      <w:pPr>
        <w:pStyle w:val="Heading3"/>
      </w:pPr>
      <w:bookmarkStart w:id="33" w:name="data-on-film-digital-pero-tangible"/>
      <w:bookmarkStart w:id="34" w:name="_Toc162595666"/>
      <w:bookmarkEnd w:id="31"/>
      <w:r>
        <w:t>“Data-on-film” (digital pero tangible)</w:t>
      </w:r>
      <w:bookmarkEnd w:id="34"/>
    </w:p>
    <w:p w14:paraId="2ACEE041" w14:textId="77777777" w:rsidR="00D96A54" w:rsidRDefault="00000000">
      <w:pPr>
        <w:pStyle w:val="FirstParagraph"/>
      </w:pPr>
      <w:r>
        <w:t xml:space="preserve">El proceso de transferencia de imágenes en video o digitales a medios fotoquímicos tradicionales es conocido de forma general como Film-out o Digital-to-film. En el pasado en general este paso cumplía objetivos técnicos de distribución, principalmente para películas realizadas en formatos digitales o analógicos que requerían de una conversión óptica para copias en 35 mm para su distribución en cines. Hoy en día la práctica se encuentra muy reservada a casos específicos de archivo o se basa casi exclusivamente en una decisión artística. Según la revista norteamericana </w:t>
      </w:r>
      <w:r>
        <w:rPr>
          <w:i/>
          <w:iCs/>
        </w:rPr>
        <w:t>Filmmaker Magazine</w:t>
      </w:r>
      <w:r>
        <w:t>, en Estados Unidos en 2021 se estrenaron 30 películas rodadas total o parcialmente en fílmico (Rizov, 2022a), en 2022 solo 24 (Rizov, 2022b) y en 2023 menos de 30 (Rizov, 2023).</w:t>
      </w:r>
    </w:p>
    <w:p w14:paraId="5D7DEACA" w14:textId="77777777" w:rsidR="00D96A54" w:rsidRDefault="00000000">
      <w:pPr>
        <w:pStyle w:val="BodyText"/>
      </w:pPr>
      <w:r>
        <w:lastRenderedPageBreak/>
        <w:t xml:space="preserve">El caso de </w:t>
      </w:r>
      <w:r>
        <w:rPr>
          <w:i/>
          <w:iCs/>
        </w:rPr>
        <w:t>Dune</w:t>
      </w:r>
      <w:r>
        <w:t xml:space="preserve"> (2021), del director Québécois Denis Villeneuve, es un caso contemporáneo de digital-to-film. Filmada en digital en su totalidad, fue transferida posteriormente a digital para luego ser nuevamente digitalizada para la posproducción (“Why ’Dune’ Was Shot on Digital, Transferred to 35mm, Then Scanned to Digital,” 2021).</w:t>
      </w:r>
    </w:p>
    <w:p w14:paraId="42A524AB" w14:textId="77777777" w:rsidR="00D96A54" w:rsidRDefault="00000000">
      <w:pPr>
        <w:pStyle w:val="BodyText"/>
      </w:pPr>
      <w:r>
        <w:t>En la línea de formatos y soportes inesperados, es interesante mencionar la tecnología de la empresa noruega Piql, dedicada a soluciones de almacenamiento y preservación de datos digitales. Además de trabajar para la industria audiovisual generando copias en fílmico de películas (digital to film), también ofrecen el servicio de copias en film de archivos digitales de cualquier tipo, también almacenadas en película de 35 mm. El sistema codifica cada bit del archivo digital a una forma de luz en la película, para formar largas cantidades de film que son luego almacenadas y, en todo caso, decodificadas posteriormente con la misma máquina. En general también incluyen referencias gráficas o humanamente legibles al documento original</w:t>
      </w:r>
      <w:r>
        <w:rPr>
          <w:rStyle w:val="FootnoteReference"/>
        </w:rPr>
        <w:footnoteReference w:id="11"/>
      </w:r>
      <w:r>
        <w:t>.</w:t>
      </w:r>
    </w:p>
    <w:p w14:paraId="547C936E" w14:textId="77777777" w:rsidR="00D96A54" w:rsidRDefault="00000000">
      <w:pPr>
        <w:pStyle w:val="CaptionedFigure"/>
      </w:pPr>
      <w:r>
        <w:drawing>
          <wp:inline distT="0" distB="0" distL="0" distR="0" wp14:anchorId="2B1CD675" wp14:editId="0C5C1123">
            <wp:extent cx="5753100" cy="3236118"/>
            <wp:effectExtent l="0" t="0" r="0" b="0"/>
            <wp:docPr id="97" name="Picture" descr="Piql, fotograma de “Data Regeneration” (2021), accedido desde https://vimeo.com/516428662"/>
            <wp:cNvGraphicFramePr/>
            <a:graphic xmlns:a="http://schemas.openxmlformats.org/drawingml/2006/main">
              <a:graphicData uri="http://schemas.openxmlformats.org/drawingml/2006/picture">
                <pic:pic xmlns:pic="http://schemas.openxmlformats.org/drawingml/2006/picture">
                  <pic:nvPicPr>
                    <pic:cNvPr id="98" name="Picture" descr="./assets/piql2.jpg"/>
                    <pic:cNvPicPr>
                      <a:picLocks noChangeAspect="1" noChangeArrowheads="1"/>
                    </pic:cNvPicPr>
                  </pic:nvPicPr>
                  <pic:blipFill>
                    <a:blip r:embed="rId24"/>
                    <a:stretch>
                      <a:fillRect/>
                    </a:stretch>
                  </pic:blipFill>
                  <pic:spPr bwMode="auto">
                    <a:xfrm>
                      <a:off x="0" y="0"/>
                      <a:ext cx="5753100" cy="3236118"/>
                    </a:xfrm>
                    <a:prstGeom prst="rect">
                      <a:avLst/>
                    </a:prstGeom>
                    <a:noFill/>
                    <a:ln w="9525">
                      <a:noFill/>
                      <a:headEnd/>
                      <a:tailEnd/>
                    </a:ln>
                  </pic:spPr>
                </pic:pic>
              </a:graphicData>
            </a:graphic>
          </wp:inline>
        </w:drawing>
      </w:r>
    </w:p>
    <w:p w14:paraId="4A30BE99" w14:textId="77777777" w:rsidR="00D96A54" w:rsidRDefault="00000000">
      <w:pPr>
        <w:pStyle w:val="ImageCaption"/>
      </w:pPr>
      <w:r>
        <w:t>Piql, fotograma de “Data Regeneration” (2021), accedido desde https://vimeo.com/516428662</w:t>
      </w:r>
    </w:p>
    <w:p w14:paraId="4B0CD30A" w14:textId="77777777" w:rsidR="00D96A54" w:rsidRDefault="00000000">
      <w:pPr>
        <w:pStyle w:val="CaptionedFigure"/>
      </w:pPr>
      <w:r>
        <w:lastRenderedPageBreak/>
        <w:drawing>
          <wp:inline distT="0" distB="0" distL="0" distR="0" wp14:anchorId="430A1BE5" wp14:editId="75DCF229">
            <wp:extent cx="5753100" cy="3236118"/>
            <wp:effectExtent l="0" t="0" r="0" b="0"/>
            <wp:docPr id="100" name="Picture" descr="Piql, fotograma de “Data Regeneration” (2021), accedido desde https://vimeo.com/516428662"/>
            <wp:cNvGraphicFramePr/>
            <a:graphic xmlns:a="http://schemas.openxmlformats.org/drawingml/2006/main">
              <a:graphicData uri="http://schemas.openxmlformats.org/drawingml/2006/picture">
                <pic:pic xmlns:pic="http://schemas.openxmlformats.org/drawingml/2006/picture">
                  <pic:nvPicPr>
                    <pic:cNvPr id="101" name="Picture" descr="./assets/piql.jpg"/>
                    <pic:cNvPicPr>
                      <a:picLocks noChangeAspect="1" noChangeArrowheads="1"/>
                    </pic:cNvPicPr>
                  </pic:nvPicPr>
                  <pic:blipFill>
                    <a:blip r:embed="rId25"/>
                    <a:stretch>
                      <a:fillRect/>
                    </a:stretch>
                  </pic:blipFill>
                  <pic:spPr bwMode="auto">
                    <a:xfrm>
                      <a:off x="0" y="0"/>
                      <a:ext cx="5753100" cy="3236118"/>
                    </a:xfrm>
                    <a:prstGeom prst="rect">
                      <a:avLst/>
                    </a:prstGeom>
                    <a:noFill/>
                    <a:ln w="9525">
                      <a:noFill/>
                      <a:headEnd/>
                      <a:tailEnd/>
                    </a:ln>
                  </pic:spPr>
                </pic:pic>
              </a:graphicData>
            </a:graphic>
          </wp:inline>
        </w:drawing>
      </w:r>
    </w:p>
    <w:p w14:paraId="46091035" w14:textId="77777777" w:rsidR="00D96A54" w:rsidRDefault="00000000">
      <w:pPr>
        <w:pStyle w:val="ImageCaption"/>
      </w:pPr>
      <w:r>
        <w:t>Piql, fotograma de “Data Regeneration” (2021), accedido desde https://vimeo.com/516428662</w:t>
      </w:r>
    </w:p>
    <w:p w14:paraId="64BF9878" w14:textId="77777777" w:rsidR="00D96A54" w:rsidRDefault="00000000">
      <w:pPr>
        <w:pStyle w:val="BodyText"/>
      </w:pPr>
      <w:r>
        <w:t>Es conocido el uso de esta tecnología para el Arctic World Archive, un proyecto de archivo y preservación en la isla de Spitsbergen, en Noruega. El AWA “contiene información histórica y cultural de varios países, además de todo el código abierto de GitHub, (…) con una expectativa de vida de 500 a 2000 años, almacenado en las condiciones adecuadas” (“Arctic World Archive,” 2021).</w:t>
      </w:r>
    </w:p>
    <w:p w14:paraId="25491DEB" w14:textId="77777777" w:rsidR="00D96A54" w:rsidRDefault="00000000">
      <w:pPr>
        <w:pStyle w:val="Heading2"/>
      </w:pPr>
      <w:bookmarkStart w:id="35" w:name="preservación-de-arte-electrónico"/>
      <w:bookmarkStart w:id="36" w:name="_Toc162595667"/>
      <w:bookmarkEnd w:id="25"/>
      <w:bookmarkEnd w:id="33"/>
      <w:r>
        <w:lastRenderedPageBreak/>
        <w:t>Preservación de arte electrónico</w:t>
      </w:r>
      <w:bookmarkEnd w:id="36"/>
    </w:p>
    <w:p w14:paraId="010D908C" w14:textId="77777777" w:rsidR="00D96A54" w:rsidRDefault="00000000">
      <w:pPr>
        <w:pStyle w:val="FirstParagraph"/>
      </w:pPr>
      <w:r>
        <w:t xml:space="preserve">En el artículo </w:t>
      </w:r>
      <w:r>
        <w:rPr>
          <w:i/>
          <w:iCs/>
        </w:rPr>
        <w:t>Album inestable, una acercamiento a la conservación del arte electrónico</w:t>
      </w:r>
      <w:r>
        <w:t>, la investigadora argentina Vanina Hofman investiga y desarrolla criterios y limitaciones a la hora de preservar arte electrónico, que en relación a otros soportes que podríamos llamar “tradicionales”, se encuentra en una etapa muy incipiente. Uno de los planteos de la autora es que justamente para poder preservar arte electrónico este debe transformase. Esto va en contra de la imagen generalizada del coleccionismo de los archivos y de su asociación a cierta idea de inmutabilidad. La conversión constante de la obra en post de su perdurabilidad puede orientarse hacia el plano de la documentación y también hacia la transformación física concreta en virtud de su presentación futura.</w:t>
      </w:r>
    </w:p>
    <w:p w14:paraId="006F0BFA" w14:textId="77777777" w:rsidR="00D96A54" w:rsidRDefault="00000000">
      <w:pPr>
        <w:pStyle w:val="BlockText"/>
      </w:pPr>
      <w:r>
        <w:rPr>
          <w:i/>
          <w:iCs/>
        </w:rPr>
        <w:t>El arte electrónico es un término amplio que abarca distintas expresiones artísticas contemporáneas que utilizan tecnologías electrónicas y/o digitales. (…) A la hora de pensar su conservación, encontramos que existen aspectos compartidos y por tanto estrategias comunes, pero también es cierto que sus particularidades y la gran variedad de materiales con las que han sido producidas marcan diferencias significativas. (…) No existen criterios únicos ni normas generales, por tanto se ha vuelto fundamental el trabajo en base a casos de estudio. El tema específico de la conservación del arte electrónico y de los nuevos medios suma a los problemas compartidos de la conservación de las piezas de arte, la obsolescencia inmediata de la tecnología que las sustenta, y por consiguiente, la imposibilidad de una reflexión separada de algún tipo de acción concreta y rápida al respecto.</w:t>
      </w:r>
      <w:r>
        <w:t xml:space="preserve"> (Hofman, 2007)</w:t>
      </w:r>
    </w:p>
    <w:p w14:paraId="3F2B2361" w14:textId="77777777" w:rsidR="00D96A54" w:rsidRDefault="00000000">
      <w:pPr>
        <w:pStyle w:val="Heading3"/>
      </w:pPr>
      <w:bookmarkStart w:id="37" w:name="transformar-para-conservar"/>
      <w:bookmarkStart w:id="38" w:name="_Toc162595668"/>
      <w:r>
        <w:t>Transformar para conservar</w:t>
      </w:r>
      <w:bookmarkEnd w:id="38"/>
    </w:p>
    <w:p w14:paraId="74F90FFF" w14:textId="77777777" w:rsidR="00D96A54" w:rsidRDefault="00000000">
      <w:pPr>
        <w:pStyle w:val="FirstParagraph"/>
      </w:pPr>
      <w:r>
        <w:t xml:space="preserve">Hofman junto a Consuelo Rozo del grupo </w:t>
      </w:r>
      <w:r>
        <w:rPr>
          <w:i/>
          <w:iCs/>
        </w:rPr>
        <w:t>Taxonomedia</w:t>
      </w:r>
      <w:r>
        <w:t xml:space="preserve"> explican en el texto que acompaña al seminario </w:t>
      </w:r>
      <w:r>
        <w:rPr>
          <w:i/>
          <w:iCs/>
        </w:rPr>
        <w:t>Conservación de Arte Electrónico: ¿Qué preservar y cómo preservarlo?</w:t>
      </w:r>
      <w:r>
        <w:t xml:space="preserve"> algunas nociones de lo que implica conservar este tipo de arte y nos introducen a la idea de “transformar para preservar”:</w:t>
      </w:r>
    </w:p>
    <w:p w14:paraId="11E78D5F" w14:textId="77777777" w:rsidR="00D96A54" w:rsidRDefault="00000000">
      <w:pPr>
        <w:pStyle w:val="BlockText"/>
      </w:pPr>
      <w:r>
        <w:rPr>
          <w:i/>
          <w:iCs/>
        </w:rPr>
        <w:t xml:space="preserve">Considerando como materia prima los entornos digitales (el hardware y el software, los circuitos y sensores, y enfrentándonos a cuestiones como sus obsolescencias, los intereses del mercado de la innovación y el vasto consumo tecnológico), los parámetros a tomar en cuenta a la hora de conservar una obra son completamente diferentes a los que refieren a la lucha contra la acidez del papel, el desprendimiento de pinturas y la pérdida de intensidad de sus colores, la suciedad, los hongos o el desgaste producido por el medio </w:t>
      </w:r>
      <w:r>
        <w:rPr>
          <w:i/>
          <w:iCs/>
        </w:rPr>
        <w:lastRenderedPageBreak/>
        <w:t>ambiente (…) ¿Qué pasa cuándo lo que queremos conservar ya no es un objeto en sí mismo sino un proceso que sucede en tiempo real mediado por una unidad tecnológica? Lejos de pensar la conservación como una acción de fosilizar o congelar la materialidad de una pieza, la conservación del arte digital se acerca más a la idea de “transformar para conservar” aplicada inicialmente en este campo por Jon Ippolito en el contexto del proyecto Variable Media.</w:t>
      </w:r>
      <w:r>
        <w:t xml:space="preserve"> (Hofman &amp; Rozo, 2009)</w:t>
      </w:r>
    </w:p>
    <w:p w14:paraId="7B271FFE" w14:textId="77777777" w:rsidR="00D96A54" w:rsidRDefault="00000000">
      <w:pPr>
        <w:pStyle w:val="FirstParagraph"/>
      </w:pPr>
      <w:r>
        <w:t>El caso del seminario de Hofman y Rozo es un buen ejemplo de documentación de arte electrónico, en el que invitan a varios referentes de Argentina a exponer en ponencias sus herramientas y experiencias al respecto de guardar en el tiempo su obra. Exponen Isabel García Pérez de Arce, Arianne Vanrell, Emiliano Causa, Tarcisio Pirotta y Matías Romero Costas (Proyecto Biopus) y Gustavo Romano y Mariela Yeregui. Este caso en particular justifica lo dicho anteriormente: la documentación es el método más importante, pero también es importante que los autores originales documenten sus procesos.</w:t>
      </w:r>
    </w:p>
    <w:p w14:paraId="2703531A" w14:textId="77777777" w:rsidR="00D96A54" w:rsidRDefault="00000000">
      <w:pPr>
        <w:pStyle w:val="BodyText"/>
      </w:pPr>
      <w:r>
        <w:t>En el caso de las artes electrónicas, donde se requiere de un ecosistema orquestado para su funcionamiento, es muy frecuente encontrarse con páginas web caídas, programas incompatibles con determinados sistemas operativos y licencias para usar programas caducas o inexistentes. Esto requiere de un estado de actualización y mutación constante a la hora de mantener con vida estas obras donde la obsolescencia ocurre muy rápidamente. Parecido al caso de Bill Brand al restaurar la obra de Paul Sharits: mientras se mantenga la esencia del autor, es muy posible rehacer la obra con nuevas tecnologías. También se puede diseñar desde el papel del artista procesos para desacelerar esta inevitable caducidad, utilizando software de código abierto, mecanismos sencillos y adaptables, obras duraderas y dedicadas; pero lo más importante es lo que se mencionaba anteriormente en la tesis: la documentación es la principal herramienta de preservación.</w:t>
      </w:r>
    </w:p>
    <w:p w14:paraId="4597E1CA" w14:textId="77777777" w:rsidR="00D96A54" w:rsidRDefault="00000000">
      <w:pPr>
        <w:pStyle w:val="BodyText"/>
      </w:pPr>
      <w:r>
        <w:t>Esta documentación y recreación de las obras de arte digital es lo que Lino García Morales llama “conservación evolutiva”. “El concepto de conservación evolutiva es imprescindible en la restauración de arte digital”, y refiere a las estrategias de preservación frente a la obsolescencia tecnológica. “La recreación permite una conservación evolutiva, en completa armonía con la naturaleza del arte digital” (Morales, 2019, p. 14).</w:t>
      </w:r>
    </w:p>
    <w:p w14:paraId="6EBDD7F3" w14:textId="77777777" w:rsidR="00D96A54" w:rsidRDefault="00000000">
      <w:pPr>
        <w:pStyle w:val="BodyText"/>
      </w:pPr>
      <w:r>
        <w:lastRenderedPageBreak/>
        <w:t>Hofman explica que en el arte electrónico hay un aspecto importante a considerar: la distinción entre la preservación de la documentación sobre una pieza, y la materialidad de la pieza, dos esferas paralelas y casi indivisibles. La materialidad no es siempre la prioridad en este tipo de obras, porque muchas veces son de naturaleza efímera (Hofman, 2007). Por otro lado la autora hace una diferencia entre la preservación pasiva de una obra y la preservación activa. La primera refiere a todas aquellas acciones que no significan una transformación directa de las piezas, como puede ser mantener luz, temperatura y humedad en condiciones controladas. Y la segunda refiere concretamente a la idea de transformar para conservar: reparar, migrar la pieza a nuevos soportes, emular las condiciones de presentación de las obras, o incluso reinterpretar la intención y el sentido original del autor.</w:t>
      </w:r>
    </w:p>
    <w:p w14:paraId="04126FC1" w14:textId="77777777" w:rsidR="00D96A54" w:rsidRDefault="00000000">
      <w:pPr>
        <w:pStyle w:val="BodyText"/>
      </w:pPr>
      <w:r>
        <w:t>Con estas forma general de preservación que resulta del equilibrio entre información y documentación y entre acciones pasivas y activas, a continuación se van a mencionar algunas instituciones y fundaciones que desarrollaron distintas escuelas y diversos modelos de organización de la documentación para las obras de la llamada “media variable”.</w:t>
      </w:r>
    </w:p>
    <w:p w14:paraId="5255F6EF" w14:textId="77777777" w:rsidR="00D96A54" w:rsidRDefault="00000000">
      <w:pPr>
        <w:pStyle w:val="Heading3"/>
      </w:pPr>
      <w:bookmarkStart w:id="39" w:name="modelos-e-instutuciones"/>
      <w:bookmarkStart w:id="40" w:name="_Toc162595669"/>
      <w:bookmarkEnd w:id="37"/>
      <w:r>
        <w:t>Modelos e instutuciones</w:t>
      </w:r>
      <w:bookmarkEnd w:id="40"/>
    </w:p>
    <w:p w14:paraId="46EF1507" w14:textId="77777777" w:rsidR="00D96A54" w:rsidRDefault="00000000">
      <w:pPr>
        <w:pStyle w:val="FirstParagraph"/>
      </w:pPr>
      <w:r>
        <w:t xml:space="preserve">La </w:t>
      </w:r>
      <w:r>
        <w:rPr>
          <w:i/>
          <w:iCs/>
        </w:rPr>
        <w:t>Variable Media Network</w:t>
      </w:r>
      <w:r>
        <w:t xml:space="preserve">, fundada por el Museo Guggenheim con apoyo de la Fundación Daniel Langlois, es una red de instituciones y expertos que tiene por objetivo el establecimiento de protocolos que permitan un acercamiento flexible a la preservación de prácticas artísticas basadas en “media variable” (esto incluye lo que conocemos por arte electrónico, aunque se extiende a casi toda forma de arte). El modelo de organización de esta red es una herramienta de base de datos en forma de cuestionario: el Cuestionario de Media Variable (VMQ por sus sílabas en inglés), una interfaz gráfica online no convencional que le permite a los creadores e investigadores registrar una obra y su funcionamiento a través de preguntas y modelos de organización específicos alrededor del paradigma de los medios variables: el sentido independiente del medio. Por ejemplo, pueden almacenar “interpretaciones” de tamaños, “partes” de una obra con sus respectivas “preguntas”, y también “participantes” de la obra y “entrevistas” que pueden sumar más información a la pieza. La subjetividad de los participantes de cada obra también le permite a la herramienta establecer criterios muy versátiles de cuatro factores </w:t>
      </w:r>
      <w:r>
        <w:lastRenderedPageBreak/>
        <w:t>esenciales: almacenamiento, migración, emulación y recreación. La herramienta cuenta con modelos de piezas preestablecidos que le permiten a quien carga la información partir de una base similar para ampliar y completar. La intención de la herramienta es “determinar la forma en el cual los creadores desearían que su obra sea re-creada (siempre y cuando esto sea posible), con independencia del medio en el fue realizada” (Hofman, 2007).</w:t>
      </w:r>
      <w:r>
        <w:rPr>
          <w:rStyle w:val="FootnoteReference"/>
        </w:rPr>
        <w:footnoteReference w:id="12"/>
      </w:r>
    </w:p>
    <w:p w14:paraId="5D067E17" w14:textId="77777777" w:rsidR="00D96A54" w:rsidRDefault="00000000">
      <w:pPr>
        <w:pStyle w:val="CaptionedFigure"/>
      </w:pPr>
      <w:r>
        <w:drawing>
          <wp:inline distT="0" distB="0" distL="0" distR="0" wp14:anchorId="38430428" wp14:editId="7E0356B5">
            <wp:extent cx="5753100" cy="3185179"/>
            <wp:effectExtent l="0" t="0" r="0" b="0"/>
            <wp:docPr id="107" name="Picture" descr="Jon Ippolito, “Navigating Variable Media Questionaire”, accedido desde https://variablemediaquestionnaire.net"/>
            <wp:cNvGraphicFramePr/>
            <a:graphic xmlns:a="http://schemas.openxmlformats.org/drawingml/2006/main">
              <a:graphicData uri="http://schemas.openxmlformats.org/drawingml/2006/picture">
                <pic:pic xmlns:pic="http://schemas.openxmlformats.org/drawingml/2006/picture">
                  <pic:nvPicPr>
                    <pic:cNvPr id="108" name="Picture" descr="./assets/VMQ.jpeg"/>
                    <pic:cNvPicPr>
                      <a:picLocks noChangeAspect="1" noChangeArrowheads="1"/>
                    </pic:cNvPicPr>
                  </pic:nvPicPr>
                  <pic:blipFill>
                    <a:blip r:embed="rId26"/>
                    <a:stretch>
                      <a:fillRect/>
                    </a:stretch>
                  </pic:blipFill>
                  <pic:spPr bwMode="auto">
                    <a:xfrm>
                      <a:off x="0" y="0"/>
                      <a:ext cx="5753100" cy="3185179"/>
                    </a:xfrm>
                    <a:prstGeom prst="rect">
                      <a:avLst/>
                    </a:prstGeom>
                    <a:noFill/>
                    <a:ln w="9525">
                      <a:noFill/>
                      <a:headEnd/>
                      <a:tailEnd/>
                    </a:ln>
                  </pic:spPr>
                </pic:pic>
              </a:graphicData>
            </a:graphic>
          </wp:inline>
        </w:drawing>
      </w:r>
    </w:p>
    <w:p w14:paraId="5D201C4F" w14:textId="77777777" w:rsidR="00D96A54" w:rsidRDefault="00000000">
      <w:pPr>
        <w:pStyle w:val="ImageCaption"/>
      </w:pPr>
      <w:r>
        <w:t>Jon Ippolito, “Navigating Variable Media Questionaire”, accedido desde https://variablemediaquestionnaire.net</w:t>
      </w:r>
    </w:p>
    <w:p w14:paraId="33EAE861" w14:textId="77777777" w:rsidR="00D96A54" w:rsidRDefault="00000000">
      <w:pPr>
        <w:pStyle w:val="BodyText"/>
      </w:pPr>
      <w:r>
        <w:t>Algunos modelos o bases de datos se pueden entender como el punto medio entre documentación y difusión. Tal es el caso de Media Art Net o Rhizome ArtBase, entre otros, donde artistas aplican y documentan en pos de difusión y conservación.</w:t>
      </w:r>
    </w:p>
    <w:p w14:paraId="55E1975F" w14:textId="77777777" w:rsidR="00D96A54" w:rsidRDefault="00000000">
      <w:pPr>
        <w:pStyle w:val="BodyText"/>
      </w:pPr>
      <w:r>
        <w:t xml:space="preserve">Otra institución digna de mencionar es el </w:t>
      </w:r>
      <w:r>
        <w:rPr>
          <w:i/>
          <w:iCs/>
        </w:rPr>
        <w:t>Matters in Media Art</w:t>
      </w:r>
      <w:r>
        <w:t xml:space="preserve">, un proyecto de cooperación entre instituciones como los museos MoMA y TATE alrededor de la preservación de obras basadas en tiempo, consultando a expertos y preparando guías para el desarrollo de esta práctica. Este consorcio apunta a generar material para coleccionistas, artistas e instituciones de todos las escalas. Las guías son exhaustivas, asesorando alrededor de la adquisición, la documentación a realizar, </w:t>
      </w:r>
      <w:r>
        <w:lastRenderedPageBreak/>
        <w:t>cómo llevar a cabo préstamos, y cómo preservar digitalmente estas obras que alcanzan su apogeo en su forma desplegada. El trabajo que plantea el consorcio compete disciplinas muy diversas y requiere trascender y confrontar prácticas de archivo y preservación tradicionales. Curadores, archivistas, técnicos en informática, conservadores y expertos contribuyen a estas diversas obras de arte. Algunos ejemplos de estas guías son de obras de video, audio, cine, y diapositivas, pero también ofrecen guías para tratar las computadoras, las pantallas, los reproductores y los proyectores.</w:t>
      </w:r>
      <w:r>
        <w:rPr>
          <w:rStyle w:val="FootnoteReference"/>
        </w:rPr>
        <w:footnoteReference w:id="13"/>
      </w:r>
    </w:p>
    <w:p w14:paraId="4A78F1F3" w14:textId="77777777" w:rsidR="00D96A54" w:rsidRDefault="00000000">
      <w:pPr>
        <w:pStyle w:val="BodyText"/>
      </w:pPr>
      <w:r>
        <w:t xml:space="preserve">En relación al Moma, este museo está adquiriendo desde 2012 videojuegos a su colección, como parte del acervo de piezas de arte y diseño, y es un buen ejemplo de preservación de documentación. La institución aspira a incorporar una lista de por lo menos 40 juegos, entre los que ahora podemos encontrar títulos como </w:t>
      </w:r>
      <w:r>
        <w:rPr>
          <w:i/>
          <w:iCs/>
        </w:rPr>
        <w:t>Pac-Man</w:t>
      </w:r>
      <w:r>
        <w:t xml:space="preserve"> (1980), </w:t>
      </w:r>
      <w:r>
        <w:rPr>
          <w:i/>
          <w:iCs/>
        </w:rPr>
        <w:t>Tetris</w:t>
      </w:r>
      <w:r>
        <w:t xml:space="preserve"> (1984), </w:t>
      </w:r>
      <w:r>
        <w:rPr>
          <w:i/>
          <w:iCs/>
        </w:rPr>
        <w:t>Another World</w:t>
      </w:r>
      <w:r>
        <w:t xml:space="preserve"> (1991), </w:t>
      </w:r>
      <w:r>
        <w:rPr>
          <w:i/>
          <w:iCs/>
        </w:rPr>
        <w:t>Myst</w:t>
      </w:r>
      <w:r>
        <w:t xml:space="preserve"> (1993), </w:t>
      </w:r>
      <w:r>
        <w:rPr>
          <w:i/>
          <w:iCs/>
        </w:rPr>
        <w:t>SimCity 2000</w:t>
      </w:r>
      <w:r>
        <w:t xml:space="preserve"> (1994), </w:t>
      </w:r>
      <w:r>
        <w:rPr>
          <w:i/>
          <w:iCs/>
        </w:rPr>
        <w:t>The Sims</w:t>
      </w:r>
      <w:r>
        <w:t xml:space="preserve"> (2000), </w:t>
      </w:r>
      <w:r>
        <w:rPr>
          <w:i/>
          <w:iCs/>
        </w:rPr>
        <w:t>Dwarf Fortress</w:t>
      </w:r>
      <w:r>
        <w:t xml:space="preserve"> (2006), </w:t>
      </w:r>
      <w:r>
        <w:rPr>
          <w:i/>
          <w:iCs/>
        </w:rPr>
        <w:t>Portal</w:t>
      </w:r>
      <w:r>
        <w:t xml:space="preserve"> (2007), entre otros. La colección también incluye consolas de videojuegos como la </w:t>
      </w:r>
      <w:r>
        <w:rPr>
          <w:i/>
          <w:iCs/>
        </w:rPr>
        <w:t>Magnavox Odyssey</w:t>
      </w:r>
      <w:r>
        <w:t xml:space="preserve"> de 1972. Los curadores del departamento de diseño y arquitectura Paola Antonelli y Paul Galloway escriben en 2022 un artículo que acompañó la exhibición </w:t>
      </w:r>
      <w:r>
        <w:rPr>
          <w:i/>
          <w:iCs/>
        </w:rPr>
        <w:t>Never Alone: Video Games and Other Interactive Design</w:t>
      </w:r>
      <w:r>
        <w:t xml:space="preserve"> la experiencia a la hora de adquirir y preservar el material. En primer lugar explican que fue indispensable hacerse del código fuente de los juegos, ya sea en forma digital o física (cartuchos o consolas), para poder traducirlo en el futuro si la tecnología original queda obsoleta. Esto incluyó emuladores de las consolas en caso de que los hubiera, y documentación de los programadores originales, porque escribir código es un proceso personal y creativo que a veces requiere del autor de primera mano. La segunda parte fue pensar la exhibición de los juegos en su dimensión temporal, ya que son productos que no fueron especialmente diseñados para ese tipo de expansión en el espacio, por lo que se llegó a clasificar el juego según su “duración”, desde experiencias cortas de 5 minutos a juegos prácticamente infinitos como el Sim City 2000 (Antonelli &amp; Galloway, 2022).</w:t>
      </w:r>
    </w:p>
    <w:p w14:paraId="1CE6DA56" w14:textId="77777777" w:rsidR="00D96A54" w:rsidRDefault="00000000">
      <w:pPr>
        <w:pStyle w:val="BodyText"/>
      </w:pPr>
      <w:r>
        <w:lastRenderedPageBreak/>
        <w:t xml:space="preserve">También se puede mencionar el </w:t>
      </w:r>
      <w:r>
        <w:rPr>
          <w:i/>
          <w:iCs/>
        </w:rPr>
        <w:t>Computerspiele Museum</w:t>
      </w:r>
      <w:r>
        <w:t xml:space="preserve"> en Berlín, un museo dedicado a la conservación y preservación de videojuegos, desde el software al hardware, financiado por el Consejo Internacional de Museos. También la Fundación Langlois en Montreal, Canadá, que desarrolla metodologías y herramientas con relación a la preservación y documentación de piezas artísticas digitales, tecnológicas y electrónicas por medio del proyecto DOCAM (Documentation et Conservation des Arts Médiatiques). O el Netherlands Media Art Institute, Montevideo/Time Based Arts (ahora LIMA), que desde 1992 investigaba y desarrollaba modelos, métodos de registro, teorías y acciones en torno a la conservación, orientadas hacia su objetivo central de hacer accesible la herencia cultural del arte electrónico. Por último, el Museo Nacional y Centro de Arte Reina Sofía tiene una publicación periódica titulada “Conservación de Arte Contemporáneo” que recoge las ponencias presentadas anualmente en la Jornada de Conservación de Arte Contemporáneo del Departamento de Restauración del museo.</w:t>
      </w:r>
    </w:p>
    <w:p w14:paraId="5F52CDA9" w14:textId="77777777" w:rsidR="00D96A54" w:rsidRDefault="00000000">
      <w:pPr>
        <w:pStyle w:val="BodyText"/>
      </w:pPr>
      <w:r>
        <w:t>Como se puede apreciar en este apartado, el mayor número de instituciones y proyectos alrededor de la preservación de arte electrónico ocurren en Europa, Estados Unidos y Canadá, donde también incluso se lucha contra la falta de fondos y personal para llevar adelante esta proeza de documentación y preservación.</w:t>
      </w:r>
    </w:p>
    <w:p w14:paraId="06A8C3FC" w14:textId="77777777" w:rsidR="00D96A54" w:rsidRDefault="00000000">
      <w:pPr>
        <w:pStyle w:val="BodyText"/>
      </w:pPr>
      <w:r>
        <w:t xml:space="preserve">En Sudamérica no es diferente, pero existen muchos ejemplos de investigación, promoción y difusión institucionales y también independientes, como el Centro de Documentación de las Artes en el Palacio de la Moneda en Chile, o lo que ocurre en algunas instituciones culturales, concursos, festivales, circuitos de exhibición y carreras de grado y posgrado en Argentina, como el Espacio Fundación Telefónica (Movistar), el Centro Cultural de España en Buenos Aires, festivales y concursos como los del Proyecto Experimental Limbo, Game-On El Arte En Juego, circuitos de exhibición y producción alternativos o no gubernamentales como el Centro Hipermediático Experimental Latino Americano (cheLA), y ofertas formativas de grado y posgrado como las Licenciatura y Maestría en Artes Electrónicas de la Universidad Nacional de Tres de Febrero (UNTREF), las actividades que lleva adelante el Instituto Universitario Nacional del Arte (IUNA), o la cátedra de Campos Trilnick de la Carrera de Diseño de Imagen y Sonido de la Universidad de Buenos </w:t>
      </w:r>
      <w:r>
        <w:lastRenderedPageBreak/>
        <w:t>Aires, que lleva adelante desde hace años una importante tarea de formación en las especificidades propias de los medios digitales audiovisuales.</w:t>
      </w:r>
    </w:p>
    <w:p w14:paraId="13734A21" w14:textId="77777777" w:rsidR="00D96A54" w:rsidRDefault="00000000">
      <w:pPr>
        <w:pStyle w:val="BodyText"/>
      </w:pPr>
      <w:r>
        <w:t xml:space="preserve">También vale mencionar la labor de la revista </w:t>
      </w:r>
      <w:r>
        <w:rPr>
          <w:i/>
          <w:iCs/>
        </w:rPr>
        <w:t>Replay</w:t>
      </w:r>
      <w:r>
        <w:t>, dedicada a la arqueología e investigación alrededor de la historia de los videojuegos y el entretenimiento digital en el territorio nacional, donde en cada edición se investiga una nueva historia de Arcades, los muebles para los “fichines”, la historia de Sacoa, desarrolladores locales, industria nacional, etc; y también en forma independiente la base de datos de obras de net-art que desarrolla el artista uruguayo Brian Mackern.</w:t>
      </w:r>
    </w:p>
    <w:p w14:paraId="48EF9494" w14:textId="77777777" w:rsidR="00D96A54" w:rsidRDefault="00000000">
      <w:pPr>
        <w:pStyle w:val="Heading3"/>
      </w:pPr>
      <w:bookmarkStart w:id="41" w:name="brian-mackern-y-la-máquina-podrida"/>
      <w:bookmarkStart w:id="42" w:name="_Toc162595670"/>
      <w:bookmarkEnd w:id="39"/>
      <w:r>
        <w:t>Brian Mackern y la máquina podrida</w:t>
      </w:r>
      <w:bookmarkEnd w:id="42"/>
    </w:p>
    <w:p w14:paraId="2A23BB46" w14:textId="77777777" w:rsidR="00D96A54" w:rsidRDefault="00000000">
      <w:pPr>
        <w:pStyle w:val="FirstParagraph"/>
      </w:pPr>
      <w:r>
        <w:t>Brian Mackern es un artista uruguayo que ha desarrollado la mayor parte de su obra alrededor del net art y el sound art. Realiza experimentos con proyecciones, datos y colaborando con artistas sonoros y musicales. A través de sus trabajos de “arqueología digital” lleva adelante un proyecto de divulgación y conservación de net art latinoamericano. El autor destaca la importancia de los archivos digitales, y la importancia de mantener las computadoras para las que funcionaban esos archivos digitales. Desde el año 2004, se dedica a la recuperación, conservación y preservación de obras de netart de los años 90, tanto como investigador como artista.</w:t>
      </w:r>
    </w:p>
    <w:p w14:paraId="37D4272D" w14:textId="77777777" w:rsidR="00D96A54" w:rsidRDefault="00000000">
      <w:pPr>
        <w:pStyle w:val="BodyText"/>
      </w:pPr>
      <w:r>
        <w:t>Su proyecto más conocido es la “netart latino database”, un base de datos que funciona como un esfuerzo por documentar obras de arte basadas en internet, vulnerables a la obsolescencia, realizadas por artistas latinoamericanos, trabajando en la periferia de las comunidades dominantes de net art de habla inglesa. El netart “tuvo tantos nombres como ‘centros de gravedad creativa’ y comunidades dedicadas al tema: netart, arte de red, arte de Internet, arte net, net arte, ambientación web (este último término (…) se refiere más bien al diseño de sitios con navegación laberíntica apoyado por cantidad de enlaces aleatorios, algo muy de moda en los años noventa)” (Mackern, 2008).</w:t>
      </w:r>
    </w:p>
    <w:p w14:paraId="60EFAC68" w14:textId="77777777" w:rsidR="00D96A54" w:rsidRDefault="00000000">
      <w:pPr>
        <w:pStyle w:val="BlockText"/>
      </w:pPr>
      <w:r>
        <w:rPr>
          <w:i/>
          <w:iCs/>
        </w:rPr>
        <w:t xml:space="preserve">“database” surge con una intención totalmente particular y subjetiva en cuanto a criterios. Como toda selección personal, es “parcial y arbitraria”, nunca pretendió ser un mero listado. Tiene un gran componente personal en el sentido de que ahí se encuentran enlaces que, en lo personal y como artista, me interesaban por algo en especial, </w:t>
      </w:r>
      <w:r>
        <w:rPr>
          <w:i/>
          <w:iCs/>
        </w:rPr>
        <w:lastRenderedPageBreak/>
        <w:t>generalmente por su búsqueda estética, su propuesta formal, su manifiesto, su relectura, etc. Casi todos los enlaces fueron en su momento sopesados y reflexionados, navegados a conciencia. Eran mis recomendaciones personales de navegación y a la vez un mapeo de la red en la que me movía en ese momento. Una cartografía de relaciones y de trabajos de reflexión y colaboración</w:t>
      </w:r>
      <w:r>
        <w:t xml:space="preserve"> (Mackern, 2008).</w:t>
      </w:r>
    </w:p>
    <w:p w14:paraId="65B6016C" w14:textId="77777777" w:rsidR="00D96A54" w:rsidRDefault="00000000">
      <w:pPr>
        <w:pStyle w:val="CaptionedFigure"/>
      </w:pPr>
      <w:r>
        <w:drawing>
          <wp:inline distT="0" distB="0" distL="0" distR="0" wp14:anchorId="61225856" wp14:editId="7DA3BB5F">
            <wp:extent cx="5753100" cy="3236993"/>
            <wp:effectExtent l="0" t="0" r="0" b="0"/>
            <wp:docPr id="112" name="Picture" descr="Brian Mackern, portada de “netart.org.uy”, Netart latino database (2008), p. 1"/>
            <wp:cNvGraphicFramePr/>
            <a:graphic xmlns:a="http://schemas.openxmlformats.org/drawingml/2006/main">
              <a:graphicData uri="http://schemas.openxmlformats.org/drawingml/2006/picture">
                <pic:pic xmlns:pic="http://schemas.openxmlformats.org/drawingml/2006/picture">
                  <pic:nvPicPr>
                    <pic:cNvPr id="113" name="Picture" descr="./assets/netart.jpg"/>
                    <pic:cNvPicPr>
                      <a:picLocks noChangeAspect="1" noChangeArrowheads="1"/>
                    </pic:cNvPicPr>
                  </pic:nvPicPr>
                  <pic:blipFill>
                    <a:blip r:embed="rId27"/>
                    <a:stretch>
                      <a:fillRect/>
                    </a:stretch>
                  </pic:blipFill>
                  <pic:spPr bwMode="auto">
                    <a:xfrm>
                      <a:off x="0" y="0"/>
                      <a:ext cx="5753100" cy="3236993"/>
                    </a:xfrm>
                    <a:prstGeom prst="rect">
                      <a:avLst/>
                    </a:prstGeom>
                    <a:noFill/>
                    <a:ln w="9525">
                      <a:noFill/>
                      <a:headEnd/>
                      <a:tailEnd/>
                    </a:ln>
                  </pic:spPr>
                </pic:pic>
              </a:graphicData>
            </a:graphic>
          </wp:inline>
        </w:drawing>
      </w:r>
    </w:p>
    <w:p w14:paraId="12617ECE" w14:textId="77777777" w:rsidR="00D96A54" w:rsidRDefault="00000000">
      <w:pPr>
        <w:pStyle w:val="ImageCaption"/>
      </w:pPr>
      <w:r>
        <w:t>Brian Mackern, portada de “netart.org.uy”, Netart latino database (2008), p. 1</w:t>
      </w:r>
    </w:p>
    <w:p w14:paraId="414A4DE6" w14:textId="77777777" w:rsidR="00D96A54" w:rsidRDefault="00000000">
      <w:pPr>
        <w:pStyle w:val="BodyText"/>
      </w:pPr>
      <w:r>
        <w:t>Así como las tecnologías cambian en el tiempo surgen los plugins deprecados (la muerte de la plataforma Flash, por dar un ejemplo) y los llamados “hipervínculos podridos” (</w:t>
      </w:r>
      <w:r>
        <w:rPr>
          <w:i/>
          <w:iCs/>
        </w:rPr>
        <w:t>linkrots</w:t>
      </w:r>
      <w:r>
        <w:t xml:space="preserve"> en inglés). En este contexto de decaimiento digital surge la importancia del trabajo de la “database”.</w:t>
      </w:r>
    </w:p>
    <w:p w14:paraId="5A9B38B6" w14:textId="77777777" w:rsidR="00D96A54" w:rsidRDefault="00000000">
      <w:pPr>
        <w:pStyle w:val="BodyText"/>
      </w:pPr>
      <w:r>
        <w:t xml:space="preserve">Su otro proyecto importante es </w:t>
      </w:r>
      <w:r>
        <w:rPr>
          <w:i/>
          <w:iCs/>
        </w:rPr>
        <w:t>La Máquina Podrida</w:t>
      </w:r>
      <w:r>
        <w:t xml:space="preserve"> (</w:t>
      </w:r>
      <w:r>
        <w:rPr>
          <w:i/>
          <w:iCs/>
        </w:rPr>
        <w:t>aka La Desdentada</w:t>
      </w:r>
      <w:r>
        <w:t xml:space="preserve">), que consistió en una exposición de su propia computadora portátil que lo acompañó desde 1999 a 2004, en la que desarrolló muchas de sus obras como artista y coleccionista, en la que archivó obras de otros en relación al net art, como Jodi, Superbad, Rafael Lozano-Hemmer, entre otros. La computadora se encuentra en su estado original, con el sistema operativo necesario para correr correctamente todas estas aplicaciones, gifs animados y páginas. De no ser por la forma en que fueron guardadas y en la forma que son ejecutadas, estos archivos posiblemente se hubieran perdido, puesto que en muchas ocasiones ni los propios artistas llegaron a </w:t>
      </w:r>
      <w:r>
        <w:lastRenderedPageBreak/>
        <w:t>guardar sus obras, pero Brian conservó copias por su interés personal (</w:t>
      </w:r>
      <w:r>
        <w:rPr>
          <w:i/>
          <w:iCs/>
        </w:rPr>
        <w:t>MEIAC - Museo Extremeño e Iberoamericano de Arte Contemporáneo</w:t>
      </w:r>
      <w:r>
        <w:t>, n.d.).</w:t>
      </w:r>
    </w:p>
    <w:p w14:paraId="0FDB74E3" w14:textId="77777777" w:rsidR="00D96A54" w:rsidRDefault="00000000">
      <w:pPr>
        <w:pStyle w:val="BodyText"/>
      </w:pPr>
      <w:r>
        <w:t>El Museo Extremeño e Iberoamericano de Arte Contemporáneo termina comprándole a Mackern La Máquina Podrida y la “netart latino database”, y en este ciclo que podría verse como una paradoja, la “colección surgida desde los márgenes, tal como en los casos de Langlois y Prelinger, las piezas reunidas por un interés personal -o por una sensibilidad hacia el futuro particular- acaban en una institución de acceso público que las cobija, las protege y las difunde.” (Hofman, 2011)</w:t>
      </w:r>
    </w:p>
    <w:p w14:paraId="711FE8FA" w14:textId="77777777" w:rsidR="00D96A54" w:rsidRDefault="00000000">
      <w:pPr>
        <w:pStyle w:val="CaptionedFigure"/>
      </w:pPr>
      <w:r>
        <w:drawing>
          <wp:inline distT="0" distB="0" distL="0" distR="0" wp14:anchorId="0D582D71" wp14:editId="0AD3FA55">
            <wp:extent cx="5753100" cy="3835400"/>
            <wp:effectExtent l="0" t="0" r="0" b="0"/>
            <wp:docPr id="115" name="Picture" descr="Brian Mackern, “La máquina podrida” (2004), accedido 15 de Febrero 2024 desde https://netart.org.uy/podrida_ceart"/>
            <wp:cNvGraphicFramePr/>
            <a:graphic xmlns:a="http://schemas.openxmlformats.org/drawingml/2006/main">
              <a:graphicData uri="http://schemas.openxmlformats.org/drawingml/2006/picture">
                <pic:pic xmlns:pic="http://schemas.openxmlformats.org/drawingml/2006/picture">
                  <pic:nvPicPr>
                    <pic:cNvPr id="116" name="Picture" descr="./assets/SAM_5524.jpg"/>
                    <pic:cNvPicPr>
                      <a:picLocks noChangeAspect="1" noChangeArrowheads="1"/>
                    </pic:cNvPicPr>
                  </pic:nvPicPr>
                  <pic:blipFill>
                    <a:blip r:embed="rId28"/>
                    <a:stretch>
                      <a:fillRect/>
                    </a:stretch>
                  </pic:blipFill>
                  <pic:spPr bwMode="auto">
                    <a:xfrm>
                      <a:off x="0" y="0"/>
                      <a:ext cx="5753100" cy="3835400"/>
                    </a:xfrm>
                    <a:prstGeom prst="rect">
                      <a:avLst/>
                    </a:prstGeom>
                    <a:noFill/>
                    <a:ln w="9525">
                      <a:noFill/>
                      <a:headEnd/>
                      <a:tailEnd/>
                    </a:ln>
                  </pic:spPr>
                </pic:pic>
              </a:graphicData>
            </a:graphic>
          </wp:inline>
        </w:drawing>
      </w:r>
    </w:p>
    <w:p w14:paraId="7039A7B8" w14:textId="77777777" w:rsidR="00D96A54" w:rsidRDefault="00000000">
      <w:pPr>
        <w:pStyle w:val="ImageCaption"/>
      </w:pPr>
      <w:r>
        <w:t>Brian Mackern, “La máquina podrida” (2004), accedido 15 de Febrero 2024 desde https://netart.org.uy/podrida_ceart</w:t>
      </w:r>
    </w:p>
    <w:p w14:paraId="6EE42312" w14:textId="77777777" w:rsidR="00D96A54" w:rsidRDefault="00000000">
      <w:pPr>
        <w:pStyle w:val="BodyText"/>
      </w:pPr>
      <w:r>
        <w:t xml:space="preserve">“Considerando que el coleccionista amateur tiene una idea de valor para aquello que cuida, es perfectamente coherente que después de poseerlo y ponderarlo, desee compartirlo y posibilitarle una continuidad que exceda su propia vida” (Hofman, 2011). En esta línea es que podríamos acercarnos nuevamente a la idea de “preservación involuntaria”, porque si bien en Brian Mackern la preservación “amateur” de las piezas termina siendo parte de la obra en sí, pareciera haber una </w:t>
      </w:r>
      <w:r>
        <w:lastRenderedPageBreak/>
        <w:t>coincidencia entre la búsqueda estética personal y los intereses del autor, y los resultados de preservación consiguientes. Muchas obras, propias y ajenas, fueron preservadas en el tiempo gracias a este interés, que ahora es medular en su trabajo. En el apartado siguiente vamos a profundizar un poco más sobre los archivos de internet y sus posibilidades contemporáneas.</w:t>
      </w:r>
    </w:p>
    <w:p w14:paraId="412252AA" w14:textId="77777777" w:rsidR="00D96A54" w:rsidRDefault="00000000">
      <w:pPr>
        <w:pStyle w:val="Heading2"/>
      </w:pPr>
      <w:bookmarkStart w:id="43" w:name="preservación-de-internet"/>
      <w:bookmarkStart w:id="44" w:name="_Toc162595671"/>
      <w:bookmarkEnd w:id="35"/>
      <w:bookmarkEnd w:id="41"/>
      <w:r>
        <w:lastRenderedPageBreak/>
        <w:t>Preservación de internet</w:t>
      </w:r>
      <w:bookmarkEnd w:id="44"/>
    </w:p>
    <w:p w14:paraId="5CCA179A" w14:textId="77777777" w:rsidR="00D96A54" w:rsidRDefault="00000000">
      <w:pPr>
        <w:pStyle w:val="FirstParagraph"/>
      </w:pPr>
      <w:r>
        <w:t xml:space="preserve">En internet se habla mucho de democratización y distribución, ya sea desde los principios y las bases del software libre hasta los sitios web basados en el croudsourcing. Existen valores e ideales fuertes en los sitios de piratería, donde la confianza se basa en las ideas de un acceso universal a la cultura y la retribución a los autores se basa en el mérito y la solidaridad. Y en la </w:t>
      </w:r>
      <w:r>
        <w:rPr>
          <w:i/>
          <w:iCs/>
        </w:rPr>
        <w:t>Blockchain</w:t>
      </w:r>
      <w:r>
        <w:t xml:space="preserve"> nada es privado, toda la información es pública y permanente. Existen familias que depositan toda su confianza de archivo en servicios de empresas privadas como Facebook o Instagram (madres que crean cuentas aparte para sus hijos donde agrupar las imágenes que comparten). Y aunque no quiera decir que los archivos dependan de esto, la existencia de todo tipo de documentos y sitios web muchas veces dependen de compañías privadas como Amazon, Google o Facebook para sobrevivir, aunque existen excepciones que se verán más adelante, como el proyecto sin fines de lucro Internet Archive, o el proyecto de código abierto y descentralizado de sistema de archivos </w:t>
      </w:r>
      <w:r>
        <w:rPr>
          <w:i/>
          <w:iCs/>
        </w:rPr>
        <w:t>Inter Planetary File System</w:t>
      </w:r>
      <w:r>
        <w:t>. En esta vorágine de tormenta tecnológica surge la colectividad y el carácter “abierto” de las computadoras e internet: se prioriza la creación de contenido por parte del usuario a través de sitios y aplicaciones. La práctica de archivo está cambiando muy rápidamente y en este apartado vamos a contextualizar cómo se preserva en internet.</w:t>
      </w:r>
    </w:p>
    <w:p w14:paraId="4FF85299" w14:textId="77777777" w:rsidR="00D96A54" w:rsidRDefault="00000000">
      <w:pPr>
        <w:pStyle w:val="Heading3"/>
      </w:pPr>
      <w:bookmarkStart w:id="45" w:name="internet-archive"/>
      <w:bookmarkStart w:id="46" w:name="_Toc162595672"/>
      <w:r>
        <w:t>Internet archive</w:t>
      </w:r>
      <w:bookmarkEnd w:id="46"/>
    </w:p>
    <w:p w14:paraId="0485A7C1" w14:textId="77777777" w:rsidR="00D96A54" w:rsidRDefault="00000000">
      <w:pPr>
        <w:pStyle w:val="FirstParagraph"/>
      </w:pPr>
      <w:r>
        <w:t>La ley de Moore, formulada en 1965 por el cofundador de Intel, Gordon Moore, estima que aproximadamente cada 2 años se duplica la cantidad de transistores en un microchip (y por lo tanto la capacidad de las computadoras). En el contexto de los archivos del mundo, la realidad se ve desafiada y amenazada continuamente. Giovana Fossati hace una mención de esta transformación en su libro:</w:t>
      </w:r>
    </w:p>
    <w:p w14:paraId="1681475F" w14:textId="77777777" w:rsidR="00D96A54" w:rsidRDefault="00000000">
      <w:pPr>
        <w:pStyle w:val="BodyText"/>
      </w:pPr>
      <w:r>
        <w:rPr>
          <w:i/>
          <w:iCs/>
        </w:rPr>
        <w:t xml:space="preserve">Film archival practice is changing very rapidly and, with it, the way we look at the preservation of our film heritage. New forms of (digital) archives are being developed via the Internet that make use of participatory media to provide a significantly wider and more open form of access than any tradition- al archive has ever offered before. As a consequence, film archives and film museums are struggling with questions about their role. As a response, they could either close their doors to new media, or </w:t>
      </w:r>
      <w:r>
        <w:rPr>
          <w:i/>
          <w:iCs/>
        </w:rPr>
        <w:lastRenderedPageBreak/>
        <w:t>accept them and challenge some of their views and assumptions about the film medium. Whatever the choice, it will determine their future. [La práctica de archivo cinematográfico está cambiando muy rápidamente y, con ello, la forma en que vemos la preservación de nuestro patrimonio cinematográfico. Se están desarrollando nuevas formas de archivos (digitales) a través de Internet que hacen uso de medios participativos para proporcionar un acceso significativamente más amplio y abierto que cualquier archivo tradicional haya ofrecido antes. Como consecuencia, los archivos cinematográficos y los museos de cine están lidiando con preguntas sobre su papel. Como respuesta, podrían cerrar sus puertas a los nuevos medios, o aceptarlos y desafiar algunas de sus visiones y suposiciones sobre el medio cinematográfico. Sea cual sea la elección, determinará su futuro]</w:t>
      </w:r>
      <w:r>
        <w:t xml:space="preserve"> (Fossati, 2018, p. 23).</w:t>
      </w:r>
    </w:p>
    <w:p w14:paraId="789BBA16" w14:textId="77777777" w:rsidR="00D96A54" w:rsidRDefault="00000000">
      <w:pPr>
        <w:pStyle w:val="BodyText"/>
      </w:pPr>
      <w:r>
        <w:rPr>
          <w:i/>
          <w:iCs/>
        </w:rPr>
        <w:t>Internet Archive</w:t>
      </w:r>
      <w:r>
        <w:t xml:space="preserve"> (literalmente archivo de Internet) es una biblioteca digital sin fines de lucro dedicada al archivo y preservación de sitios web, libros, audio, software, imágenes, películas y videos. Funciona como un sitio de consulta permanente, de uso libre, y funciona desde 1996, nacida principalmente como un proyecto de guardado de sitios web, en pleno auge del internet de modo masivo. En la actualidad una sola copia de todo el archivo supera los 70 petabytes (1 petabyte = 1024 terabytes), y de todo documento se conserva por lo menos 2 copias. Es de uso libre, como el sistema de crowdsourcing de Wikipedia, y tiene asociaciones con bibliotecas y archivos de todo el mundo, lo que lo hace además de un proyecto a escala mundial, un trabajo colaborativo. “Nuestra misión es ofrecer acceso universal a todo el conocimiento” (</w:t>
      </w:r>
      <w:r>
        <w:rPr>
          <w:i/>
          <w:iCs/>
        </w:rPr>
        <w:t>Internet Archive</w:t>
      </w:r>
      <w:r>
        <w:t>, n.d.).</w:t>
      </w:r>
    </w:p>
    <w:p w14:paraId="093ECF23" w14:textId="77777777" w:rsidR="00D96A54" w:rsidRDefault="00000000">
      <w:pPr>
        <w:pStyle w:val="BodyText"/>
      </w:pPr>
      <w:r>
        <w:t xml:space="preserve">Sin duda uno de sus servicios más atractivos es la </w:t>
      </w:r>
      <w:r>
        <w:rPr>
          <w:i/>
          <w:iCs/>
        </w:rPr>
        <w:t>Wayback Machine</w:t>
      </w:r>
      <w:r>
        <w:t xml:space="preserve">, nacida en pleno auge de los sitios web en los 90 como un proyecto de guardado automático de páginas. De manera automática los </w:t>
      </w:r>
      <w:r>
        <w:rPr>
          <w:i/>
          <w:iCs/>
        </w:rPr>
        <w:t>crawlers</w:t>
      </w:r>
      <w:r>
        <w:t xml:space="preserve"> toman </w:t>
      </w:r>
      <w:r>
        <w:rPr>
          <w:i/>
          <w:iCs/>
        </w:rPr>
        <w:t>snapshots</w:t>
      </w:r>
      <w:r>
        <w:t xml:space="preserve"> de sitios públicos, para guardarlos cronológicamente en un calendario, donde el usuario puede (o no) conseguir versiones anteriores a las disponibles online o inclusive visitar páginas ya extintas, como por ejemplo los sitios de Geocities de los años noventa o los perfiles de Fotolog de los años 2000. Funciona bien con páginas de html básico pero todo lo que requería de sistemas externos como Javascript o Flash no funcionan al día de hoy. De hecho la Wayback Machine es una excelente lección de lo vulnerable de los archivos digitales, porque la mayoría de los sitios web se encuentran perdidos o </w:t>
      </w:r>
      <w:r>
        <w:lastRenderedPageBreak/>
        <w:t>inutilizables. Lo mismo sucede con mucho software y no tanto pero también con formatos de video. El caso de los videojuegos es interesante porque muchos tienen incorporado un emulador con el que se pueden jugar en el sitio mismo, por lo que juegos para la Atari, DOS o Commodore 64 pueden visitarse directamente desde el explorador.</w:t>
      </w:r>
    </w:p>
    <w:p w14:paraId="499D2FFB" w14:textId="77777777" w:rsidR="00D96A54" w:rsidRDefault="00000000">
      <w:pPr>
        <w:pStyle w:val="Heading3"/>
      </w:pPr>
      <w:bookmarkStart w:id="47" w:name="preservación-descentralizada"/>
      <w:bookmarkStart w:id="48" w:name="_Toc162595673"/>
      <w:bookmarkEnd w:id="45"/>
      <w:r>
        <w:t>Preservación descentralizada</w:t>
      </w:r>
      <w:bookmarkEnd w:id="48"/>
    </w:p>
    <w:p w14:paraId="2E4687DA" w14:textId="77777777" w:rsidR="00D96A54" w:rsidRDefault="00000000">
      <w:pPr>
        <w:pStyle w:val="FirstParagraph"/>
      </w:pPr>
      <w:r>
        <w:t>Para vincular la línea que venimos marcando entre preservación y soportes con el concepto de “sistemas descentralizados” en la web, quizás conviene destacar las diferentes “webs” que vinieron dándose a lo largo de los años, y dejar en claro algunas definiciones.</w:t>
      </w:r>
    </w:p>
    <w:p w14:paraId="62D67D9A" w14:textId="77777777" w:rsidR="00D96A54" w:rsidRDefault="00000000">
      <w:pPr>
        <w:pStyle w:val="BodyText"/>
      </w:pPr>
      <w:r>
        <w:t>La palabra “Internet” refiere a los cables, los protocolos, la tecnología; y “Web” (también conocida como “red” en español) a los buscadores, las aplicaciones, los programas. “Web 1.0” hace referencia a los sitios estáticos y de “solo lectura” de hasta principios de los 2000. “Web 2.0” a la naturaleza dinámica e interactiva de los sitios post-2000, también conocida como “read/write web”: los usuarios pueden leer información y subir su propio contenido, utilizando programas y a través de intermediarios. Y para la “Web 3.0”, se plantea la idea de “confianza” (trust): se conectan los programas con el contenido, se eliminan las organizaciones intermediarias, y se suma la “verificación pública” (Benet, 2018).</w:t>
      </w:r>
    </w:p>
    <w:p w14:paraId="599D5AC1" w14:textId="77777777" w:rsidR="00D96A54" w:rsidRDefault="00000000">
      <w:pPr>
        <w:pStyle w:val="CaptionedFigure"/>
      </w:pPr>
      <w:r>
        <w:lastRenderedPageBreak/>
        <w:drawing>
          <wp:inline distT="0" distB="0" distL="0" distR="0" wp14:anchorId="01373DCA" wp14:editId="3F4A169F">
            <wp:extent cx="5753100" cy="3256920"/>
            <wp:effectExtent l="0" t="0" r="0" b="0"/>
            <wp:docPr id="121" name="Picture" descr="Juan Benet, fotograma de “What Exactly is Web3?” (2018), accedido desde https://www.youtube.com/watch?v=l44z35vabvA"/>
            <wp:cNvGraphicFramePr/>
            <a:graphic xmlns:a="http://schemas.openxmlformats.org/drawingml/2006/main">
              <a:graphicData uri="http://schemas.openxmlformats.org/drawingml/2006/picture">
                <pic:pic xmlns:pic="http://schemas.openxmlformats.org/drawingml/2006/picture">
                  <pic:nvPicPr>
                    <pic:cNvPr id="122" name="Picture" descr="./assets/benet.png"/>
                    <pic:cNvPicPr>
                      <a:picLocks noChangeAspect="1" noChangeArrowheads="1"/>
                    </pic:cNvPicPr>
                  </pic:nvPicPr>
                  <pic:blipFill>
                    <a:blip r:embed="rId29"/>
                    <a:stretch>
                      <a:fillRect/>
                    </a:stretch>
                  </pic:blipFill>
                  <pic:spPr bwMode="auto">
                    <a:xfrm>
                      <a:off x="0" y="0"/>
                      <a:ext cx="5753100" cy="3256920"/>
                    </a:xfrm>
                    <a:prstGeom prst="rect">
                      <a:avLst/>
                    </a:prstGeom>
                    <a:noFill/>
                    <a:ln w="9525">
                      <a:noFill/>
                      <a:headEnd/>
                      <a:tailEnd/>
                    </a:ln>
                  </pic:spPr>
                </pic:pic>
              </a:graphicData>
            </a:graphic>
          </wp:inline>
        </w:drawing>
      </w:r>
    </w:p>
    <w:p w14:paraId="04AF87D7" w14:textId="77777777" w:rsidR="00D96A54" w:rsidRDefault="00000000">
      <w:pPr>
        <w:pStyle w:val="ImageCaption"/>
      </w:pPr>
      <w:r>
        <w:t>Juan Benet, fotograma de “What Exactly is Web3?” (2018), accedido desde https://www.youtube.com/watch?v=l44z35vabvA</w:t>
      </w:r>
    </w:p>
    <w:p w14:paraId="5CFB01E5" w14:textId="77777777" w:rsidR="00D96A54" w:rsidRDefault="00000000">
      <w:pPr>
        <w:pStyle w:val="BodyText"/>
      </w:pPr>
      <w:r>
        <w:t xml:space="preserve">En este contexto de la Web 3.0 se habla mucho de lo descentralizado, y por supuesto también de su gran protagonista, la </w:t>
      </w:r>
      <w:r>
        <w:rPr>
          <w:i/>
          <w:iCs/>
        </w:rPr>
        <w:t>Blockchain</w:t>
      </w:r>
      <w:r>
        <w:t>: un mecanismo de datos cuya información se agrupa en conjuntos (bloques) a los que se les añade metadata relativa a otro bloque de la cadena anterior en una línea temporal. Gracias a esto la información contenida en un bloque solo puede ser editada modificando todos los bloques posteriores, lo que la hace segura y verificable (“Cadena de bloques,” 2021). Tiene múltiples usos, desde financieros, legales, y hasta democráticos.</w:t>
      </w:r>
    </w:p>
    <w:p w14:paraId="24849046" w14:textId="77777777" w:rsidR="00D96A54" w:rsidRDefault="00000000">
      <w:pPr>
        <w:pStyle w:val="BodyText"/>
      </w:pPr>
      <w:r>
        <w:t>El “Sistema de Archivos Interplanetario” (</w:t>
      </w:r>
      <w:r>
        <w:rPr>
          <w:i/>
          <w:iCs/>
        </w:rPr>
        <w:t>IPFS</w:t>
      </w:r>
      <w:r>
        <w:t xml:space="preserve"> por </w:t>
      </w:r>
      <w:r>
        <w:rPr>
          <w:i/>
          <w:iCs/>
        </w:rPr>
        <w:t>InterPlanetary File System</w:t>
      </w:r>
      <w:r>
        <w:t xml:space="preserve"> en inglés), es un sistema de guardado de archivos “en la nube” basado en la tecnología de la Blockchain, pariente del sistema de archivos de los torrents. Los sitios subidos a la </w:t>
      </w:r>
      <w:r>
        <w:rPr>
          <w:i/>
          <w:iCs/>
        </w:rPr>
        <w:t>IPFS</w:t>
      </w:r>
      <w:r>
        <w:t xml:space="preserve"> son distribuidos entre múltiples usuarios participantes, lo que permite que si el server original de un sitio cae o desaparece, todavía se pueda acceder a esta información por estar dividido y descentralizado en muchas computadoras en el mundo. También permite, por ejemplo, revisar versiones anteriores. “Los inventores del internet están intentando construir una red verdaderamente permanente” es el nombre que lleva un artículo de la revista norteamericana WIRED. En ella comparan la obsolescencia de los Floppy Disk con la de muchísimos sitios web ahora extintos, la centralización que implica el </w:t>
      </w:r>
      <w:r>
        <w:rPr>
          <w:i/>
          <w:iCs/>
        </w:rPr>
        <w:t>Internet Archive</w:t>
      </w:r>
      <w:r>
        <w:t xml:space="preserve">, y las bondades de los archivos </w:t>
      </w:r>
      <w:r>
        <w:lastRenderedPageBreak/>
        <w:t>basados en papel. “Le estamos dando a la información digital una cualidad parecida al papel” dice el fundador del IPFS, Juan Benet (Finley, 2016).</w:t>
      </w:r>
    </w:p>
    <w:p w14:paraId="0C9F9E5B" w14:textId="77777777" w:rsidR="00D96A54" w:rsidRDefault="00000000">
      <w:pPr>
        <w:pStyle w:val="BodyText"/>
      </w:pPr>
      <w:r>
        <w:t xml:space="preserve">La gran mayoría de los NFT están respaldados a través de esta tecnología descentralizada, vinculados además con la </w:t>
      </w:r>
      <w:r>
        <w:rPr>
          <w:i/>
          <w:iCs/>
        </w:rPr>
        <w:t>Blockchain</w:t>
      </w:r>
      <w:r>
        <w:t xml:space="preserve">, aunque no concretamente a la red de </w:t>
      </w:r>
      <w:r>
        <w:rPr>
          <w:i/>
          <w:iCs/>
        </w:rPr>
        <w:t>Bitcoin</w:t>
      </w:r>
      <w:r>
        <w:t xml:space="preserve">, sino a otras más nuevas, como </w:t>
      </w:r>
      <w:r>
        <w:rPr>
          <w:i/>
          <w:iCs/>
        </w:rPr>
        <w:t>Ethereum</w:t>
      </w:r>
      <w:r>
        <w:t xml:space="preserve">, </w:t>
      </w:r>
      <w:r>
        <w:rPr>
          <w:i/>
          <w:iCs/>
        </w:rPr>
        <w:t>Tezos</w:t>
      </w:r>
      <w:r>
        <w:t xml:space="preserve">, o </w:t>
      </w:r>
      <w:r>
        <w:rPr>
          <w:i/>
          <w:iCs/>
        </w:rPr>
        <w:t>Cardano</w:t>
      </w:r>
      <w:r>
        <w:t>. Sin embargo, que estos sistemas sean descentralizados no significa que sean baratos, y menos aún ecológicos. Si bien se sobreentiende que por algoritmos, descentralización y criptografía los archivos se preservan en el tiempo, todavía queda preguntarse si este sistema es más seguro o duradero que las películas en 35 mm de Piql, los Paper Prints de Edison o incluso los archivos de empresas privadas como el Internet Archive. A nivel ecológico, pareciera que ningún método es del todo efectivo, incluso el film implica toneladas de cartílago de animales para su desarrollo. Y un bloque de la Blockchain no preserva imágenes o documentos, sino referencias a estos, por lo que sigue siendo esencial la constante migración, mantenimiento y actualización de equipos y protocolos a nivel mundial.</w:t>
      </w:r>
    </w:p>
    <w:p w14:paraId="628AC320" w14:textId="77777777" w:rsidR="00D96A54" w:rsidRDefault="00000000">
      <w:pPr>
        <w:pStyle w:val="Heading3"/>
      </w:pPr>
      <w:bookmarkStart w:id="49" w:name="camerons-world-y-los-gif"/>
      <w:bookmarkStart w:id="50" w:name="_Toc162595674"/>
      <w:bookmarkEnd w:id="47"/>
      <w:r>
        <w:t>Cameron’s World y los GIF</w:t>
      </w:r>
      <w:bookmarkEnd w:id="50"/>
    </w:p>
    <w:p w14:paraId="006C9A11" w14:textId="77777777" w:rsidR="00D96A54" w:rsidRDefault="00000000">
      <w:pPr>
        <w:pStyle w:val="FirstParagraph"/>
      </w:pPr>
      <w:r>
        <w:rPr>
          <w:i/>
          <w:iCs/>
        </w:rPr>
        <w:t>Cameron’s World</w:t>
      </w:r>
      <w:r>
        <w:t xml:space="preserve"> es un proyecto del artista neozelandés Cameron Askin, basado en las capacidades de archivo de Wayback Machine. Se trata de una compilación de páginas de Geocities, un servicio gratuito de alojamiento web de finales de los 90. En este período Geocities le permitió a usuarios de todo el mundo crear sus propios sitios web, llegando hasta 38 millones de páginas en su cierre en 2008. El proyecto es un tributo a esa era inocente y prolífica de internet, a través de un collage temático y estético en un largo scroll repleto de archivos gif, con una suerte de “emulador” del explorador por excelencia de esas épocas, el Netscape Navigator (disfrazado para el proyecto como “Catscape Navigator”), que nos permite ingresar a los hipervínculos y conocer más.</w:t>
      </w:r>
    </w:p>
    <w:p w14:paraId="615F1FD1" w14:textId="77777777" w:rsidR="00D96A54" w:rsidRDefault="00000000">
      <w:pPr>
        <w:pStyle w:val="BodyText"/>
      </w:pPr>
      <w:r>
        <w:t>Esta “carta de amor al viejo internet” (Askin, 2015) , como la plantea su autor, además de una obra en sí misma, es un pequeño trabajo de preservación independiente que podríamos sumar a esta lista de esfuerzos destacados y por fuera de la maquinaria y el circuito tradicional de preservación.</w:t>
      </w:r>
    </w:p>
    <w:p w14:paraId="19548420" w14:textId="77777777" w:rsidR="00D96A54" w:rsidRDefault="00000000">
      <w:pPr>
        <w:pStyle w:val="CaptionedFigure"/>
      </w:pPr>
      <w:r>
        <w:lastRenderedPageBreak/>
        <w:drawing>
          <wp:inline distT="0" distB="0" distL="0" distR="0" wp14:anchorId="185299FF" wp14:editId="33EA8E79">
            <wp:extent cx="5753100" cy="2178986"/>
            <wp:effectExtent l="0" t="0" r="0" b="0"/>
            <wp:docPr id="125" name="Picture" descr="Cameron Askin, captura de “Cameron’s World” (2015), accedido desde https://www.cameronsworld.net"/>
            <wp:cNvGraphicFramePr/>
            <a:graphic xmlns:a="http://schemas.openxmlformats.org/drawingml/2006/main">
              <a:graphicData uri="http://schemas.openxmlformats.org/drawingml/2006/picture">
                <pic:pic xmlns:pic="http://schemas.openxmlformats.org/drawingml/2006/picture">
                  <pic:nvPicPr>
                    <pic:cNvPr id="126" name="Picture" descr="./assets/camerons-world.jpg"/>
                    <pic:cNvPicPr>
                      <a:picLocks noChangeAspect="1" noChangeArrowheads="1"/>
                    </pic:cNvPicPr>
                  </pic:nvPicPr>
                  <pic:blipFill>
                    <a:blip r:embed="rId30"/>
                    <a:stretch>
                      <a:fillRect/>
                    </a:stretch>
                  </pic:blipFill>
                  <pic:spPr bwMode="auto">
                    <a:xfrm>
                      <a:off x="0" y="0"/>
                      <a:ext cx="5753100" cy="2178986"/>
                    </a:xfrm>
                    <a:prstGeom prst="rect">
                      <a:avLst/>
                    </a:prstGeom>
                    <a:noFill/>
                    <a:ln w="9525">
                      <a:noFill/>
                      <a:headEnd/>
                      <a:tailEnd/>
                    </a:ln>
                  </pic:spPr>
                </pic:pic>
              </a:graphicData>
            </a:graphic>
          </wp:inline>
        </w:drawing>
      </w:r>
    </w:p>
    <w:p w14:paraId="5A5D6D7B" w14:textId="77777777" w:rsidR="00D96A54" w:rsidRDefault="00000000">
      <w:pPr>
        <w:pStyle w:val="ImageCaption"/>
      </w:pPr>
      <w:r>
        <w:t>Cameron Askin, captura de “Cameron’s World” (2015), accedido desde https://www.cameronsworld.net</w:t>
      </w:r>
    </w:p>
    <w:p w14:paraId="4D3DE7D1" w14:textId="77777777" w:rsidR="00D96A54" w:rsidRDefault="00000000">
      <w:pPr>
        <w:pStyle w:val="BodyText"/>
      </w:pPr>
      <w:r>
        <w:t xml:space="preserve">La materia prima de </w:t>
      </w:r>
      <w:r>
        <w:rPr>
          <w:i/>
          <w:iCs/>
        </w:rPr>
        <w:t>Cameron’s World</w:t>
      </w:r>
      <w:r>
        <w:t xml:space="preserve"> es el GIF, un formato de imagen introducido en 1987 por la empresa CompuServe y diseñado para una rápida descarga por su optimizado algoritmo de compresión. En épocas de poco ancho de banda y conexiones lentas, la compresión del gif permitía apreciar una imagen en tiempo real a medida que esta se cargaba. Los GIF son interlaceados, lo que significa que sus filas de píxeles no son rendereadas secuencialmente, se puede visualizar su carga “en tiempo real” y soportan 8 bits de color por canal con un máximo de 256. El GIF, que originalmente no fue diseñado para animaciones, contaba con la habilidad de almacenar fotogramas y mostrarlos secuencialmente, a velocidades variadas y con retrasos determinados. A pesar de ser uno de los primeros formatos de imagen intercambiables entre sistemas operativos, fue en 1995 cuando la empresa Netscape le añadió la habilidad de “loopear” (reproducir una y otra vez) que su popularidad se estableció para siempre.</w:t>
      </w:r>
    </w:p>
    <w:p w14:paraId="5AF3187D" w14:textId="77777777" w:rsidR="00D96A54" w:rsidRDefault="00000000">
      <w:pPr>
        <w:pStyle w:val="BodyText"/>
      </w:pPr>
      <w:r>
        <w:t xml:space="preserve">Es un formato en parte limitado, casi deprecado en los años 90 si no hubiera sido por su capacidad de loopear, pero que cuenta con características particulares. A pesar de su compresión sin pérdida, mientras el peso lo permita, no tienen un número límite de fotogramas, y a través de la metadata del archivo se le puede establecer un retraso a cada fotograma de hasta 11 segundos. Sus limitaciones son sus aciertos. El artista y escritor Daniel Rourke escribe en su artículo </w:t>
      </w:r>
      <w:r>
        <w:rPr>
          <w:i/>
          <w:iCs/>
        </w:rPr>
        <w:t>The Doctrine of the Similar (GIF GIF GIF)</w:t>
      </w:r>
      <w:r>
        <w:t>:</w:t>
      </w:r>
    </w:p>
    <w:p w14:paraId="3AFF4BE7" w14:textId="77777777" w:rsidR="00D96A54" w:rsidRDefault="00000000">
      <w:pPr>
        <w:pStyle w:val="BlockText"/>
      </w:pPr>
      <w:r>
        <w:rPr>
          <w:i/>
          <w:iCs/>
        </w:rPr>
        <w:t xml:space="preserve">Brought on – ironically – by their obsolescence the GIF has become the medium of choice for web artists, propagating their particular net-aesthetic through this free, open and kitschy </w:t>
      </w:r>
      <w:r>
        <w:rPr>
          <w:i/>
          <w:iCs/>
        </w:rPr>
        <w:lastRenderedPageBreak/>
        <w:t>medium. GIFs inhabit the space between convenience and abundance, where an apparent breakdown in communication can stimulate new modes of expressing non-sensuous similarities in the internet world. [Provocado - irónicamente - por su obsolescencia, el GIF se ha convertido en el medio por excelencia de los artistas web, propagando su estética particular a través de este medio gratuito, abierto y kitsch. Los GIFs habitan en el espacio entre la conveniencia y la abundancia, donde una aparente falta de comunicación puede estimular nuevos modos de expresar similitudes intangibles en el mundo de Internet.]</w:t>
      </w:r>
      <w:r>
        <w:t xml:space="preserve"> (Rourke, 2012).</w:t>
      </w:r>
    </w:p>
    <w:p w14:paraId="6F0FA43F" w14:textId="77777777" w:rsidR="00D96A54" w:rsidRDefault="00000000">
      <w:pPr>
        <w:pStyle w:val="FirstParagraph"/>
      </w:pPr>
      <w:r>
        <w:t>En el artículo Rourke destaca el uso de imágenes de la cultura pop y su herencia y relación con el cine, desde que eran pequeños en tamaño y de pocos fotogramas hasta convertirse en un lenguaje visual propio, parte de la cultura memética actual.</w:t>
      </w:r>
    </w:p>
    <w:p w14:paraId="461D0218" w14:textId="77777777" w:rsidR="00D96A54" w:rsidRDefault="00000000">
      <w:pPr>
        <w:pStyle w:val="BodyText"/>
      </w:pPr>
      <w:r>
        <w:t xml:space="preserve">Como ejemplo de las posibilidades del medio cabe mencionar la obra del artista finlandés Juha van Ingen, quien en 2017 creó una pieza llamada </w:t>
      </w:r>
      <w:r>
        <w:rPr>
          <w:i/>
          <w:iCs/>
        </w:rPr>
        <w:t>AS Long As Possible</w:t>
      </w:r>
      <w:r>
        <w:t xml:space="preserve"> (ASLAP), un gif de 1000 años de duración, de 48.140.288 fotogramas con una duración de 11 minutos cada uno, pensada para reproducirse hasta el año 3017. La obra se puede ver y forma parte de la colección de la Galería Nacional de Finlandia (KIASMA)</w:t>
      </w:r>
      <w:r>
        <w:rPr>
          <w:rStyle w:val="FootnoteReference"/>
        </w:rPr>
        <w:footnoteReference w:id="14"/>
      </w:r>
      <w:r>
        <w:t>.</w:t>
      </w:r>
    </w:p>
    <w:p w14:paraId="61E61A46" w14:textId="77777777" w:rsidR="00D96A54" w:rsidRDefault="00000000">
      <w:pPr>
        <w:pStyle w:val="CaptionedFigure"/>
      </w:pPr>
      <w:r>
        <w:lastRenderedPageBreak/>
        <w:drawing>
          <wp:inline distT="0" distB="0" distL="0" distR="0" wp14:anchorId="486892B2" wp14:editId="6ED08F3A">
            <wp:extent cx="5753100" cy="4759482"/>
            <wp:effectExtent l="0" t="0" r="0" b="0"/>
            <wp:docPr id="129" name="Picture" descr="Juha van Ingen, AS Long As Possible (2017), accedido desde https://www.aslongaspossible.com/images/As_long_as_possible_publication_2018.pdf"/>
            <wp:cNvGraphicFramePr/>
            <a:graphic xmlns:a="http://schemas.openxmlformats.org/drawingml/2006/main">
              <a:graphicData uri="http://schemas.openxmlformats.org/drawingml/2006/picture">
                <pic:pic xmlns:pic="http://schemas.openxmlformats.org/drawingml/2006/picture">
                  <pic:nvPicPr>
                    <pic:cNvPr id="130" name="Picture" descr="./assets/aslap.jpeg"/>
                    <pic:cNvPicPr>
                      <a:picLocks noChangeAspect="1" noChangeArrowheads="1"/>
                    </pic:cNvPicPr>
                  </pic:nvPicPr>
                  <pic:blipFill>
                    <a:blip r:embed="rId31"/>
                    <a:stretch>
                      <a:fillRect/>
                    </a:stretch>
                  </pic:blipFill>
                  <pic:spPr bwMode="auto">
                    <a:xfrm>
                      <a:off x="0" y="0"/>
                      <a:ext cx="5753100" cy="4759482"/>
                    </a:xfrm>
                    <a:prstGeom prst="rect">
                      <a:avLst/>
                    </a:prstGeom>
                    <a:noFill/>
                    <a:ln w="9525">
                      <a:noFill/>
                      <a:headEnd/>
                      <a:tailEnd/>
                    </a:ln>
                  </pic:spPr>
                </pic:pic>
              </a:graphicData>
            </a:graphic>
          </wp:inline>
        </w:drawing>
      </w:r>
    </w:p>
    <w:p w14:paraId="538ADB2D" w14:textId="77777777" w:rsidR="00D96A54" w:rsidRDefault="00000000">
      <w:pPr>
        <w:pStyle w:val="ImageCaption"/>
      </w:pPr>
      <w:r>
        <w:t>Juha van Ingen, AS Long As Possible (2017), accedido desde https://www.aslongaspossible.com/images/As_long_as_possible_publication_2018.pdf</w:t>
      </w:r>
    </w:p>
    <w:p w14:paraId="11072ED5" w14:textId="77777777" w:rsidR="00D96A54" w:rsidRDefault="00000000">
      <w:pPr>
        <w:pStyle w:val="Heading3"/>
      </w:pPr>
      <w:bookmarkStart w:id="51" w:name="un-momento-transicional"/>
      <w:bookmarkStart w:id="52" w:name="_Toc162595675"/>
      <w:bookmarkEnd w:id="49"/>
      <w:r>
        <w:t>Un momento transicional</w:t>
      </w:r>
      <w:bookmarkEnd w:id="52"/>
    </w:p>
    <w:p w14:paraId="5B9C60EB" w14:textId="77777777" w:rsidR="00D96A54" w:rsidRDefault="00000000">
      <w:pPr>
        <w:pStyle w:val="FirstParagraph"/>
      </w:pPr>
      <w:r>
        <w:t xml:space="preserve">Del Amo Cuarón destacaba en </w:t>
      </w:r>
      <w:r>
        <w:rPr>
          <w:i/>
          <w:iCs/>
        </w:rPr>
        <w:t>Clasificar para Preservar</w:t>
      </w:r>
      <w:r>
        <w:t xml:space="preserve"> las bondades de rescatar materiales fílmicos dando acceso a ellos (proyectándolos), y Sandusky en su artículo del </w:t>
      </w:r>
      <w:r>
        <w:rPr>
          <w:i/>
          <w:iCs/>
        </w:rPr>
        <w:t>Millenium Film Journal</w:t>
      </w:r>
      <w:r>
        <w:t xml:space="preserve"> celebraba el uso de material de archivo de los cineastas del Archival Art Film que duplicaban y circulaban sin permiso imágenes que de otra manera serían descartadas o perdidas. Estos autores promueven voluntaria o involuntariamente y de maneras opuestas distintas maneras de acceso al material como recurso de preservación. Sería interesante recordar el caso de la colección amateur de películas de Fernando Peña Rodriguez, que en manos de instituciones y frente a adversidades y errores resultó tener la última copia completa de Metrópolis de la que se tiene conocimiento. Como dice Sandusky, realmente “cuando se hace una película, su mera existencia es un milagro”.</w:t>
      </w:r>
    </w:p>
    <w:p w14:paraId="193EF269" w14:textId="77777777" w:rsidR="00D96A54" w:rsidRDefault="00000000">
      <w:pPr>
        <w:pStyle w:val="BodyText"/>
      </w:pPr>
      <w:r>
        <w:lastRenderedPageBreak/>
        <w:t xml:space="preserve">En este apartado digital es interesante traer a colación el reciclaje de material en internet, como el ejemplo de </w:t>
      </w:r>
      <w:r>
        <w:rPr>
          <w:i/>
          <w:iCs/>
        </w:rPr>
        <w:t>Cameron’s World</w:t>
      </w:r>
      <w:r>
        <w:t xml:space="preserve">, y también cuestionarnos si la piratería, el exceso de imágenes, los remixes y los torrents forman parte de este mundo, en tanto que también reproducen material, o incluso lo preservan, por lo menos en términos de “lenguaje e ideas” como decía Lowenthal en </w:t>
      </w:r>
      <w:r>
        <w:rPr>
          <w:i/>
          <w:iCs/>
        </w:rPr>
        <w:t>Material Preservation and Its Alternatives</w:t>
      </w:r>
      <w:r>
        <w:t xml:space="preserve">. Fosatti describía en su libro </w:t>
      </w:r>
      <w:r>
        <w:rPr>
          <w:i/>
          <w:iCs/>
        </w:rPr>
        <w:t>From Grain to Pixel</w:t>
      </w:r>
      <w:r>
        <w:t xml:space="preserve"> los tiempos que corren como un momento “transicional”, tanto que define al cine como una “transición” permanente entre analógico y digital, una eterna tensión entre el medio y sentido, como el paradigma de los medios variables que mencionábamos en el apartado anterior.</w:t>
      </w:r>
    </w:p>
    <w:p w14:paraId="1EE67439" w14:textId="77777777" w:rsidR="00D96A54" w:rsidRDefault="00000000">
      <w:pPr>
        <w:pStyle w:val="BodyText"/>
      </w:pPr>
      <w:r>
        <w:t>En relación a la distribución sin autorización, de la que Sandusky menciona en su texto que los cineastas vanguardistas se apoyaban en la Primera Enmienda para defenderse de acusaciones y consecuencias legales, Hito Steyerl habla de una “imagen pobre”: las “copias en movimiento”. La imagen pobre “…transforma la calidad en accesibilidad, el valor de exhibición en valor de culto, las películas en clips, la contemplación en distracción. La imagen es liberada de las criptas del cine y los archivos y empujada a la incertidumbre digital a costa de su propia sustancia” (Steyerl, 2014). Se relaciona mucho con lo de Sandusky en tanto que promueve una distrubición del material por fuera del sistema, por fuera de los intereses económicos. Copias por fuera del circuito comercial y legal, desautorizadas para su distribución: copias pirata, “screeners”, copias de mala calidad. En palabras de Steyerl:</w:t>
      </w:r>
    </w:p>
    <w:p w14:paraId="0A056C87" w14:textId="77777777" w:rsidR="00D96A54" w:rsidRDefault="00000000">
      <w:pPr>
        <w:pStyle w:val="BlockText"/>
      </w:pPr>
      <w:r>
        <w:t>…los materiales visuales resistentes o disidentes desaparecieron de la superficie para sumergirse en un subsuelo de archivos y colecciones alternativas, manteniéndose vivos solo en una red de organizaciones e individuos comprometidos que hacían circular entre ellos copias piratas en vhs. Las fuentes de procedencia eran extremadamente raras: las cintas circulaban de mano en mano, dependiendo del boca en boca, en círculos de amigos y colegas. Con la aparición reciente del streaming de video online, esta situación empezó a cambiar radicalmente</w:t>
      </w:r>
    </w:p>
    <w:p w14:paraId="0D2124E7" w14:textId="77777777" w:rsidR="00D96A54" w:rsidRDefault="00000000">
      <w:pPr>
        <w:pStyle w:val="FirstParagraph"/>
      </w:pPr>
      <w:r>
        <w:t xml:space="preserve">Internet nos recuerda su potencial de redistribución. En esta dinámica, los creadores independientes pueden subir y compartir sus obras, y por la sola inercia de las tecnologías (y la capacidad de las computadoras) muchas obras perduran en el tiempo de forma automática. Esto es, mientras los sistemas funcionen y se </w:t>
      </w:r>
      <w:r>
        <w:lastRenderedPageBreak/>
        <w:t>mantengan… basta con ver Fotolog, Geocities, formatos irreproducibles, actualizaciones de hardware sin retrocompatibilidad, páginas web caídas, links “podridos”, sitios de guardado de archivos como Megaupload eliminados por cuestiones legales, codecs de video corrompidos, o simplemente bugs.</w:t>
      </w:r>
    </w:p>
    <w:p w14:paraId="4B916BB0" w14:textId="77777777" w:rsidR="00D96A54" w:rsidRDefault="00000000">
      <w:pPr>
        <w:pStyle w:val="BodyText"/>
      </w:pPr>
      <w:r>
        <w:t>Steyerl hace referencia directa al video digital y a su distribución alternativa, pero lo rescatable de todo el movimiento que describe aquí es la tecnología y las consecuencias culturales del mero uso de las plataformas secundarias de distribución. Del mismo modo que un usuario sube a Youtube la filmografía completa de Chris Marker (como el ejemplo que Hito menciona en su escrito)… ¿No se podrían pensar a los NFT y a sus creadores como unas nuevas imágenes pobres, en cuanto a su distribución “permanente”, gracias a su apoyo en tecnologías descentralizadas como el IPFS y la blockchain?</w:t>
      </w:r>
    </w:p>
    <w:p w14:paraId="24DD1A80" w14:textId="77777777" w:rsidR="00D96A54" w:rsidRDefault="00000000">
      <w:pPr>
        <w:pStyle w:val="BodyText"/>
      </w:pPr>
      <w:r>
        <w:t>Todas estas tecnologías parecieran estar trazando una genealogía de preservación híbrida, entre lo analógico y lo digital. Pareciera que mientras más pasos de hibridez y mudanza del soporte, mientras más “generaciones” como se dice en el ambiente del archivo audiovisual, más posibilidades existen de que se preserve en el tiempo. En este momento “transicional” como describe Fosatti, nos quedan más preguntas que respuestas.</w:t>
      </w:r>
    </w:p>
    <w:p w14:paraId="514E78FD" w14:textId="77777777" w:rsidR="00D96A54" w:rsidRDefault="00000000">
      <w:pPr>
        <w:pStyle w:val="Heading1"/>
      </w:pPr>
      <w:bookmarkStart w:id="53" w:name="iii-los-films-automáticos"/>
      <w:bookmarkStart w:id="54" w:name="_Toc162595676"/>
      <w:bookmarkEnd w:id="13"/>
      <w:bookmarkEnd w:id="43"/>
      <w:bookmarkEnd w:id="51"/>
      <w:r>
        <w:lastRenderedPageBreak/>
        <w:t>III. Los Films Automáticos</w:t>
      </w:r>
      <w:bookmarkEnd w:id="54"/>
    </w:p>
    <w:p w14:paraId="4A846F9B" w14:textId="77777777" w:rsidR="00D96A54" w:rsidRDefault="00000000">
      <w:pPr>
        <w:pStyle w:val="FirstParagraph"/>
      </w:pPr>
      <w:r>
        <w:t>La inspiración para las piezas de la tesis nace en una primera instancia por accidente, por un gesto creativo intuitivo no premeditado. Tenía una cámara de rollo y me quedaba una sola foto. En la pantalla de mi computadora tenía un programa generativo de dibujos que estaba desarrollando, una serie de puntos blancos que se acercan y alejan entre sí en un fondo negro, de acuerdo a diferentes parámetros. Saco una foto de la pantalla y se termina el rollo. El revelado me inspira: encuentro una forma “low-tech” de realizar un proceso de digital a analógico, “digital to film”, o “film out” como se lo conoce en la jerga cinematográfica.</w:t>
      </w:r>
    </w:p>
    <w:p w14:paraId="55BA6426" w14:textId="77777777" w:rsidR="00D96A54" w:rsidRDefault="00000000">
      <w:pPr>
        <w:pStyle w:val="CaptionedFigure"/>
      </w:pPr>
      <w:r>
        <w:drawing>
          <wp:inline distT="0" distB="0" distL="0" distR="0" wp14:anchorId="521398BC" wp14:editId="54D73717">
            <wp:extent cx="5753100" cy="4790658"/>
            <wp:effectExtent l="0" t="0" r="0" b="0"/>
            <wp:docPr id="136" name="Picture" descr="Primer acercamiento al film out"/>
            <wp:cNvGraphicFramePr/>
            <a:graphic xmlns:a="http://schemas.openxmlformats.org/drawingml/2006/main">
              <a:graphicData uri="http://schemas.openxmlformats.org/drawingml/2006/picture">
                <pic:pic xmlns:pic="http://schemas.openxmlformats.org/drawingml/2006/picture">
                  <pic:nvPicPr>
                    <pic:cNvPr id="137" name="Picture" descr="./assets/films_1.jpg"/>
                    <pic:cNvPicPr>
                      <a:picLocks noChangeAspect="1" noChangeArrowheads="1"/>
                    </pic:cNvPicPr>
                  </pic:nvPicPr>
                  <pic:blipFill>
                    <a:blip r:embed="rId32"/>
                    <a:stretch>
                      <a:fillRect/>
                    </a:stretch>
                  </pic:blipFill>
                  <pic:spPr bwMode="auto">
                    <a:xfrm>
                      <a:off x="0" y="0"/>
                      <a:ext cx="5753100" cy="4790658"/>
                    </a:xfrm>
                    <a:prstGeom prst="rect">
                      <a:avLst/>
                    </a:prstGeom>
                    <a:noFill/>
                    <a:ln w="9525">
                      <a:noFill/>
                      <a:headEnd/>
                      <a:tailEnd/>
                    </a:ln>
                  </pic:spPr>
                </pic:pic>
              </a:graphicData>
            </a:graphic>
          </wp:inline>
        </w:drawing>
      </w:r>
    </w:p>
    <w:p w14:paraId="6AA0F3A6" w14:textId="77777777" w:rsidR="00D96A54" w:rsidRDefault="00000000">
      <w:pPr>
        <w:pStyle w:val="ImageCaption"/>
      </w:pPr>
      <w:r>
        <w:t>Primer acercamiento al film out</w:t>
      </w:r>
    </w:p>
    <w:p w14:paraId="3BB00C15" w14:textId="77777777" w:rsidR="00D96A54" w:rsidRDefault="00000000">
      <w:pPr>
        <w:pStyle w:val="BodyText"/>
      </w:pPr>
      <w:r>
        <w:t xml:space="preserve">La resolución químicamente infinita de la emulsión y el atractivo de entender y diseñar una forma de trabajo y reproducción eran claros intereses en este experimento. ¿Cómo optimizar este proceso? ¿Cómo aprovechar al máximo sus </w:t>
      </w:r>
      <w:r>
        <w:lastRenderedPageBreak/>
        <w:t xml:space="preserve">alcances y limitaciones? ¿Cómo transferir movimiento a un medio estático? En esta tercera parte de la tesis vamos a llevar a cabo una descripción de las iteraciones que llevan a la realización de </w:t>
      </w:r>
      <w:r>
        <w:rPr>
          <w:i/>
          <w:iCs/>
        </w:rPr>
        <w:t>Los Films Automáticos</w:t>
      </w:r>
      <w:r>
        <w:t xml:space="preserve">. Son “automáticos” en tanto que “actúan por sí mismos”, son “maquinales”, “indeliberados” e “involuntarios”, como la inercia en loop de un gif en internet, o como el acto de preservar al que alude la tesis. Alrededor de esta obra se documentan experimentos, pruebas e iteraciones específicas del proceso. </w:t>
      </w:r>
      <w:r>
        <w:rPr>
          <w:i/>
          <w:iCs/>
        </w:rPr>
        <w:t>Los Films Automáticos</w:t>
      </w:r>
      <w:r>
        <w:t xml:space="preserve"> ponen en evidencia el dispositivo al ser transparentes en su tecnología y funcionamiento. Meditan alrededor de la fragilidad de los formatos, el paso del tiempo y la preservación digital.</w:t>
      </w:r>
    </w:p>
    <w:p w14:paraId="6BCC673B" w14:textId="77777777" w:rsidR="00D96A54" w:rsidRDefault="00000000">
      <w:pPr>
        <w:pStyle w:val="Heading2"/>
      </w:pPr>
      <w:bookmarkStart w:id="55" w:name="X90c2f9207d6f22a509367c500b3e06a75ca49f5"/>
      <w:bookmarkStart w:id="56" w:name="_Toc162595677"/>
      <w:r>
        <w:lastRenderedPageBreak/>
        <w:t>Primera iteración: digital-to-film-to-digital</w:t>
      </w:r>
      <w:bookmarkEnd w:id="56"/>
    </w:p>
    <w:p w14:paraId="1BA127F7" w14:textId="77777777" w:rsidR="00D96A54" w:rsidRDefault="00000000">
      <w:pPr>
        <w:pStyle w:val="FirstParagraph"/>
      </w:pPr>
      <w:r>
        <w:t>Esta primera iteración surgió por fuera de la tesis, durante la pandemia del COVID en 2020, y nos sirve como preludio a la técnica que se desarrolla en la tesis. En el auge de las criptomonedas y los NFTs, comencé a producir mucho material para subir y vender en los marketplaces, y encontré en esta técnica propia un potencial particular. Como se explicó anteriormente, los NFT tienen la particularidad de quedar vinculados a las cadenas de bloques de la Blockchain “permanentemente”, lo que los hace potencialmente inmortales al paso del tiempo, mientras existan internet y las computadoras. Y si bien el propósito y trasfondo comercial de esos tiempos de burbuja e incertidumbre económica no son interés de la tesis, sí es interesante la hibridez que implica transferir a analógico algo digital, volver a digitalizarlo, luego procesarlo y multiplicarlo en las “cadenas de bloques”.</w:t>
      </w:r>
    </w:p>
    <w:p w14:paraId="1086E701" w14:textId="77777777" w:rsidR="00D96A54" w:rsidRDefault="00000000">
      <w:pPr>
        <w:pStyle w:val="BodyText"/>
      </w:pPr>
      <w:r>
        <w:t>Para transferir algo digital a fílmico primero hay que definir la unidad mínima en una película, y eso es el fotograma. En el caso de los rollos comerciales de 36 fotos, la unidad es la exposición. Por lo tanto lo primero que hay que hacer en la computadora es traducir lo que se quiera transferir a un formato discreto, fragmentado y visual. En el caso de un GIF o un video, hay que separar la animación en fotogramas independientes, y en el caso de un programa que dibuja como puede ser el caso de algún sketch generativo realizado en Processing, hay que guardar cada “dibujo” por separado: esto puede hacerse capturando la pantalla como si fuera un video o avanzando y pausando la progresión del dibujo.</w:t>
      </w:r>
    </w:p>
    <w:p w14:paraId="2258D4A7" w14:textId="77777777" w:rsidR="00D96A54" w:rsidRDefault="00000000">
      <w:pPr>
        <w:pStyle w:val="BodyText"/>
      </w:pPr>
      <w:r>
        <w:t>Definida esta fragmentación de la animación, se coloca una cámara 35 mm frente al monitor, en total oscuridad, con un lente largo para evitar aberraciones, y lo más perpendicular a la imagen. Se hace foco, se dispara la foto, se avanza el fotograma en la computadora y se repite el proceso. Es importante tener en cuenta que la imagen digital debe estar invertida para obtener un negativo “positivado” sin tener que recurrir a rollos de diapositiva o procesos de laboratorio engorrosos.</w:t>
      </w:r>
    </w:p>
    <w:p w14:paraId="44E2C27D" w14:textId="77777777" w:rsidR="00D96A54" w:rsidRDefault="00000000">
      <w:pPr>
        <w:pStyle w:val="BodyText"/>
      </w:pPr>
      <w:r>
        <w:t xml:space="preserve">En el caso de esta primera iteración, se hicieron un par de pruebas a partir de programas generativos escritos en Processing, como también una prueba a partir de una animación 3D. En el caso de la animación 3D se realizó una serie de transformaciones antes de la transferencia a fílmico: primero se renderizó el modelo </w:t>
      </w:r>
      <w:r>
        <w:lastRenderedPageBreak/>
        <w:t>y en segundo lugar se redujo a una animación en formato GIF monocromática de baja resolución.</w:t>
      </w:r>
    </w:p>
    <w:p w14:paraId="4A4C1B9D" w14:textId="77777777" w:rsidR="00D96A54" w:rsidRDefault="00000000">
      <w:pPr>
        <w:pStyle w:val="CaptionedFigure"/>
      </w:pPr>
      <w:r>
        <w:drawing>
          <wp:inline distT="0" distB="0" distL="0" distR="0" wp14:anchorId="5F69628B" wp14:editId="68F64BA1">
            <wp:extent cx="5753100" cy="1618059"/>
            <wp:effectExtent l="0" t="0" r="0" b="0"/>
            <wp:docPr id="139" name="Picture" descr="“Plantae”, a la izquierda código y ventana, a la derecha transfer a fílmico"/>
            <wp:cNvGraphicFramePr/>
            <a:graphic xmlns:a="http://schemas.openxmlformats.org/drawingml/2006/main">
              <a:graphicData uri="http://schemas.openxmlformats.org/drawingml/2006/picture">
                <pic:pic xmlns:pic="http://schemas.openxmlformats.org/drawingml/2006/picture">
                  <pic:nvPicPr>
                    <pic:cNvPr id="140" name="Picture" descr="./assets/af1cbf525eb59abcbf9cafc1afa58e3a.jpg"/>
                    <pic:cNvPicPr>
                      <a:picLocks noChangeAspect="1" noChangeArrowheads="1"/>
                    </pic:cNvPicPr>
                  </pic:nvPicPr>
                  <pic:blipFill>
                    <a:blip r:embed="rId33"/>
                    <a:stretch>
                      <a:fillRect/>
                    </a:stretch>
                  </pic:blipFill>
                  <pic:spPr bwMode="auto">
                    <a:xfrm>
                      <a:off x="0" y="0"/>
                      <a:ext cx="5753100" cy="1618059"/>
                    </a:xfrm>
                    <a:prstGeom prst="rect">
                      <a:avLst/>
                    </a:prstGeom>
                    <a:noFill/>
                    <a:ln w="9525">
                      <a:noFill/>
                      <a:headEnd/>
                      <a:tailEnd/>
                    </a:ln>
                  </pic:spPr>
                </pic:pic>
              </a:graphicData>
            </a:graphic>
          </wp:inline>
        </w:drawing>
      </w:r>
    </w:p>
    <w:p w14:paraId="64CC2695" w14:textId="77777777" w:rsidR="00D96A54" w:rsidRDefault="00000000">
      <w:pPr>
        <w:pStyle w:val="ImageCaption"/>
      </w:pPr>
      <w:r>
        <w:t>“Plantae”, a la izquierda código y ventana, a la derecha transfer a fílmico</w:t>
      </w:r>
    </w:p>
    <w:p w14:paraId="06F10616" w14:textId="77777777" w:rsidR="00D96A54" w:rsidRDefault="00000000">
      <w:pPr>
        <w:pStyle w:val="CaptionedFigure"/>
      </w:pPr>
      <w:r>
        <w:drawing>
          <wp:inline distT="0" distB="0" distL="0" distR="0" wp14:anchorId="4BC05739" wp14:editId="2CDF0997">
            <wp:extent cx="5753100" cy="1618059"/>
            <wp:effectExtent l="0" t="0" r="0" b="0"/>
            <wp:docPr id="142" name="Picture" descr="“Nodos”, a la izquierda código y ventana, a la derecha transfer a fílmico"/>
            <wp:cNvGraphicFramePr/>
            <a:graphic xmlns:a="http://schemas.openxmlformats.org/drawingml/2006/main">
              <a:graphicData uri="http://schemas.openxmlformats.org/drawingml/2006/picture">
                <pic:pic xmlns:pic="http://schemas.openxmlformats.org/drawingml/2006/picture">
                  <pic:nvPicPr>
                    <pic:cNvPr id="143" name="Picture" descr="./assets/8dd19fa4371ad4649ba50f81e8948dbb.JPG"/>
                    <pic:cNvPicPr>
                      <a:picLocks noChangeAspect="1" noChangeArrowheads="1"/>
                    </pic:cNvPicPr>
                  </pic:nvPicPr>
                  <pic:blipFill>
                    <a:blip r:embed="rId34"/>
                    <a:stretch>
                      <a:fillRect/>
                    </a:stretch>
                  </pic:blipFill>
                  <pic:spPr bwMode="auto">
                    <a:xfrm>
                      <a:off x="0" y="0"/>
                      <a:ext cx="5753100" cy="1618059"/>
                    </a:xfrm>
                    <a:prstGeom prst="rect">
                      <a:avLst/>
                    </a:prstGeom>
                    <a:noFill/>
                    <a:ln w="9525">
                      <a:noFill/>
                      <a:headEnd/>
                      <a:tailEnd/>
                    </a:ln>
                  </pic:spPr>
                </pic:pic>
              </a:graphicData>
            </a:graphic>
          </wp:inline>
        </w:drawing>
      </w:r>
    </w:p>
    <w:p w14:paraId="6783394E" w14:textId="77777777" w:rsidR="00D96A54" w:rsidRDefault="00000000">
      <w:pPr>
        <w:pStyle w:val="ImageCaption"/>
      </w:pPr>
      <w:r>
        <w:t>“Nodos”, a la izquierda código y ventana, a la derecha transfer a fílmico</w:t>
      </w:r>
    </w:p>
    <w:p w14:paraId="303A51D5" w14:textId="77777777" w:rsidR="00D96A54" w:rsidRDefault="00000000">
      <w:pPr>
        <w:pStyle w:val="CaptionedFigure"/>
      </w:pPr>
      <w:r>
        <w:drawing>
          <wp:inline distT="0" distB="0" distL="0" distR="0" wp14:anchorId="037F9E35" wp14:editId="51E4FB25">
            <wp:extent cx="5753100" cy="1618059"/>
            <wp:effectExtent l="0" t="0" r="0" b="0"/>
            <wp:docPr id="145" name="Picture" descr="“El Faro”, GIF original y transfer"/>
            <wp:cNvGraphicFramePr/>
            <a:graphic xmlns:a="http://schemas.openxmlformats.org/drawingml/2006/main">
              <a:graphicData uri="http://schemas.openxmlformats.org/drawingml/2006/picture">
                <pic:pic xmlns:pic="http://schemas.openxmlformats.org/drawingml/2006/picture">
                  <pic:nvPicPr>
                    <pic:cNvPr id="146" name="Picture" descr="./assets/7b1490a7c218dadf67f2075ceeee5629.jpg"/>
                    <pic:cNvPicPr>
                      <a:picLocks noChangeAspect="1" noChangeArrowheads="1"/>
                    </pic:cNvPicPr>
                  </pic:nvPicPr>
                  <pic:blipFill>
                    <a:blip r:embed="rId35"/>
                    <a:stretch>
                      <a:fillRect/>
                    </a:stretch>
                  </pic:blipFill>
                  <pic:spPr bwMode="auto">
                    <a:xfrm>
                      <a:off x="0" y="0"/>
                      <a:ext cx="5753100" cy="1618059"/>
                    </a:xfrm>
                    <a:prstGeom prst="rect">
                      <a:avLst/>
                    </a:prstGeom>
                    <a:noFill/>
                    <a:ln w="9525">
                      <a:noFill/>
                      <a:headEnd/>
                      <a:tailEnd/>
                    </a:ln>
                  </pic:spPr>
                </pic:pic>
              </a:graphicData>
            </a:graphic>
          </wp:inline>
        </w:drawing>
      </w:r>
    </w:p>
    <w:p w14:paraId="486232D1" w14:textId="77777777" w:rsidR="00D96A54" w:rsidRDefault="00000000">
      <w:pPr>
        <w:pStyle w:val="ImageCaption"/>
      </w:pPr>
      <w:r>
        <w:t>“El Faro”, GIF original y transfer</w:t>
      </w:r>
    </w:p>
    <w:p w14:paraId="7A445EFA" w14:textId="77777777" w:rsidR="00D96A54" w:rsidRDefault="00000000">
      <w:pPr>
        <w:pStyle w:val="CaptionedFigure"/>
      </w:pPr>
      <w:r>
        <w:lastRenderedPageBreak/>
        <w:drawing>
          <wp:inline distT="0" distB="0" distL="0" distR="0" wp14:anchorId="58839481" wp14:editId="4AE4FF71">
            <wp:extent cx="5753100" cy="3835400"/>
            <wp:effectExtent l="0" t="0" r="0" b="0"/>
            <wp:docPr id="148" name="Picture" descr="Proceso manual de blow out: cada rollo era procesado manualmente en un tanque Paterson con revelador y fijador"/>
            <wp:cNvGraphicFramePr/>
            <a:graphic xmlns:a="http://schemas.openxmlformats.org/drawingml/2006/main">
              <a:graphicData uri="http://schemas.openxmlformats.org/drawingml/2006/picture">
                <pic:pic xmlns:pic="http://schemas.openxmlformats.org/drawingml/2006/picture">
                  <pic:nvPicPr>
                    <pic:cNvPr id="149" name="Picture" descr="./assets/7e70fc22497ba2a99b650f260bd30eca.png"/>
                    <pic:cNvPicPr>
                      <a:picLocks noChangeAspect="1" noChangeArrowheads="1"/>
                    </pic:cNvPicPr>
                  </pic:nvPicPr>
                  <pic:blipFill>
                    <a:blip r:embed="rId36"/>
                    <a:stretch>
                      <a:fillRect/>
                    </a:stretch>
                  </pic:blipFill>
                  <pic:spPr bwMode="auto">
                    <a:xfrm>
                      <a:off x="0" y="0"/>
                      <a:ext cx="5753100" cy="3835400"/>
                    </a:xfrm>
                    <a:prstGeom prst="rect">
                      <a:avLst/>
                    </a:prstGeom>
                    <a:noFill/>
                    <a:ln w="9525">
                      <a:noFill/>
                      <a:headEnd/>
                      <a:tailEnd/>
                    </a:ln>
                  </pic:spPr>
                </pic:pic>
              </a:graphicData>
            </a:graphic>
          </wp:inline>
        </w:drawing>
      </w:r>
    </w:p>
    <w:p w14:paraId="2BFCA1F8" w14:textId="77777777" w:rsidR="00D96A54" w:rsidRDefault="00000000">
      <w:pPr>
        <w:pStyle w:val="ImageCaption"/>
      </w:pPr>
      <w:r>
        <w:t>Proceso manual de blow out: cada rollo era procesado manualmente en un tanque Paterson con revelador y fijador</w:t>
      </w:r>
    </w:p>
    <w:p w14:paraId="15DE7865" w14:textId="77777777" w:rsidR="00D96A54" w:rsidRDefault="00000000">
      <w:pPr>
        <w:pStyle w:val="BodyText"/>
      </w:pPr>
      <w:r>
        <w:t>El proceso de laboratorio es más bien sencillo porque se trata de película en blanco y negro, y al fotografiar imágenes en negativo se revelan en positivo. Una vez obtenido el material analógico se procede a la digitalización. En este caso se utilizó un escaner EPSON v600 que tiene la particularidad de soportar transparencias, como diapositivas o rollos. la película debe apoyarse perpendicularmente al vidrio y a la altura del vidrio superior donde se encuentra el haz de luz para transparencias. Pueden digitalizarse hasta 3 fotogramas a la vez. El proceso posterior ocurre en After Effects: cada imagen ocupa 3 fotogramas de la línea de tiempo, y tiene 3 transformaciones de posición que generan la ilusión de movimiento. Esta transformación es aplicada a todos los grupos de imágenes de 3, en secuencia, y por último se aplica una estabilización general basada en las perforaciones del film, lo que genera una imagen estable.</w:t>
      </w:r>
    </w:p>
    <w:p w14:paraId="12BD713E" w14:textId="77777777" w:rsidR="00D96A54" w:rsidRDefault="00000000">
      <w:pPr>
        <w:pStyle w:val="CaptionedFigure"/>
      </w:pPr>
      <w:r>
        <w:lastRenderedPageBreak/>
        <w:drawing>
          <wp:inline distT="0" distB="0" distL="0" distR="0" wp14:anchorId="4E285F14" wp14:editId="7DD4519C">
            <wp:extent cx="5753100" cy="3227951"/>
            <wp:effectExtent l="0" t="0" r="0" b="0"/>
            <wp:docPr id="151" name="Picture" descr="Digitalización de fotogramas"/>
            <wp:cNvGraphicFramePr/>
            <a:graphic xmlns:a="http://schemas.openxmlformats.org/drawingml/2006/main">
              <a:graphicData uri="http://schemas.openxmlformats.org/drawingml/2006/picture">
                <pic:pic xmlns:pic="http://schemas.openxmlformats.org/drawingml/2006/picture">
                  <pic:nvPicPr>
                    <pic:cNvPr id="152" name="Picture" descr="./assets/834a5308f4a621c379b8956a94caa980.jpg"/>
                    <pic:cNvPicPr>
                      <a:picLocks noChangeAspect="1" noChangeArrowheads="1"/>
                    </pic:cNvPicPr>
                  </pic:nvPicPr>
                  <pic:blipFill>
                    <a:blip r:embed="rId37"/>
                    <a:stretch>
                      <a:fillRect/>
                    </a:stretch>
                  </pic:blipFill>
                  <pic:spPr bwMode="auto">
                    <a:xfrm>
                      <a:off x="0" y="0"/>
                      <a:ext cx="5753100" cy="3227951"/>
                    </a:xfrm>
                    <a:prstGeom prst="rect">
                      <a:avLst/>
                    </a:prstGeom>
                    <a:noFill/>
                    <a:ln w="9525">
                      <a:noFill/>
                      <a:headEnd/>
                      <a:tailEnd/>
                    </a:ln>
                  </pic:spPr>
                </pic:pic>
              </a:graphicData>
            </a:graphic>
          </wp:inline>
        </w:drawing>
      </w:r>
    </w:p>
    <w:p w14:paraId="08AE13FF" w14:textId="77777777" w:rsidR="00D96A54" w:rsidRDefault="00000000">
      <w:pPr>
        <w:pStyle w:val="ImageCaption"/>
      </w:pPr>
      <w:r>
        <w:t>Digitalización de fotogramas</w:t>
      </w:r>
    </w:p>
    <w:p w14:paraId="1941C128" w14:textId="77777777" w:rsidR="00D96A54" w:rsidRDefault="00000000">
      <w:pPr>
        <w:pStyle w:val="BodyText"/>
      </w:pPr>
      <w:r>
        <w:t>Y como bien de describía al comienzo de esta primera iteración, eran tiempos de NFT y las obras muchas terminaron en los marketplace de la blockchain, donde coleccionistas y especuladores gastaban sus criptomonedas en obras de arte. Cuando un artista sube una pieza puede definir el número de unidades de la edición (por ejemplo, 15 copias), o definirla como una copia única, aumentando su valor simbólico. Cuando un coleccionista compra una obra se transfiere la autenticidad de la obra al comprador, pero no necesariamente los derechos de uso. No se transfiere la exclusividad ni la autoría, solo la propiedad de esa “copia” en particular. El comprador puede volver a vender la obra a otro coleccionista y usufructar el valor, y en muchos casos el autor original obtiene un porcentaje de esta nueva compra. Es una dinámica interesante que lamentablemente está cada vez más en desuso.</w:t>
      </w:r>
    </w:p>
    <w:p w14:paraId="0A9BD2C2" w14:textId="77777777" w:rsidR="00D96A54" w:rsidRDefault="00000000">
      <w:pPr>
        <w:pStyle w:val="CaptionedFigure"/>
      </w:pPr>
      <w:r>
        <w:lastRenderedPageBreak/>
        <w:drawing>
          <wp:inline distT="0" distB="0" distL="0" distR="0" wp14:anchorId="554BDB96" wp14:editId="5A33E487">
            <wp:extent cx="5753100" cy="3437004"/>
            <wp:effectExtent l="0" t="0" r="0" b="0"/>
            <wp:docPr id="154" name="Picture" descr="Un film distribuido como NFTs en el marketplace knownorigin.io (2020)"/>
            <wp:cNvGraphicFramePr/>
            <a:graphic xmlns:a="http://schemas.openxmlformats.org/drawingml/2006/main">
              <a:graphicData uri="http://schemas.openxmlformats.org/drawingml/2006/picture">
                <pic:pic xmlns:pic="http://schemas.openxmlformats.org/drawingml/2006/picture">
                  <pic:nvPicPr>
                    <pic:cNvPr id="155" name="Picture" descr="./assets/bf0da1ed8f53cdd96fc67b6cc12b3a1d.jpg"/>
                    <pic:cNvPicPr>
                      <a:picLocks noChangeAspect="1" noChangeArrowheads="1"/>
                    </pic:cNvPicPr>
                  </pic:nvPicPr>
                  <pic:blipFill>
                    <a:blip r:embed="rId38"/>
                    <a:stretch>
                      <a:fillRect/>
                    </a:stretch>
                  </pic:blipFill>
                  <pic:spPr bwMode="auto">
                    <a:xfrm>
                      <a:off x="0" y="0"/>
                      <a:ext cx="5753100" cy="3437004"/>
                    </a:xfrm>
                    <a:prstGeom prst="rect">
                      <a:avLst/>
                    </a:prstGeom>
                    <a:noFill/>
                    <a:ln w="9525">
                      <a:noFill/>
                      <a:headEnd/>
                      <a:tailEnd/>
                    </a:ln>
                  </pic:spPr>
                </pic:pic>
              </a:graphicData>
            </a:graphic>
          </wp:inline>
        </w:drawing>
      </w:r>
    </w:p>
    <w:p w14:paraId="16F10AEF" w14:textId="77777777" w:rsidR="00D96A54" w:rsidRDefault="00000000">
      <w:pPr>
        <w:pStyle w:val="ImageCaption"/>
      </w:pPr>
      <w:r>
        <w:t>Un film distribuido como NFTs en el marketplace knownorigin.io (2020)</w:t>
      </w:r>
    </w:p>
    <w:p w14:paraId="383D3DFA" w14:textId="77777777" w:rsidR="00D96A54" w:rsidRDefault="00000000">
      <w:pPr>
        <w:pStyle w:val="Heading2"/>
      </w:pPr>
      <w:bookmarkStart w:id="57" w:name="segunda-iteración-digital-to-film"/>
      <w:bookmarkStart w:id="58" w:name="_Toc162595678"/>
      <w:bookmarkEnd w:id="55"/>
      <w:r>
        <w:lastRenderedPageBreak/>
        <w:t>Segunda iteración: digital-to-film</w:t>
      </w:r>
      <w:bookmarkEnd w:id="58"/>
    </w:p>
    <w:p w14:paraId="207F80C8" w14:textId="77777777" w:rsidR="00D96A54" w:rsidRDefault="00000000">
      <w:pPr>
        <w:pStyle w:val="FirstParagraph"/>
      </w:pPr>
      <w:r>
        <w:t>Esta segunda iteración formó parte oficial de la tesis, y consistió en aprovechar el formato 35 mm en su dimensión física, sin volver a digitalizar las imágenes. La película en 35 mm es universal y la de las cámaras fotográficas convencionales es la misma que la de las cámaras o los proyectores de cine, aunque la orientación es diferente: las cámaras de fotos trasladan la película horizontalmente y las de cine verticalmente, resultando la primera en mayor resolución pero la segunda en más fotogramas por metro.</w:t>
      </w:r>
    </w:p>
    <w:p w14:paraId="567C2DC8" w14:textId="77777777" w:rsidR="00D96A54" w:rsidRDefault="00000000">
      <w:pPr>
        <w:pStyle w:val="BodyText"/>
      </w:pPr>
      <w:r>
        <w:t>Los Films Automáticos utilizan equipos de descarte: cámaras reflex heredadas y proyectores de diapositivas olvidados. Inspirado en la forma de reproducción cíclica de los gifs y limitado por la corta duración de las pruebas en la primera iteración, se recurrió a un famoso modelo de proyector de Kodak, el Kodak Carousel, que lleva cartuchos de diapositivas circulares que giran infinitamente. En este caso se consiguó un proyector modelo 800. El primer paso consistió en convertir el proyector a LED, para evitar el desgaste de las lámparas originales de Wolframio. Para esto se compró un driver LED que convierte la corriente y la tensión original del proyector, y se instaló un LED cálido de 30w con un disipador de calor pequeño.</w:t>
      </w:r>
    </w:p>
    <w:p w14:paraId="74F5232D" w14:textId="77777777" w:rsidR="00D96A54" w:rsidRDefault="00000000">
      <w:pPr>
        <w:pStyle w:val="CaptionedFigure"/>
      </w:pPr>
      <w:r>
        <w:lastRenderedPageBreak/>
        <w:drawing>
          <wp:inline distT="0" distB="0" distL="0" distR="0" wp14:anchorId="13D3037C" wp14:editId="213969DD">
            <wp:extent cx="5753100" cy="3835400"/>
            <wp:effectExtent l="0" t="0" r="0" b="0"/>
            <wp:docPr id="158" name="Picture" descr="Hackeo de Kodak Carousel: reemplazo de lámpara original por LED"/>
            <wp:cNvGraphicFramePr/>
            <a:graphic xmlns:a="http://schemas.openxmlformats.org/drawingml/2006/main">
              <a:graphicData uri="http://schemas.openxmlformats.org/drawingml/2006/picture">
                <pic:pic xmlns:pic="http://schemas.openxmlformats.org/drawingml/2006/picture">
                  <pic:nvPicPr>
                    <pic:cNvPr id="159" name="Picture" descr="./assets/6ccd794ebea71733e60fec2d15d6904b.png"/>
                    <pic:cNvPicPr>
                      <a:picLocks noChangeAspect="1" noChangeArrowheads="1"/>
                    </pic:cNvPicPr>
                  </pic:nvPicPr>
                  <pic:blipFill>
                    <a:blip r:embed="rId39"/>
                    <a:stretch>
                      <a:fillRect/>
                    </a:stretch>
                  </pic:blipFill>
                  <pic:spPr bwMode="auto">
                    <a:xfrm>
                      <a:off x="0" y="0"/>
                      <a:ext cx="5753100" cy="3835400"/>
                    </a:xfrm>
                    <a:prstGeom prst="rect">
                      <a:avLst/>
                    </a:prstGeom>
                    <a:noFill/>
                    <a:ln w="9525">
                      <a:noFill/>
                      <a:headEnd/>
                      <a:tailEnd/>
                    </a:ln>
                  </pic:spPr>
                </pic:pic>
              </a:graphicData>
            </a:graphic>
          </wp:inline>
        </w:drawing>
      </w:r>
    </w:p>
    <w:p w14:paraId="7B536729" w14:textId="77777777" w:rsidR="00D96A54" w:rsidRDefault="00000000">
      <w:pPr>
        <w:pStyle w:val="ImageCaption"/>
      </w:pPr>
      <w:r>
        <w:t>Hackeo de Kodak Carousel: reemplazo de lámpara original por LED</w:t>
      </w:r>
    </w:p>
    <w:p w14:paraId="49A98CCD" w14:textId="77777777" w:rsidR="00D96A54" w:rsidRDefault="00000000">
      <w:pPr>
        <w:pStyle w:val="BodyText"/>
      </w:pPr>
      <w:r>
        <w:t>El segundo paso consistió en la automatización. Estos proyectores suelen venir con un control remoto, cableado, que avanza y retrocede una foto. También suelen tener un modo “automático”, como es el caso del modelo 800. El problema era que el automático es lento y el control remoto requiere de una persona que lo accione. Aquí entró en escena el Arduino, una placa electrónica de hardware libre que utiliza un microcontrolador programable con una serie de salidas y entradas que permiten establecer conexiones entre el controlador y sensores, luces, motores, botones, interruptores, etc. El Arduino era alimentado por la fuente de 30v del proyector y reducida a 12v por una fuente “Step-down”. La idea era que la placa encendiera y apagara un “relay”, que se trata de una compuerta electromagnética que abre y cierra el paso de electricidad. En este caso se utilizaba para hacer de botón de “control remoto”. De esta manera se logró presionar el botón lo más simétricamente posible, y lo más rápido que el proyector podía soportar. También se le incorporó un sensor de luminosidad en el lente para detectar cuando la lámpara estaba proyectando y cuando no, en pos de agilizar la comunicación entre el proyector y el Arduino.</w:t>
      </w:r>
    </w:p>
    <w:p w14:paraId="088B6686" w14:textId="77777777" w:rsidR="00D96A54" w:rsidRDefault="00000000">
      <w:pPr>
        <w:pStyle w:val="BodyText"/>
      </w:pPr>
      <w:r>
        <w:lastRenderedPageBreak/>
        <w:t>Para esto también se experimentó con distintas animaciones de computadora, desde programas generativos hasta “El Faro” que se mostró anteriormente, el cual al ser un movimiento sencillo de rotación podía verse más apreciado en el lento movimiento del Carousel.</w:t>
      </w:r>
    </w:p>
    <w:p w14:paraId="66E8D22F" w14:textId="77777777" w:rsidR="00D96A54" w:rsidRDefault="00000000">
      <w:pPr>
        <w:pStyle w:val="CaptionedFigure"/>
      </w:pPr>
      <w:r>
        <w:drawing>
          <wp:inline distT="0" distB="0" distL="0" distR="0" wp14:anchorId="329F1781" wp14:editId="1C559000">
            <wp:extent cx="5753100" cy="3835400"/>
            <wp:effectExtent l="0" t="0" r="0" b="0"/>
            <wp:docPr id="161" name="Picture" descr="A la izquierda: servicio de controlador Arduino en Kodak Carousel. A la derecha: fotograma transferido a diapositiva"/>
            <wp:cNvGraphicFramePr/>
            <a:graphic xmlns:a="http://schemas.openxmlformats.org/drawingml/2006/main">
              <a:graphicData uri="http://schemas.openxmlformats.org/drawingml/2006/picture">
                <pic:pic xmlns:pic="http://schemas.openxmlformats.org/drawingml/2006/picture">
                  <pic:nvPicPr>
                    <pic:cNvPr id="162" name="Picture" descr="./assets/2d6d68553d1352ccb00277e9b4aaba43.png"/>
                    <pic:cNvPicPr>
                      <a:picLocks noChangeAspect="1" noChangeArrowheads="1"/>
                    </pic:cNvPicPr>
                  </pic:nvPicPr>
                  <pic:blipFill>
                    <a:blip r:embed="rId40"/>
                    <a:stretch>
                      <a:fillRect/>
                    </a:stretch>
                  </pic:blipFill>
                  <pic:spPr bwMode="auto">
                    <a:xfrm>
                      <a:off x="0" y="0"/>
                      <a:ext cx="5753100" cy="3835400"/>
                    </a:xfrm>
                    <a:prstGeom prst="rect">
                      <a:avLst/>
                    </a:prstGeom>
                    <a:noFill/>
                    <a:ln w="9525">
                      <a:noFill/>
                      <a:headEnd/>
                      <a:tailEnd/>
                    </a:ln>
                  </pic:spPr>
                </pic:pic>
              </a:graphicData>
            </a:graphic>
          </wp:inline>
        </w:drawing>
      </w:r>
    </w:p>
    <w:p w14:paraId="0CD43510" w14:textId="77777777" w:rsidR="00D96A54" w:rsidRDefault="00000000">
      <w:pPr>
        <w:pStyle w:val="ImageCaption"/>
      </w:pPr>
      <w:r>
        <w:t>A la izquierda: servicio de controlador Arduino en Kodak Carousel. A la derecha: fotograma transferido a diapositiva</w:t>
      </w:r>
    </w:p>
    <w:p w14:paraId="44044E13" w14:textId="77777777" w:rsidR="00D96A54" w:rsidRDefault="00000000">
      <w:pPr>
        <w:pStyle w:val="BodyText"/>
      </w:pPr>
      <w:r>
        <w:t>El dispositivo llegó a montarse y registrarse en cheLA en 2023, y sirvió como antecedente a la tercera iteración. Pero el problema principal fue la falta de potencia de luz comparado con las lámparas originales, y la poca velocidad de la proyección como para siquiera aludir a una ilusión de movimiento. También parecía que todo el proceso pecaba de estar “sobre-ingenierizado”, con demasiados pasos y sensores y el resultado no era del todo el esperado.</w:t>
      </w:r>
      <w:r>
        <w:rPr>
          <w:rStyle w:val="FootnoteReference"/>
        </w:rPr>
        <w:footnoteReference w:id="15"/>
      </w:r>
    </w:p>
    <w:p w14:paraId="74340FA2" w14:textId="77777777" w:rsidR="00D96A54" w:rsidRDefault="00000000">
      <w:pPr>
        <w:pStyle w:val="CaptionedFigure"/>
      </w:pPr>
      <w:r>
        <w:lastRenderedPageBreak/>
        <w:drawing>
          <wp:inline distT="0" distB="0" distL="0" distR="0" wp14:anchorId="19820534" wp14:editId="2C0E4E05">
            <wp:extent cx="5753100" cy="3236118"/>
            <wp:effectExtent l="0" t="0" r="0" b="0"/>
            <wp:docPr id="165" name="Picture" descr="Rodaje y montaje en cheLA de proyector Carousel modificado (2023)"/>
            <wp:cNvGraphicFramePr/>
            <a:graphic xmlns:a="http://schemas.openxmlformats.org/drawingml/2006/main">
              <a:graphicData uri="http://schemas.openxmlformats.org/drawingml/2006/picture">
                <pic:pic xmlns:pic="http://schemas.openxmlformats.org/drawingml/2006/picture">
                  <pic:nvPicPr>
                    <pic:cNvPr id="166" name="Picture" descr="./assets/d187c33616d32b6abf8b897528709638.jpg"/>
                    <pic:cNvPicPr>
                      <a:picLocks noChangeAspect="1" noChangeArrowheads="1"/>
                    </pic:cNvPicPr>
                  </pic:nvPicPr>
                  <pic:blipFill>
                    <a:blip r:embed="rId41"/>
                    <a:stretch>
                      <a:fillRect/>
                    </a:stretch>
                  </pic:blipFill>
                  <pic:spPr bwMode="auto">
                    <a:xfrm>
                      <a:off x="0" y="0"/>
                      <a:ext cx="5753100" cy="3236118"/>
                    </a:xfrm>
                    <a:prstGeom prst="rect">
                      <a:avLst/>
                    </a:prstGeom>
                    <a:noFill/>
                    <a:ln w="9525">
                      <a:noFill/>
                      <a:headEnd/>
                      <a:tailEnd/>
                    </a:ln>
                  </pic:spPr>
                </pic:pic>
              </a:graphicData>
            </a:graphic>
          </wp:inline>
        </w:drawing>
      </w:r>
    </w:p>
    <w:p w14:paraId="0C48A6CD" w14:textId="77777777" w:rsidR="00D96A54" w:rsidRDefault="00000000">
      <w:pPr>
        <w:pStyle w:val="ImageCaption"/>
      </w:pPr>
      <w:r>
        <w:t>Rodaje y montaje en cheLA de proyector Carousel modificado (2023)</w:t>
      </w:r>
    </w:p>
    <w:p w14:paraId="5A33BE25" w14:textId="77777777" w:rsidR="00D96A54" w:rsidRDefault="00000000">
      <w:pPr>
        <w:pStyle w:val="Heading2"/>
      </w:pPr>
      <w:bookmarkStart w:id="59" w:name="tercera-iteración-los-films-automáticos"/>
      <w:bookmarkStart w:id="60" w:name="_Toc162595679"/>
      <w:bookmarkEnd w:id="57"/>
      <w:r>
        <w:lastRenderedPageBreak/>
        <w:t>Tercera iteración: Los Films Automáticos</w:t>
      </w:r>
      <w:bookmarkEnd w:id="60"/>
    </w:p>
    <w:p w14:paraId="0E1269B6" w14:textId="77777777" w:rsidR="00D96A54" w:rsidRDefault="00000000">
      <w:pPr>
        <w:pStyle w:val="FirstParagraph"/>
      </w:pPr>
      <w:r>
        <w:t>…</w:t>
      </w:r>
    </w:p>
    <w:p w14:paraId="736E1D8B" w14:textId="77777777" w:rsidR="00D96A54" w:rsidRDefault="00000000">
      <w:pPr>
        <w:pStyle w:val="Heading1"/>
      </w:pPr>
      <w:bookmarkStart w:id="61" w:name="bibliografía"/>
      <w:bookmarkStart w:id="62" w:name="_Toc162595680"/>
      <w:bookmarkEnd w:id="53"/>
      <w:bookmarkEnd w:id="59"/>
      <w:r>
        <w:lastRenderedPageBreak/>
        <w:t>Bibliografía</w:t>
      </w:r>
      <w:bookmarkEnd w:id="62"/>
    </w:p>
    <w:p w14:paraId="627040B3" w14:textId="77777777" w:rsidR="00D96A54" w:rsidRDefault="00000000">
      <w:pPr>
        <w:pStyle w:val="Bibliography"/>
      </w:pPr>
      <w:bookmarkStart w:id="63" w:name="ref-amogarciaClasificarParaPreservar2008"/>
      <w:bookmarkStart w:id="64" w:name="refs"/>
      <w:r>
        <w:t xml:space="preserve">Amo García, A. del. (2008). </w:t>
      </w:r>
      <w:r>
        <w:rPr>
          <w:i/>
          <w:iCs/>
        </w:rPr>
        <w:t>Clasificar para preservar</w:t>
      </w:r>
      <w:r>
        <w:t>. Conaculta Cineteca Nacional Filmoteca Española.</w:t>
      </w:r>
    </w:p>
    <w:p w14:paraId="076EFFC1" w14:textId="77777777" w:rsidR="00D96A54" w:rsidRDefault="00000000">
      <w:pPr>
        <w:pStyle w:val="Bibliography"/>
      </w:pPr>
      <w:bookmarkStart w:id="65" w:name="ref-antonelliWhenVideoGames2022"/>
      <w:bookmarkEnd w:id="63"/>
      <w:r>
        <w:t xml:space="preserve">Antonelli, P., &amp; Galloway, P. (2022). When Video Games Came to the Museum. </w:t>
      </w:r>
      <w:r>
        <w:rPr>
          <w:i/>
          <w:iCs/>
        </w:rPr>
        <w:t>Magazine  MoMA</w:t>
      </w:r>
      <w:r>
        <w:t>.</w:t>
      </w:r>
    </w:p>
    <w:p w14:paraId="485631BB" w14:textId="77777777" w:rsidR="00D96A54" w:rsidRDefault="00000000">
      <w:pPr>
        <w:pStyle w:val="Bibliography"/>
      </w:pPr>
      <w:bookmarkStart w:id="66" w:name="ref-ArcticWorldArchive2021"/>
      <w:bookmarkEnd w:id="65"/>
      <w:r>
        <w:t xml:space="preserve">Arctic World Archive. (2021). </w:t>
      </w:r>
      <w:r>
        <w:rPr>
          <w:i/>
          <w:iCs/>
        </w:rPr>
        <w:t>Wikipedia</w:t>
      </w:r>
      <w:r>
        <w:t>.</w:t>
      </w:r>
    </w:p>
    <w:p w14:paraId="2DBEA9A1" w14:textId="77777777" w:rsidR="00D96A54" w:rsidRDefault="00000000">
      <w:pPr>
        <w:pStyle w:val="Bibliography"/>
      </w:pPr>
      <w:bookmarkStart w:id="67" w:name="ref-askinCameronWorld2015"/>
      <w:bookmarkEnd w:id="66"/>
      <w:r>
        <w:t xml:space="preserve">Askin, C. (2015). </w:t>
      </w:r>
      <w:r>
        <w:rPr>
          <w:i/>
          <w:iCs/>
        </w:rPr>
        <w:t>Cameron’s World</w:t>
      </w:r>
      <w:r>
        <w:t>. https://www.cameronsworld.net.</w:t>
      </w:r>
    </w:p>
    <w:p w14:paraId="067E3F09" w14:textId="77777777" w:rsidR="00D96A54" w:rsidRDefault="00000000">
      <w:pPr>
        <w:pStyle w:val="Bibliography"/>
      </w:pPr>
      <w:bookmarkStart w:id="68" w:name="ref-baumItSilentFire2024"/>
      <w:bookmarkEnd w:id="67"/>
      <w:r>
        <w:t xml:space="preserve">Baum, G., &amp; Giardina, C. (2024). “It’s a Silent Fire”: Decaying Digital Movie and TV Show Files Are a Hollywood Crisis. In </w:t>
      </w:r>
      <w:r>
        <w:rPr>
          <w:i/>
          <w:iCs/>
        </w:rPr>
        <w:t>The Hollywood Reporter</w:t>
      </w:r>
      <w:r>
        <w:t>.</w:t>
      </w:r>
    </w:p>
    <w:p w14:paraId="344502EE" w14:textId="77777777" w:rsidR="00D96A54" w:rsidRDefault="00000000">
      <w:pPr>
        <w:pStyle w:val="Bibliography"/>
      </w:pPr>
      <w:bookmarkStart w:id="69" w:name="ref-benetWhatExactlyWeb32018"/>
      <w:bookmarkEnd w:id="68"/>
      <w:r>
        <w:t xml:space="preserve">Benet, J. (2018). </w:t>
      </w:r>
      <w:r>
        <w:rPr>
          <w:i/>
          <w:iCs/>
        </w:rPr>
        <w:t>What Exactly is Web3? By Juan Benet at Web3 Summit 2018</w:t>
      </w:r>
      <w:r>
        <w:t>.</w:t>
      </w:r>
    </w:p>
    <w:p w14:paraId="568E22F3" w14:textId="77777777" w:rsidR="00D96A54" w:rsidRDefault="00000000">
      <w:pPr>
        <w:pStyle w:val="Bibliography"/>
      </w:pPr>
      <w:bookmarkStart w:id="70" w:name="ref-benjaminWorkArtAge2008"/>
      <w:bookmarkEnd w:id="69"/>
      <w:r>
        <w:t xml:space="preserve">Benjamin, W., Jennings, M. W., Doherty, B., Levin, T. Y., Jephcott, E. F. N., Livingstone, R., &amp; Eiland, H. (2008). </w:t>
      </w:r>
      <w:r>
        <w:rPr>
          <w:i/>
          <w:iCs/>
        </w:rPr>
        <w:t>The work of art in the age of its technological reproducibility, and other writings on media</w:t>
      </w:r>
      <w:r>
        <w:t>. The Belknap Press of Harvard University Press.</w:t>
      </w:r>
    </w:p>
    <w:p w14:paraId="25DFB0DA" w14:textId="77777777" w:rsidR="00D96A54" w:rsidRDefault="00000000">
      <w:pPr>
        <w:pStyle w:val="Bibliography"/>
      </w:pPr>
      <w:bookmarkStart w:id="71" w:name="ref-betancourtHistoryMotionGraphics2013"/>
      <w:bookmarkEnd w:id="70"/>
      <w:r>
        <w:t xml:space="preserve">Betancourt, M. (2013). </w:t>
      </w:r>
      <w:r>
        <w:rPr>
          <w:i/>
          <w:iCs/>
        </w:rPr>
        <w:t>The history of motion graphics: From avant-garde to industry in the United States</w:t>
      </w:r>
      <w:r>
        <w:t xml:space="preserve"> (First edition). Wildside Press.</w:t>
      </w:r>
    </w:p>
    <w:p w14:paraId="1190563E" w14:textId="77777777" w:rsidR="00D96A54" w:rsidRDefault="00000000">
      <w:pPr>
        <w:pStyle w:val="Bibliography"/>
      </w:pPr>
      <w:bookmarkStart w:id="72" w:name="X982a05986ee913915aba12b9a8d7e5a3c1038c5"/>
      <w:bookmarkEnd w:id="71"/>
      <w:r>
        <w:t xml:space="preserve">Brand, B. (2006a). The Accidental Preservationist: An Interview with Bill Brand. In </w:t>
      </w:r>
      <w:r>
        <w:rPr>
          <w:i/>
          <w:iCs/>
        </w:rPr>
        <w:t>Results you can’t refuse : celebrating 30 years of BB Optics</w:t>
      </w:r>
      <w:r>
        <w:t>. Anthology Film Archives.</w:t>
      </w:r>
    </w:p>
    <w:p w14:paraId="69494118" w14:textId="77777777" w:rsidR="00D96A54" w:rsidRDefault="00000000">
      <w:pPr>
        <w:pStyle w:val="Bibliography"/>
      </w:pPr>
      <w:bookmarkStart w:id="73" w:name="ref-brandArtistArchivist2006"/>
      <w:bookmarkEnd w:id="72"/>
      <w:r>
        <w:t xml:space="preserve">Brand, B. (2006b). The artist as archivist. In </w:t>
      </w:r>
      <w:r>
        <w:rPr>
          <w:i/>
          <w:iCs/>
        </w:rPr>
        <w:t>Results you can’t refuse : celebrating 30 years of BB Optics</w:t>
      </w:r>
      <w:r>
        <w:t>. Anthology Film Archives.</w:t>
      </w:r>
    </w:p>
    <w:p w14:paraId="3A5314E1" w14:textId="77777777" w:rsidR="00D96A54" w:rsidRDefault="00000000">
      <w:pPr>
        <w:pStyle w:val="Bibliography"/>
      </w:pPr>
      <w:bookmarkStart w:id="74" w:name="ref-CadenaBloques2021"/>
      <w:bookmarkEnd w:id="73"/>
      <w:r>
        <w:t xml:space="preserve">Cadena de bloques. (2021). </w:t>
      </w:r>
      <w:r>
        <w:rPr>
          <w:i/>
          <w:iCs/>
        </w:rPr>
        <w:t>Wikipedia, la enciclopedia libre</w:t>
      </w:r>
      <w:r>
        <w:t>.</w:t>
      </w:r>
    </w:p>
    <w:p w14:paraId="2054C971" w14:textId="77777777" w:rsidR="00D96A54" w:rsidRDefault="00000000">
      <w:pPr>
        <w:pStyle w:val="Bibliography"/>
      </w:pPr>
      <w:bookmarkStart w:id="75" w:name="ref-cantuHistoriaImagenesArchivo2012"/>
      <w:bookmarkEnd w:id="74"/>
      <w:r>
        <w:t xml:space="preserve">Cantú, M. (2012). La historia en (las) imágenes: archivo, memoria, video. In </w:t>
      </w:r>
      <w:r>
        <w:rPr>
          <w:i/>
          <w:iCs/>
        </w:rPr>
        <w:t>Territorios audiovisuales: cine, video, televisión, documental, instalación, nuevas tecnologías, paisajes mediáticos</w:t>
      </w:r>
      <w:r>
        <w:t>. Maestría en Diseño Comunicacional ; Universidad Nacional de Tres de Febrero ; Universidad del Cine : Libraria Ediciones.</w:t>
      </w:r>
    </w:p>
    <w:p w14:paraId="6FC0B563" w14:textId="77777777" w:rsidR="00D96A54" w:rsidRDefault="00000000">
      <w:pPr>
        <w:pStyle w:val="Bibliography"/>
      </w:pPr>
      <w:bookmarkStart w:id="76" w:name="ref-cantuArchivosVideoNo2015"/>
      <w:bookmarkEnd w:id="75"/>
      <w:r>
        <w:lastRenderedPageBreak/>
        <w:t xml:space="preserve">Cantú, M. (2015). Archivos y video: no lo hemos comprendido todo. </w:t>
      </w:r>
      <w:r>
        <w:rPr>
          <w:i/>
          <w:iCs/>
        </w:rPr>
        <w:t>Cuadernos del Centro de Estudios de Diseño y Comunicación</w:t>
      </w:r>
      <w:r>
        <w:t xml:space="preserve">, </w:t>
      </w:r>
      <w:r>
        <w:rPr>
          <w:i/>
          <w:iCs/>
        </w:rPr>
        <w:t>52</w:t>
      </w:r>
      <w:r>
        <w:t xml:space="preserve">, 95 a 106–95 a 106. </w:t>
      </w:r>
      <w:hyperlink r:id="rId42">
        <w:r>
          <w:rPr>
            <w:rStyle w:val="Hyperlink"/>
          </w:rPr>
          <w:t>https://doi.org/10.18682/cdc.vi52.1332</w:t>
        </w:r>
      </w:hyperlink>
    </w:p>
    <w:p w14:paraId="4EFB7FCA" w14:textId="77777777" w:rsidR="00D96A54" w:rsidRDefault="00000000">
      <w:pPr>
        <w:pStyle w:val="Bibliography"/>
      </w:pPr>
      <w:bookmarkStart w:id="77" w:name="ref-collinsSailingSevenSeas1938"/>
      <w:bookmarkEnd w:id="76"/>
      <w:r>
        <w:t xml:space="preserve">Collins, M. (1938). Sailing the Seven Seas as an Adventurer. </w:t>
      </w:r>
      <w:r>
        <w:rPr>
          <w:i/>
          <w:iCs/>
        </w:rPr>
        <w:t>Spirit Lake Beacon</w:t>
      </w:r>
      <w:r>
        <w:t>.</w:t>
      </w:r>
    </w:p>
    <w:p w14:paraId="216246B8" w14:textId="77777777" w:rsidR="00D96A54" w:rsidRDefault="00000000">
      <w:pPr>
        <w:pStyle w:val="Bibliography"/>
      </w:pPr>
      <w:bookmarkStart w:id="78" w:name="ref-ezcurraRutaHenriettaSiguiendo2012"/>
      <w:bookmarkEnd w:id="77"/>
      <w:r>
        <w:t xml:space="preserve">Ezcurra, H. (2012). La ruta del “Henrietta”: Siguiendo la estela del Yayo…. In </w:t>
      </w:r>
      <w:r>
        <w:rPr>
          <w:i/>
          <w:iCs/>
        </w:rPr>
        <w:t>tequebellota.wordpress.com</w:t>
      </w:r>
      <w:r>
        <w:t>.</w:t>
      </w:r>
    </w:p>
    <w:p w14:paraId="523FCE9E" w14:textId="77777777" w:rsidR="00D96A54" w:rsidRDefault="00000000">
      <w:pPr>
        <w:pStyle w:val="Bibliography"/>
      </w:pPr>
      <w:bookmarkStart w:id="79" w:name="ref-finleyInventorsInternetAre2016"/>
      <w:bookmarkEnd w:id="78"/>
      <w:r>
        <w:t xml:space="preserve">Finley, K. (2016). The Inventors of the Internet Are Trying to Build a Truly Permanent Web. </w:t>
      </w:r>
      <w:r>
        <w:rPr>
          <w:i/>
          <w:iCs/>
        </w:rPr>
        <w:t>Wired</w:t>
      </w:r>
      <w:r>
        <w:t>.</w:t>
      </w:r>
    </w:p>
    <w:p w14:paraId="74E67211" w14:textId="77777777" w:rsidR="00D96A54" w:rsidRDefault="00000000">
      <w:pPr>
        <w:pStyle w:val="Bibliography"/>
      </w:pPr>
      <w:bookmarkStart w:id="80" w:name="ref-fossatiGrainPixelArchival2018"/>
      <w:bookmarkEnd w:id="79"/>
      <w:r>
        <w:t xml:space="preserve">Fossati, G. (2018). </w:t>
      </w:r>
      <w:r>
        <w:rPr>
          <w:i/>
          <w:iCs/>
        </w:rPr>
        <w:t>From Grain to Pixel: The Archival Life of Film in Transition</w:t>
      </w:r>
      <w:r>
        <w:t xml:space="preserve">. Amsterdam University Press. </w:t>
      </w:r>
      <w:hyperlink r:id="rId43">
        <w:r>
          <w:rPr>
            <w:rStyle w:val="Hyperlink"/>
          </w:rPr>
          <w:t>https://doi.org/10.2307/j.ctv8bt181</w:t>
        </w:r>
      </w:hyperlink>
    </w:p>
    <w:p w14:paraId="47B2DAE1" w14:textId="77777777" w:rsidR="00D96A54" w:rsidRDefault="00000000">
      <w:pPr>
        <w:pStyle w:val="Bibliography"/>
      </w:pPr>
      <w:bookmarkStart w:id="81" w:name="ref-hofmanAlbumInestableAcercamiento2007"/>
      <w:bookmarkEnd w:id="80"/>
      <w:r>
        <w:t xml:space="preserve">Hofman, V. (2007). Album inestable, una acercamiento al a conservación del arte electrónico. </w:t>
      </w:r>
      <w:r>
        <w:rPr>
          <w:i/>
          <w:iCs/>
        </w:rPr>
        <w:t>Arte Electrónico, Entornos Coditianos.</w:t>
      </w:r>
      <w:r>
        <w:t xml:space="preserve">, </w:t>
      </w:r>
      <w:r>
        <w:rPr>
          <w:i/>
          <w:iCs/>
        </w:rPr>
        <w:t>5</w:t>
      </w:r>
      <w:r>
        <w:t>, 95–111.</w:t>
      </w:r>
    </w:p>
    <w:p w14:paraId="3383C860" w14:textId="77777777" w:rsidR="00D96A54" w:rsidRDefault="00000000">
      <w:pPr>
        <w:pStyle w:val="Bibliography"/>
      </w:pPr>
      <w:bookmarkStart w:id="82" w:name="ref-hofmanMiradasDivergentesPara2011"/>
      <w:bookmarkEnd w:id="81"/>
      <w:r>
        <w:t xml:space="preserve">Hofman, V. (2011). Miradas divergentes para la construcción de la memoria del artedigital. In </w:t>
      </w:r>
      <w:r>
        <w:rPr>
          <w:i/>
          <w:iCs/>
        </w:rPr>
        <w:t>Hipermedula.org</w:t>
      </w:r>
      <w:r>
        <w:t>.</w:t>
      </w:r>
    </w:p>
    <w:p w14:paraId="61AACE29" w14:textId="77777777" w:rsidR="00D96A54" w:rsidRDefault="00000000">
      <w:pPr>
        <w:pStyle w:val="Bibliography"/>
      </w:pPr>
      <w:bookmarkStart w:id="83" w:name="X69f6a8ab513915afa14040077ad6399378f2a8e"/>
      <w:bookmarkEnd w:id="82"/>
      <w:r>
        <w:t xml:space="preserve">Hofman, V., &amp; Rozo, C. (Eds.). (2009). </w:t>
      </w:r>
      <w:r>
        <w:rPr>
          <w:i/>
          <w:iCs/>
        </w:rPr>
        <w:t>Conservación del Arte Electrónico: Qué preservar y cómo preservarlo?</w:t>
      </w:r>
    </w:p>
    <w:p w14:paraId="70B3D914" w14:textId="77777777" w:rsidR="00D96A54" w:rsidRDefault="00000000">
      <w:pPr>
        <w:pStyle w:val="Bibliography"/>
      </w:pPr>
      <w:bookmarkStart w:id="84" w:name="ref-InternetArchiveIA"/>
      <w:bookmarkEnd w:id="83"/>
      <w:r>
        <w:rPr>
          <w:i/>
          <w:iCs/>
        </w:rPr>
        <w:t>Internet Archive: About IA</w:t>
      </w:r>
      <w:r>
        <w:t>. (n.d.). https://archive.org/about/.</w:t>
      </w:r>
    </w:p>
    <w:p w14:paraId="3E9BBA78" w14:textId="77777777" w:rsidR="00D96A54" w:rsidRDefault="00000000">
      <w:pPr>
        <w:pStyle w:val="Bibliography"/>
      </w:pPr>
      <w:bookmarkStart w:id="85" w:name="ref-JohnWhitneyAnimator2023"/>
      <w:bookmarkEnd w:id="84"/>
      <w:r>
        <w:t xml:space="preserve">John Whitney (animator). (2023). </w:t>
      </w:r>
      <w:r>
        <w:rPr>
          <w:i/>
          <w:iCs/>
        </w:rPr>
        <w:t>Wikipedia</w:t>
      </w:r>
      <w:r>
        <w:t>.</w:t>
      </w:r>
    </w:p>
    <w:p w14:paraId="774D5E23" w14:textId="77777777" w:rsidR="00D96A54" w:rsidRDefault="00000000">
      <w:pPr>
        <w:pStyle w:val="Bibliography"/>
      </w:pPr>
      <w:bookmarkStart w:id="86" w:name="ref-lampertResultsYouCan2006"/>
      <w:bookmarkEnd w:id="85"/>
      <w:r>
        <w:t xml:space="preserve">Lampert, Andrew. (2006). </w:t>
      </w:r>
      <w:r>
        <w:rPr>
          <w:i/>
          <w:iCs/>
        </w:rPr>
        <w:t>Results you can’t refuse : celebrating 30 years of BB Optics</w:t>
      </w:r>
      <w:r>
        <w:t>. Anthology Film Archives.</w:t>
      </w:r>
    </w:p>
    <w:p w14:paraId="6E216F08" w14:textId="77777777" w:rsidR="00D96A54" w:rsidRDefault="00000000">
      <w:pPr>
        <w:pStyle w:val="Bibliography"/>
      </w:pPr>
      <w:bookmarkStart w:id="87" w:name="ref-lowenthalMaterialPreservationIts1989"/>
      <w:bookmarkEnd w:id="86"/>
      <w:r>
        <w:t xml:space="preserve">Lowenthal, D. (1989). Material Preservation and Its Alternatives. </w:t>
      </w:r>
      <w:r>
        <w:rPr>
          <w:i/>
          <w:iCs/>
        </w:rPr>
        <w:t>Perspecta</w:t>
      </w:r>
      <w:r>
        <w:t xml:space="preserve">, </w:t>
      </w:r>
      <w:r>
        <w:rPr>
          <w:i/>
          <w:iCs/>
        </w:rPr>
        <w:t>25</w:t>
      </w:r>
      <w:r>
        <w:t xml:space="preserve">, 67–77. </w:t>
      </w:r>
      <w:hyperlink r:id="rId44">
        <w:r>
          <w:rPr>
            <w:rStyle w:val="Hyperlink"/>
          </w:rPr>
          <w:t>https://doi.org/10.2307/1567139</w:t>
        </w:r>
      </w:hyperlink>
    </w:p>
    <w:p w14:paraId="13AD6BBD" w14:textId="77777777" w:rsidR="00D96A54" w:rsidRDefault="00000000">
      <w:pPr>
        <w:pStyle w:val="Bibliography"/>
      </w:pPr>
      <w:bookmarkStart w:id="88" w:name="ref-mackernNETARTLATINODATABASE2008"/>
      <w:bookmarkEnd w:id="87"/>
      <w:r>
        <w:t xml:space="preserve">Mackern, B. (2008). NETART LATINO "DATABASE". In </w:t>
      </w:r>
      <w:r>
        <w:rPr>
          <w:i/>
          <w:iCs/>
        </w:rPr>
        <w:t>Netart latino database</w:t>
      </w:r>
      <w:r>
        <w:t xml:space="preserve"> (pp. 152–161).</w:t>
      </w:r>
    </w:p>
    <w:p w14:paraId="7F0ADF70" w14:textId="77777777" w:rsidR="00D96A54" w:rsidRDefault="00000000">
      <w:pPr>
        <w:pStyle w:val="Bibliography"/>
      </w:pPr>
      <w:bookmarkStart w:id="89" w:name="ref-MEIACMuseoExtremeno"/>
      <w:bookmarkEnd w:id="88"/>
      <w:r>
        <w:rPr>
          <w:i/>
          <w:iCs/>
        </w:rPr>
        <w:t>MEIAC - Museo Extremeño e Iberoamericano de Arte Contemporáneo</w:t>
      </w:r>
      <w:r>
        <w:t>. (n.d.). http://www.meiac.es/detail.php?m1=4&amp;m2=0&amp;exh=26.</w:t>
      </w:r>
    </w:p>
    <w:p w14:paraId="5F2ACB37" w14:textId="77777777" w:rsidR="00D96A54" w:rsidRDefault="00000000">
      <w:pPr>
        <w:pStyle w:val="Bibliography"/>
      </w:pPr>
      <w:bookmarkStart w:id="90" w:name="X53b72672bf47a61941fbe2ac86cdfe8a756f631"/>
      <w:bookmarkEnd w:id="89"/>
      <w:r>
        <w:lastRenderedPageBreak/>
        <w:t xml:space="preserve">Morales, L. G. (2019). </w:t>
      </w:r>
      <w:r>
        <w:rPr>
          <w:i/>
          <w:iCs/>
        </w:rPr>
        <w:t>Teoría de la conservación evolutiva: Conservación y restauración del arte de los nuevos medios</w:t>
      </w:r>
      <w:r>
        <w:t>. BoD - Books on Demand.</w:t>
      </w:r>
    </w:p>
    <w:p w14:paraId="07C2DCD1" w14:textId="77777777" w:rsidR="00D96A54" w:rsidRDefault="00000000">
      <w:pPr>
        <w:pStyle w:val="Bibliography"/>
      </w:pPr>
      <w:bookmarkStart w:id="91" w:name="ref-PaperPrint2023"/>
      <w:bookmarkEnd w:id="90"/>
      <w:r>
        <w:t xml:space="preserve">Paper print. (2023). </w:t>
      </w:r>
      <w:r>
        <w:rPr>
          <w:i/>
          <w:iCs/>
        </w:rPr>
        <w:t>Wikipedia</w:t>
      </w:r>
      <w:r>
        <w:t>.</w:t>
      </w:r>
    </w:p>
    <w:p w14:paraId="599DFD9D" w14:textId="77777777" w:rsidR="00D96A54" w:rsidRDefault="00000000">
      <w:pPr>
        <w:pStyle w:val="Bibliography"/>
      </w:pPr>
      <w:bookmarkStart w:id="92" w:name="ref-penaMetropolis2011"/>
      <w:bookmarkEnd w:id="91"/>
      <w:r>
        <w:t xml:space="preserve">Peña, F. M. (Fernando. M. (2011). </w:t>
      </w:r>
      <w:r>
        <w:rPr>
          <w:i/>
          <w:iCs/>
        </w:rPr>
        <w:t>Metrópolis</w:t>
      </w:r>
      <w:r>
        <w:t xml:space="preserve"> (1a ed). Fan.</w:t>
      </w:r>
    </w:p>
    <w:p w14:paraId="1D175903" w14:textId="77777777" w:rsidR="00D96A54" w:rsidRDefault="00000000">
      <w:pPr>
        <w:pStyle w:val="Bibliography"/>
      </w:pPr>
      <w:bookmarkStart w:id="93" w:name="ref-pierceSurvivalAmericanSilent2013"/>
      <w:bookmarkEnd w:id="92"/>
      <w:r>
        <w:t xml:space="preserve">Pierce, D. (2013). </w:t>
      </w:r>
      <w:r>
        <w:rPr>
          <w:i/>
          <w:iCs/>
        </w:rPr>
        <w:t>The survival of American silent feature films, 1912-1929</w:t>
      </w:r>
      <w:r>
        <w:t>. Council on Library and Information Resources and The Library of Congress.</w:t>
      </w:r>
    </w:p>
    <w:p w14:paraId="23BE8DED" w14:textId="77777777" w:rsidR="00D96A54" w:rsidRDefault="00000000">
      <w:pPr>
        <w:pStyle w:val="Bibliography"/>
      </w:pPr>
      <w:bookmarkStart w:id="94" w:name="ref-readRestorationMotionPicture2000"/>
      <w:bookmarkEnd w:id="93"/>
      <w:r>
        <w:t xml:space="preserve">Read, P., &amp; Meyer, M.-P. (2000). </w:t>
      </w:r>
      <w:r>
        <w:rPr>
          <w:i/>
          <w:iCs/>
        </w:rPr>
        <w:t>Restoration of Motion Picture Film</w:t>
      </w:r>
      <w:r>
        <w:t xml:space="preserve"> (1st Edition 2000).</w:t>
      </w:r>
    </w:p>
    <w:p w14:paraId="60577BA9" w14:textId="77777777" w:rsidR="00D96A54" w:rsidRDefault="00000000">
      <w:pPr>
        <w:pStyle w:val="Bibliography"/>
      </w:pPr>
      <w:bookmarkStart w:id="95" w:name="ref-rewaldJohnHayWhitney1983"/>
      <w:bookmarkEnd w:id="94"/>
      <w:r>
        <w:t xml:space="preserve">Rewald, J., &amp; National Gallery of Art (U.S.). (1983). </w:t>
      </w:r>
      <w:r>
        <w:rPr>
          <w:i/>
          <w:iCs/>
        </w:rPr>
        <w:t>The John Hay Whitney Collection</w:t>
      </w:r>
      <w:r>
        <w:t>. National Gallery of Art.</w:t>
      </w:r>
    </w:p>
    <w:p w14:paraId="172FF5F0" w14:textId="77777777" w:rsidR="00D96A54" w:rsidRDefault="00000000">
      <w:pPr>
        <w:pStyle w:val="Bibliography"/>
      </w:pPr>
      <w:bookmarkStart w:id="96" w:name="ref-rizovApproximately30Movies2022"/>
      <w:bookmarkEnd w:id="95"/>
      <w:r>
        <w:t xml:space="preserve">Rizov, V. (2022a). The (Approximately) 30 Movies of 2021 Shot on 35mm - Filmmaker Magazine. In </w:t>
      </w:r>
      <w:r>
        <w:rPr>
          <w:i/>
          <w:iCs/>
        </w:rPr>
        <w:t>Filmmaker Magazine  Publication with a focus on independent film, offering articles, links, and resources.</w:t>
      </w:r>
    </w:p>
    <w:p w14:paraId="25FAAF1D" w14:textId="77777777" w:rsidR="00D96A54" w:rsidRDefault="00000000">
      <w:pPr>
        <w:pStyle w:val="Bibliography"/>
      </w:pPr>
      <w:bookmarkStart w:id="97" w:name="ref-rizov24Features20222022"/>
      <w:bookmarkEnd w:id="96"/>
      <w:r>
        <w:t xml:space="preserve">Rizov, V. (2022b). The 24 Features of 2022 Shot on 35mm - Filmmaker Magazine. In </w:t>
      </w:r>
      <w:r>
        <w:rPr>
          <w:i/>
          <w:iCs/>
        </w:rPr>
        <w:t>Filmmaker Magazine  Publication with a focus on independent film, offering articles, links, and resources.</w:t>
      </w:r>
    </w:p>
    <w:p w14:paraId="1D1CA47C" w14:textId="77777777" w:rsidR="00D96A54" w:rsidRDefault="00000000">
      <w:pPr>
        <w:pStyle w:val="Bibliography"/>
      </w:pPr>
      <w:bookmarkStart w:id="98" w:name="ref-rizov29FeaturesShot2023"/>
      <w:bookmarkEnd w:id="97"/>
      <w:r>
        <w:t xml:space="preserve">Rizov, V. (2023). The 29 Features Shot, In Whole or In Part, on 35mm in U.S. Release Year 2023 - Filmmaker Magazine. In </w:t>
      </w:r>
      <w:r>
        <w:rPr>
          <w:i/>
          <w:iCs/>
        </w:rPr>
        <w:t>Filmmaker Magazine  Publication with a focus on independent film, offering articles, links, and resources.</w:t>
      </w:r>
    </w:p>
    <w:p w14:paraId="6EDEDE52" w14:textId="77777777" w:rsidR="00D96A54" w:rsidRDefault="00000000">
      <w:pPr>
        <w:pStyle w:val="Bibliography"/>
      </w:pPr>
      <w:bookmarkStart w:id="99" w:name="ref-rourkeDoctrineSimilarGIF2012"/>
      <w:bookmarkEnd w:id="98"/>
      <w:r>
        <w:t xml:space="preserve">Rourke, D. (2012). The Doctrine of the Similar (GIF GIF GIF). </w:t>
      </w:r>
      <w:r>
        <w:rPr>
          <w:i/>
          <w:iCs/>
        </w:rPr>
        <w:t>Dandelion</w:t>
      </w:r>
      <w:r>
        <w:t>.</w:t>
      </w:r>
    </w:p>
    <w:p w14:paraId="7703CF3F" w14:textId="77777777" w:rsidR="00D96A54" w:rsidRDefault="00000000">
      <w:pPr>
        <w:pStyle w:val="Bibliography"/>
      </w:pPr>
      <w:bookmarkStart w:id="100" w:name="X11d877408cd83472dea318f23c397e43e49c41c"/>
      <w:bookmarkEnd w:id="99"/>
      <w:r>
        <w:t xml:space="preserve">Sandusky, S. (1992). The Archaeology of Redemption: Toward Archival Film. </w:t>
      </w:r>
      <w:r>
        <w:rPr>
          <w:i/>
          <w:iCs/>
        </w:rPr>
        <w:t>Millennium Film Journal</w:t>
      </w:r>
      <w:r>
        <w:t xml:space="preserve">, </w:t>
      </w:r>
      <w:r>
        <w:rPr>
          <w:i/>
          <w:iCs/>
        </w:rPr>
        <w:t>26 “Archaeologies”</w:t>
      </w:r>
      <w:r>
        <w:t>, 2–25.</w:t>
      </w:r>
    </w:p>
    <w:p w14:paraId="68328D9C" w14:textId="77777777" w:rsidR="00D96A54" w:rsidRDefault="00000000">
      <w:pPr>
        <w:pStyle w:val="Bibliography"/>
      </w:pPr>
      <w:bookmarkStart w:id="101" w:name="ref-steyerlDefensaImagenPobre2014"/>
      <w:bookmarkEnd w:id="100"/>
      <w:r>
        <w:t xml:space="preserve">Steyerl, H. (2014). En defensa de la imágen pobre. In </w:t>
      </w:r>
      <w:r>
        <w:rPr>
          <w:i/>
          <w:iCs/>
        </w:rPr>
        <w:t>Los condenados de la pantalla</w:t>
      </w:r>
      <w:r>
        <w:t>. Caja Negra.</w:t>
      </w:r>
    </w:p>
    <w:p w14:paraId="766F7EE6" w14:textId="77777777" w:rsidR="00D96A54" w:rsidRDefault="00000000">
      <w:pPr>
        <w:pStyle w:val="Bibliography"/>
      </w:pPr>
      <w:bookmarkStart w:id="102" w:name="ref-musilliFilmArtJohn1974"/>
      <w:bookmarkEnd w:id="101"/>
      <w:r>
        <w:rPr>
          <w:i/>
          <w:iCs/>
        </w:rPr>
        <w:t>The film art of John Whitney, Sr.</w:t>
      </w:r>
      <w:r>
        <w:t xml:space="preserve"> (1974). Creative Arts Television.</w:t>
      </w:r>
    </w:p>
    <w:p w14:paraId="2E64269B" w14:textId="77777777" w:rsidR="00D96A54" w:rsidRDefault="00000000">
      <w:pPr>
        <w:pStyle w:val="Bibliography"/>
      </w:pPr>
      <w:bookmarkStart w:id="103" w:name="ref-valyi-nagyHOLODossierVera2022"/>
      <w:bookmarkEnd w:id="102"/>
      <w:r>
        <w:t xml:space="preserve">Valyi-Nagy, Z. (2022). HOLO Dossier: Vera Molnar—Weaving Variations. In </w:t>
      </w:r>
      <w:r>
        <w:rPr>
          <w:i/>
          <w:iCs/>
        </w:rPr>
        <w:t>HOLO</w:t>
      </w:r>
      <w:r>
        <w:t>.</w:t>
      </w:r>
    </w:p>
    <w:p w14:paraId="5329D542" w14:textId="77777777" w:rsidR="00D96A54" w:rsidRDefault="00000000">
      <w:pPr>
        <w:pStyle w:val="Bibliography"/>
      </w:pPr>
      <w:bookmarkStart w:id="104" w:name="Xfa0f02365c56409f290604f9f5e9e92be238ab9"/>
      <w:bookmarkEnd w:id="103"/>
      <w:r>
        <w:lastRenderedPageBreak/>
        <w:t xml:space="preserve">Varela, L. (2019). Testimonios del nitrato: La reducción de la colección Peña Rodríguez. In </w:t>
      </w:r>
      <w:r>
        <w:rPr>
          <w:i/>
          <w:iCs/>
        </w:rPr>
        <w:t>Nitrato argentino, una historia del cine de los primeros tiempos</w:t>
      </w:r>
      <w:r>
        <w:t>. Museo del Cine Pablo Ducros Hicken.</w:t>
      </w:r>
    </w:p>
    <w:p w14:paraId="06E733B9" w14:textId="77777777" w:rsidR="00D96A54" w:rsidRDefault="00000000">
      <w:pPr>
        <w:pStyle w:val="Bibliography"/>
      </w:pPr>
      <w:bookmarkStart w:id="105" w:name="ref-vazquezEduardoCavanaghMuchacho1939"/>
      <w:bookmarkEnd w:id="104"/>
      <w:r>
        <w:t xml:space="preserve">Vázquez, J. M. (1939). Eduardo Cavanagh, el muchacho argentino que fue en el Henrietta, está de vuelta. </w:t>
      </w:r>
      <w:r>
        <w:rPr>
          <w:i/>
          <w:iCs/>
        </w:rPr>
        <w:t>El Gráfico</w:t>
      </w:r>
      <w:r>
        <w:t xml:space="preserve">, </w:t>
      </w:r>
      <w:r>
        <w:rPr>
          <w:i/>
          <w:iCs/>
        </w:rPr>
        <w:t>1040</w:t>
      </w:r>
      <w:r>
        <w:t>.</w:t>
      </w:r>
    </w:p>
    <w:p w14:paraId="6EB80583" w14:textId="77777777" w:rsidR="00D96A54" w:rsidRDefault="00000000">
      <w:pPr>
        <w:pStyle w:val="Bibliography"/>
      </w:pPr>
      <w:bookmarkStart w:id="106" w:name="ref-whitneyDigitalHarmony1980"/>
      <w:bookmarkEnd w:id="105"/>
      <w:r>
        <w:t xml:space="preserve">Whitney, J. (1980). </w:t>
      </w:r>
      <w:r>
        <w:rPr>
          <w:i/>
          <w:iCs/>
        </w:rPr>
        <w:t>Digital harmony</w:t>
      </w:r>
      <w:r>
        <w:t>. Byte Books Peterborough, NH.</w:t>
      </w:r>
    </w:p>
    <w:p w14:paraId="24B87378" w14:textId="77777777" w:rsidR="00D96A54" w:rsidRDefault="00000000">
      <w:pPr>
        <w:pStyle w:val="Bibliography"/>
      </w:pPr>
      <w:bookmarkStart w:id="107" w:name="ref-WhyDuneWas2021"/>
      <w:bookmarkEnd w:id="106"/>
      <w:r>
        <w:t xml:space="preserve">Why ’Dune’ Was Shot on Digital, Transferred to 35mm, Then Scanned to Digital. (2021). In </w:t>
      </w:r>
      <w:r>
        <w:rPr>
          <w:i/>
          <w:iCs/>
        </w:rPr>
        <w:t>No Film School</w:t>
      </w:r>
      <w:r>
        <w:t>. https://nofilmschool.com/Dune-Digital-Film-Process.</w:t>
      </w:r>
      <w:bookmarkEnd w:id="61"/>
      <w:bookmarkEnd w:id="64"/>
      <w:bookmarkEnd w:id="107"/>
    </w:p>
    <w:sectPr w:rsidR="00D96A54" w:rsidSect="00A24952">
      <w:pgSz w:w="11906" w:h="16838"/>
      <w:pgMar w:top="1418" w:right="1418" w:bottom="1418" w:left="141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B0C645" w14:textId="77777777" w:rsidR="00A24952" w:rsidRDefault="00A24952">
      <w:pPr>
        <w:spacing w:after="0"/>
      </w:pPr>
      <w:r>
        <w:separator/>
      </w:r>
    </w:p>
  </w:endnote>
  <w:endnote w:type="continuationSeparator" w:id="0">
    <w:p w14:paraId="21E707CC" w14:textId="77777777" w:rsidR="00A24952" w:rsidRDefault="00A2495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9E672E" w14:textId="77777777" w:rsidR="00A24952" w:rsidRDefault="00A24952">
      <w:r>
        <w:separator/>
      </w:r>
    </w:p>
  </w:footnote>
  <w:footnote w:type="continuationSeparator" w:id="0">
    <w:p w14:paraId="7E8A9ED1" w14:textId="77777777" w:rsidR="00A24952" w:rsidRDefault="00A24952">
      <w:r>
        <w:continuationSeparator/>
      </w:r>
    </w:p>
  </w:footnote>
  <w:footnote w:id="1">
    <w:p w14:paraId="1F59CE41" w14:textId="77777777" w:rsidR="00D96A54" w:rsidRDefault="00000000">
      <w:pPr>
        <w:pStyle w:val="FootnoteText"/>
      </w:pPr>
      <w:r>
        <w:rPr>
          <w:rStyle w:val="FootnoteReference"/>
        </w:rPr>
        <w:footnoteRef/>
      </w:r>
      <w:r>
        <w:t xml:space="preserve"> Ver más en https://javierdeazkue.ar/henrietta</w:t>
      </w:r>
    </w:p>
  </w:footnote>
  <w:footnote w:id="2">
    <w:p w14:paraId="534A5014" w14:textId="77777777" w:rsidR="00D96A54" w:rsidRDefault="00000000">
      <w:pPr>
        <w:pStyle w:val="FootnoteText"/>
      </w:pPr>
      <w:r>
        <w:rPr>
          <w:rStyle w:val="FootnoteReference"/>
        </w:rPr>
        <w:footnoteRef/>
      </w:r>
      <w:r>
        <w:t xml:space="preserve"> Ver más en https://javierdeazkue.ar/themoreyouconnect</w:t>
      </w:r>
    </w:p>
  </w:footnote>
  <w:footnote w:id="3">
    <w:p w14:paraId="64EEFF82" w14:textId="77777777" w:rsidR="00D96A54" w:rsidRDefault="00000000">
      <w:pPr>
        <w:pStyle w:val="FootnoteText"/>
      </w:pPr>
      <w:r>
        <w:rPr>
          <w:rStyle w:val="FootnoteReference"/>
        </w:rPr>
        <w:footnoteRef/>
      </w:r>
      <w:r>
        <w:t xml:space="preserve"> Ver https://tequebellota.wordpress.com/ruta-del-henrietta/</w:t>
      </w:r>
    </w:p>
  </w:footnote>
  <w:footnote w:id="4">
    <w:p w14:paraId="3FCCFBD0" w14:textId="77777777" w:rsidR="00D96A54" w:rsidRDefault="00000000">
      <w:pPr>
        <w:pStyle w:val="FootnoteText"/>
      </w:pPr>
      <w:r>
        <w:rPr>
          <w:rStyle w:val="FootnoteReference"/>
        </w:rPr>
        <w:footnoteRef/>
      </w:r>
      <w:r>
        <w:t xml:space="preserve"> Ver https://vimeo.com/22015773</w:t>
      </w:r>
    </w:p>
  </w:footnote>
  <w:footnote w:id="5">
    <w:p w14:paraId="35E52F62" w14:textId="77777777" w:rsidR="00D96A54" w:rsidRDefault="00000000">
      <w:pPr>
        <w:pStyle w:val="FootnoteText"/>
      </w:pPr>
      <w:r>
        <w:rPr>
          <w:rStyle w:val="FootnoteReference"/>
        </w:rPr>
        <w:footnoteRef/>
      </w:r>
      <w:r>
        <w:t xml:space="preserve"> 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6">
    <w:p w14:paraId="34578DC1" w14:textId="77777777" w:rsidR="00D96A54" w:rsidRDefault="00000000">
      <w:pPr>
        <w:pStyle w:val="FootnoteText"/>
      </w:pPr>
      <w:r>
        <w:rPr>
          <w:rStyle w:val="FootnoteReference"/>
        </w:rPr>
        <w:footnoteRef/>
      </w:r>
      <w:r>
        <w:t xml:space="preserve"> Ver https://westbeth.org//about/history/</w:t>
      </w:r>
    </w:p>
  </w:footnote>
  <w:footnote w:id="7">
    <w:p w14:paraId="1DE60613" w14:textId="77777777" w:rsidR="00D96A54" w:rsidRDefault="00000000">
      <w:pPr>
        <w:pStyle w:val="FootnoteText"/>
      </w:pPr>
      <w:r>
        <w:rPr>
          <w:rStyle w:val="FootnoteReference"/>
        </w:rPr>
        <w:footnoteRef/>
      </w:r>
      <w:r>
        <w:t xml:space="preserve"> Ver ejemplo https://vimeo.com/376739351</w:t>
      </w:r>
    </w:p>
  </w:footnote>
  <w:footnote w:id="8">
    <w:p w14:paraId="1C83BC07" w14:textId="77777777" w:rsidR="00D96A54" w:rsidRDefault="00000000">
      <w:pPr>
        <w:pStyle w:val="FootnoteText"/>
      </w:pPr>
      <w:r>
        <w:rPr>
          <w:rStyle w:val="FootnoteReference"/>
        </w:rPr>
        <w:footnoteRef/>
      </w:r>
      <w:r>
        <w:t xml:space="preserve"> Ver apartado de Bill Brand</w:t>
      </w:r>
    </w:p>
  </w:footnote>
  <w:footnote w:id="9">
    <w:p w14:paraId="04D12A12" w14:textId="77777777" w:rsidR="00D96A54" w:rsidRDefault="00000000">
      <w:pPr>
        <w:pStyle w:val="FootnoteText"/>
      </w:pPr>
      <w:r>
        <w:rPr>
          <w:rStyle w:val="FootnoteReference"/>
        </w:rPr>
        <w:footnoteRef/>
      </w:r>
      <w:r>
        <w:t xml:space="preserve"> El caso más conocido de esta historia es la de Metrópolis, de Fritz Lang: entre la colección de Peña Rodriguez salió a la luz en 2008 una copia 25 minutos más extensa que la versión que se creía más completa en Alemania.</w:t>
      </w:r>
    </w:p>
  </w:footnote>
  <w:footnote w:id="10">
    <w:p w14:paraId="674799A0" w14:textId="77777777" w:rsidR="00D96A54" w:rsidRDefault="00000000">
      <w:pPr>
        <w:pStyle w:val="FootnoteText"/>
      </w:pPr>
      <w:r>
        <w:rPr>
          <w:rStyle w:val="FootnoteReference"/>
        </w:rPr>
        <w:footnoteRef/>
      </w:r>
      <w:r>
        <w:t xml:space="preserve"> El término en inglés “upscaling” refiere a escalar una imagen por encima de su resolución original.</w:t>
      </w:r>
    </w:p>
  </w:footnote>
  <w:footnote w:id="11">
    <w:p w14:paraId="40DD8BF5" w14:textId="77777777" w:rsidR="00D96A54" w:rsidRDefault="00000000">
      <w:pPr>
        <w:pStyle w:val="FootnoteText"/>
      </w:pPr>
      <w:r>
        <w:rPr>
          <w:rStyle w:val="FootnoteReference"/>
        </w:rPr>
        <w:footnoteRef/>
      </w:r>
      <w:r>
        <w:t xml:space="preserve"> </w:t>
      </w:r>
      <w:r>
        <w:rPr>
          <w:i/>
          <w:iCs/>
        </w:rPr>
        <w:t>Piql. Piql - Data Regeneration.</w:t>
      </w:r>
      <w:r>
        <w:t xml:space="preserve"> 2021. </w:t>
      </w:r>
      <w:r>
        <w:rPr>
          <w:i/>
          <w:iCs/>
        </w:rPr>
        <w:t>Vimeo</w:t>
      </w:r>
      <w:r>
        <w:t>, https://vimeo.com/516428662</w:t>
      </w:r>
    </w:p>
  </w:footnote>
  <w:footnote w:id="12">
    <w:p w14:paraId="0E4F0103" w14:textId="77777777" w:rsidR="00D96A54" w:rsidRDefault="00000000">
      <w:pPr>
        <w:pStyle w:val="FootnoteText"/>
      </w:pPr>
      <w:r>
        <w:rPr>
          <w:rStyle w:val="FootnoteReference"/>
        </w:rPr>
        <w:footnoteRef/>
      </w:r>
      <w:r>
        <w:t xml:space="preserve"> Ver variablemediaquestionnaire.net</w:t>
      </w:r>
    </w:p>
  </w:footnote>
  <w:footnote w:id="13">
    <w:p w14:paraId="07E67CC0" w14:textId="77777777" w:rsidR="00D96A54" w:rsidRDefault="00000000">
      <w:pPr>
        <w:pStyle w:val="FootnoteText"/>
      </w:pPr>
      <w:r>
        <w:rPr>
          <w:rStyle w:val="FootnoteReference"/>
        </w:rPr>
        <w:footnoteRef/>
      </w:r>
      <w:r>
        <w:t xml:space="preserve"> Ver moma.org/research/conservation/matters-in-media-art</w:t>
      </w:r>
    </w:p>
  </w:footnote>
  <w:footnote w:id="14">
    <w:p w14:paraId="304C8F1E" w14:textId="77777777" w:rsidR="00D96A54" w:rsidRDefault="00000000">
      <w:pPr>
        <w:pStyle w:val="FootnoteText"/>
      </w:pPr>
      <w:r>
        <w:rPr>
          <w:rStyle w:val="FootnoteReference"/>
        </w:rPr>
        <w:footnoteRef/>
      </w:r>
      <w:r>
        <w:t xml:space="preserve"> Ver https://www.aslongaspossible.com/</w:t>
      </w:r>
    </w:p>
  </w:footnote>
  <w:footnote w:id="15">
    <w:p w14:paraId="041B42AD" w14:textId="77777777" w:rsidR="00D96A54" w:rsidRDefault="00000000">
      <w:pPr>
        <w:pStyle w:val="FootnoteText"/>
      </w:pPr>
      <w:r>
        <w:rPr>
          <w:rStyle w:val="FootnoteReference"/>
        </w:rPr>
        <w:footnoteRef/>
      </w:r>
      <w:r>
        <w:t xml:space="preserve"> Ver registro: https://youtu.be/Ymcq9Ykm_YE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D0106AF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4036C76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420218241">
    <w:abstractNumId w:val="0"/>
  </w:num>
  <w:num w:numId="2" w16cid:durableId="1984311231">
    <w:abstractNumId w:val="0"/>
  </w:num>
  <w:num w:numId="3" w16cid:durableId="1709262548">
    <w:abstractNumId w:val="0"/>
  </w:num>
  <w:num w:numId="4" w16cid:durableId="1420175826">
    <w:abstractNumId w:val="1"/>
  </w:num>
  <w:num w:numId="5" w16cid:durableId="1473595173">
    <w:abstractNumId w:val="1"/>
  </w:num>
  <w:num w:numId="6" w16cid:durableId="5521548">
    <w:abstractNumId w:val="0"/>
  </w:num>
  <w:num w:numId="7" w16cid:durableId="556279018">
    <w:abstractNumId w:val="0"/>
  </w:num>
  <w:num w:numId="8" w16cid:durableId="13965582">
    <w:abstractNumId w:val="0"/>
  </w:num>
  <w:num w:numId="9" w16cid:durableId="1682732298">
    <w:abstractNumId w:val="0"/>
  </w:num>
  <w:num w:numId="10" w16cid:durableId="1830904261">
    <w:abstractNumId w:val="0"/>
  </w:num>
  <w:num w:numId="11" w16cid:durableId="1422142281">
    <w:abstractNumId w:val="0"/>
  </w:num>
  <w:num w:numId="12" w16cid:durableId="992492417">
    <w:abstractNumId w:val="0"/>
  </w:num>
  <w:num w:numId="13" w16cid:durableId="1355115148">
    <w:abstractNumId w:val="0"/>
  </w:num>
  <w:num w:numId="14" w16cid:durableId="212280757">
    <w:abstractNumId w:val="0"/>
  </w:num>
  <w:num w:numId="15" w16cid:durableId="1462961269">
    <w:abstractNumId w:val="0"/>
  </w:num>
  <w:num w:numId="16" w16cid:durableId="380980931">
    <w:abstractNumId w:val="0"/>
  </w:num>
  <w:num w:numId="17" w16cid:durableId="2071227182">
    <w:abstractNumId w:val="0"/>
  </w:num>
  <w:num w:numId="18" w16cid:durableId="1870416256">
    <w:abstractNumId w:val="0"/>
  </w:num>
  <w:num w:numId="19" w16cid:durableId="278755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081790"/>
    <w:rsid w:val="00085AE1"/>
    <w:rsid w:val="000B49CA"/>
    <w:rsid w:val="0010050C"/>
    <w:rsid w:val="001B0533"/>
    <w:rsid w:val="001B593B"/>
    <w:rsid w:val="001E54F9"/>
    <w:rsid w:val="002706EA"/>
    <w:rsid w:val="00271E79"/>
    <w:rsid w:val="002B1C89"/>
    <w:rsid w:val="002C6B38"/>
    <w:rsid w:val="003A6E1E"/>
    <w:rsid w:val="00412BB9"/>
    <w:rsid w:val="004160B7"/>
    <w:rsid w:val="004346FB"/>
    <w:rsid w:val="004371F4"/>
    <w:rsid w:val="004612A6"/>
    <w:rsid w:val="00527F51"/>
    <w:rsid w:val="00534C4F"/>
    <w:rsid w:val="00552062"/>
    <w:rsid w:val="005E724E"/>
    <w:rsid w:val="00653575"/>
    <w:rsid w:val="006718C7"/>
    <w:rsid w:val="00696DE1"/>
    <w:rsid w:val="006A1FE8"/>
    <w:rsid w:val="006D4543"/>
    <w:rsid w:val="006F4091"/>
    <w:rsid w:val="0071180C"/>
    <w:rsid w:val="00725F48"/>
    <w:rsid w:val="0076037C"/>
    <w:rsid w:val="00791507"/>
    <w:rsid w:val="00850CFB"/>
    <w:rsid w:val="008E1B02"/>
    <w:rsid w:val="008F5D69"/>
    <w:rsid w:val="00910289"/>
    <w:rsid w:val="009971EC"/>
    <w:rsid w:val="009F25F9"/>
    <w:rsid w:val="00A16657"/>
    <w:rsid w:val="00A17B18"/>
    <w:rsid w:val="00A24952"/>
    <w:rsid w:val="00A24B11"/>
    <w:rsid w:val="00A466F9"/>
    <w:rsid w:val="00A7646E"/>
    <w:rsid w:val="00AB4412"/>
    <w:rsid w:val="00AE5D74"/>
    <w:rsid w:val="00B1117C"/>
    <w:rsid w:val="00B24888"/>
    <w:rsid w:val="00B71D43"/>
    <w:rsid w:val="00BB4AF4"/>
    <w:rsid w:val="00C42C6D"/>
    <w:rsid w:val="00C445C3"/>
    <w:rsid w:val="00CA6869"/>
    <w:rsid w:val="00CB5839"/>
    <w:rsid w:val="00CD61B3"/>
    <w:rsid w:val="00CF29B8"/>
    <w:rsid w:val="00D37E73"/>
    <w:rsid w:val="00D51431"/>
    <w:rsid w:val="00D7136C"/>
    <w:rsid w:val="00D955D0"/>
    <w:rsid w:val="00D96A54"/>
    <w:rsid w:val="00DD311B"/>
    <w:rsid w:val="00E53FDC"/>
    <w:rsid w:val="00EC3113"/>
    <w:rsid w:val="00EE202D"/>
    <w:rsid w:val="00F03BC7"/>
    <w:rsid w:val="00FE2B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675C1"/>
  <w15:docId w15:val="{6BD1C376-26FB-414F-9691-80975516B1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271E79"/>
    <w:pPr>
      <w:keepNext/>
      <w:keepLines/>
      <w:pageBreakBefore/>
      <w:spacing w:before="480" w:after="0" w:line="360" w:lineRule="auto"/>
      <w:outlineLvl w:val="0"/>
    </w:pPr>
    <w:rPr>
      <w:rFonts w:ascii="Arial" w:eastAsiaTheme="majorEastAsia" w:hAnsi="Arial" w:cs="Arial"/>
      <w:b/>
      <w:bCs/>
      <w:sz w:val="36"/>
      <w:szCs w:val="32"/>
    </w:rPr>
  </w:style>
  <w:style w:type="paragraph" w:styleId="Heading2">
    <w:name w:val="heading 2"/>
    <w:basedOn w:val="Normal"/>
    <w:next w:val="BodyText"/>
    <w:uiPriority w:val="9"/>
    <w:unhideWhenUsed/>
    <w:qFormat/>
    <w:rsid w:val="00271E79"/>
    <w:pPr>
      <w:keepNext/>
      <w:keepLines/>
      <w:pageBreakBefore/>
      <w:spacing w:before="200" w:after="0" w:line="360" w:lineRule="auto"/>
      <w:outlineLvl w:val="1"/>
    </w:pPr>
    <w:rPr>
      <w:rFonts w:ascii="Arial" w:eastAsiaTheme="majorEastAsia" w:hAnsi="Arial" w:cs="Arial"/>
      <w:b/>
      <w:bCs/>
      <w:sz w:val="32"/>
      <w:szCs w:val="28"/>
    </w:rPr>
  </w:style>
  <w:style w:type="paragraph" w:styleId="Heading3">
    <w:name w:val="heading 3"/>
    <w:basedOn w:val="Heading2"/>
    <w:next w:val="BodyText"/>
    <w:uiPriority w:val="9"/>
    <w:unhideWhenUsed/>
    <w:qFormat/>
    <w:rsid w:val="00271E79"/>
    <w:pPr>
      <w:pageBreakBefore w:val="0"/>
      <w:spacing w:before="400" w:after="400" w:line="240" w:lineRule="auto"/>
      <w:outlineLvl w:val="2"/>
    </w:pPr>
    <w:rPr>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8F5D69"/>
    <w:pPr>
      <w:spacing w:before="180" w:after="180" w:line="360" w:lineRule="auto"/>
    </w:pPr>
    <w:rPr>
      <w:rFonts w:ascii="Arial" w:hAnsi="Arial" w:cs="Arial"/>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8F5D69"/>
    <w:pPr>
      <w:keepNext/>
      <w:keepLines/>
      <w:spacing w:before="480" w:after="240" w:line="360" w:lineRule="auto"/>
      <w:jc w:val="center"/>
    </w:pPr>
    <w:rPr>
      <w:rFonts w:ascii="Arial" w:eastAsiaTheme="majorEastAsia" w:hAnsi="Arial" w:cs="Arial"/>
      <w:b/>
      <w:bCs/>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8F5D69"/>
    <w:pPr>
      <w:keepNext/>
      <w:keepLines/>
      <w:spacing w:line="360" w:lineRule="auto"/>
      <w:jc w:val="center"/>
    </w:pPr>
    <w:rPr>
      <w:rFonts w:ascii="Arial" w:hAnsi="Arial" w:cs="Arial"/>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rsid w:val="008F5D69"/>
    <w:pPr>
      <w:spacing w:line="360" w:lineRule="auto"/>
    </w:pPr>
    <w:rPr>
      <w:rFonts w:ascii="Arial" w:hAnsi="Arial" w:cs="Arial"/>
    </w:rPr>
  </w:style>
  <w:style w:type="paragraph" w:styleId="BlockText">
    <w:name w:val="Block Text"/>
    <w:basedOn w:val="BodyText"/>
    <w:next w:val="BodyText"/>
    <w:uiPriority w:val="9"/>
    <w:unhideWhenUsed/>
    <w:qFormat/>
    <w:rsid w:val="00CF29B8"/>
    <w:pPr>
      <w:spacing w:before="240" w:after="240"/>
      <w:ind w:left="482" w:right="482"/>
    </w:pPr>
    <w:rPr>
      <w:sz w:val="20"/>
    </w:rPr>
  </w:style>
  <w:style w:type="paragraph" w:styleId="FootnoteText">
    <w:name w:val="footnote text"/>
    <w:basedOn w:val="BlockText"/>
    <w:uiPriority w:val="9"/>
    <w:unhideWhenUsed/>
    <w:qFormat/>
    <w:rsid w:val="0071180C"/>
    <w:pPr>
      <w:ind w:left="0" w:right="0"/>
    </w:pPr>
    <w:rPr>
      <w:szCs w:val="20"/>
    </w:rPr>
  </w:style>
  <w:style w:type="paragraph" w:customStyle="1" w:styleId="FootnoteBlockText">
    <w:name w:val="Footnote Block Text"/>
    <w:basedOn w:val="FootnoteText"/>
    <w:uiPriority w:val="9"/>
    <w:unhideWhenUsed/>
    <w:qFormat/>
    <w:rsid w:val="004371F4"/>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CF29B8"/>
    <w:pPr>
      <w:spacing w:after="480"/>
      <w:jc w:val="center"/>
    </w:pPr>
    <w:rPr>
      <w:rFonts w:ascii="Arial" w:hAnsi="Arial" w:cs="Arial"/>
      <w:i w:val="0"/>
      <w:iCs/>
      <w:sz w:val="20"/>
      <w:szCs w:val="20"/>
    </w:rPr>
  </w:style>
  <w:style w:type="paragraph" w:customStyle="1" w:styleId="Figure">
    <w:name w:val="Figure"/>
    <w:basedOn w:val="Normal"/>
  </w:style>
  <w:style w:type="paragraph" w:customStyle="1" w:styleId="CaptionedFigure">
    <w:name w:val="Captioned Figure"/>
    <w:basedOn w:val="Figure"/>
    <w:rsid w:val="00CF29B8"/>
    <w:pPr>
      <w:keepNext/>
      <w:spacing w:before="360" w:after="120"/>
      <w:jc w:val="center"/>
    </w:pPr>
    <w:rPr>
      <w:rFonts w:ascii="Arial" w:hAnsi="Arial" w:cs="Arial"/>
      <w:noProof/>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sid w:val="00C445C3"/>
    <w:rPr>
      <w:vertAlign w:val="superscript"/>
    </w:rPr>
  </w:style>
  <w:style w:type="character" w:styleId="Hyperlink">
    <w:name w:val="Hyperlink"/>
    <w:basedOn w:val="DefaultParagraphFont"/>
    <w:uiPriority w:val="99"/>
    <w:rsid w:val="00D51431"/>
    <w:rPr>
      <w:color w:val="0432FF"/>
      <w:u w:val="single"/>
    </w:rPr>
  </w:style>
  <w:style w:type="paragraph" w:styleId="TOCHeading">
    <w:name w:val="TOC Heading"/>
    <w:basedOn w:val="Heading1"/>
    <w:next w:val="BodyText"/>
    <w:uiPriority w:val="39"/>
    <w:unhideWhenUsed/>
    <w:qFormat/>
    <w:rsid w:val="00C42C6D"/>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9F25F9"/>
    <w:pPr>
      <w:tabs>
        <w:tab w:val="right" w:leader="dot" w:pos="9350"/>
      </w:tabs>
      <w:spacing w:before="640" w:after="100" w:line="360" w:lineRule="auto"/>
    </w:pPr>
    <w:rPr>
      <w:rFonts w:ascii="Arial" w:hAnsi="Arial" w:cs="Arial"/>
    </w:rPr>
  </w:style>
  <w:style w:type="paragraph" w:styleId="TOC2">
    <w:name w:val="toc 2"/>
    <w:basedOn w:val="Normal"/>
    <w:next w:val="Normal"/>
    <w:autoRedefine/>
    <w:uiPriority w:val="39"/>
    <w:rsid w:val="009F25F9"/>
    <w:pPr>
      <w:tabs>
        <w:tab w:val="right" w:leader="dot" w:pos="9350"/>
      </w:tabs>
      <w:spacing w:after="100" w:line="360" w:lineRule="auto"/>
      <w:ind w:left="567"/>
    </w:pPr>
    <w:rPr>
      <w:rFonts w:ascii="Arial" w:hAnsi="Arial" w:cs="Arial"/>
      <w:noProof/>
    </w:rPr>
  </w:style>
  <w:style w:type="paragraph" w:styleId="Revision">
    <w:name w:val="Revision"/>
    <w:hidden/>
    <w:rsid w:val="00A24B11"/>
    <w:pPr>
      <w:spacing w:after="0"/>
    </w:pPr>
  </w:style>
  <w:style w:type="character" w:styleId="FollowedHyperlink">
    <w:name w:val="FollowedHyperlink"/>
    <w:basedOn w:val="DefaultParagraphFont"/>
    <w:rsid w:val="00D51431"/>
    <w:rPr>
      <w:rFonts w:ascii="Arial" w:hAnsi="Arial"/>
      <w:color w:val="800080" w:themeColor="followedHyperlink"/>
      <w:u w:val="single"/>
    </w:rPr>
  </w:style>
  <w:style w:type="paragraph" w:styleId="TOC3">
    <w:name w:val="toc 3"/>
    <w:basedOn w:val="Normal"/>
    <w:next w:val="Normal"/>
    <w:autoRedefine/>
    <w:uiPriority w:val="39"/>
    <w:rsid w:val="00910289"/>
    <w:pPr>
      <w:spacing w:after="100" w:line="360" w:lineRule="auto"/>
      <w:ind w:left="1134"/>
    </w:pPr>
    <w:rPr>
      <w:rFonts w:ascii="Arial" w:hAnsi="Arial"/>
    </w:rPr>
  </w:style>
  <w:style w:type="character" w:styleId="SmartLink">
    <w:name w:val="Smart Link"/>
    <w:basedOn w:val="Hyperlink"/>
    <w:uiPriority w:val="99"/>
    <w:unhideWhenUsed/>
    <w:rsid w:val="00D51431"/>
    <w:rPr>
      <w:color w:val="0432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pn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yperlink" Target="https://doi.org/10.18682/cdc.vi52.1332"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hyperlink" Target="https://doi.org/10.2307/1567139"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hyperlink" Target="https://doi.org/10.2307/j.ctv8bt181"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theme" Target="theme/theme1.xml"/><Relationship Id="rId20" Type="http://schemas.openxmlformats.org/officeDocument/2006/relationships/image" Target="media/image14.jpg"/><Relationship Id="rId41" Type="http://schemas.openxmlformats.org/officeDocument/2006/relationships/image" Target="media/image3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20667</Words>
  <Characters>117803</Characters>
  <Application>Microsoft Office Word</Application>
  <DocSecurity>0</DocSecurity>
  <Lines>981</Lines>
  <Paragraphs>276</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138194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 Estrategias híbridas de permanencia en obras de arte digital</dc:title>
  <dc:creator>Javier de Azkue</dc:creator>
  <cp:keywords/>
  <cp:lastModifiedBy>Javier de Azkue</cp:lastModifiedBy>
  <cp:revision>3</cp:revision>
  <dcterms:created xsi:type="dcterms:W3CDTF">2024-03-29T13:06:00Z</dcterms:created>
  <dcterms:modified xsi:type="dcterms:W3CDTF">2024-03-29T13:10:00Z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output">
    <vt:lpwstr/>
  </property>
  <property fmtid="{D5CDD505-2E9C-101B-9397-08002B2CF9AE}" pid="5" name="toc-title">
    <vt:lpwstr>Indice</vt:lpwstr>
  </property>
</Properties>
</file>