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4DB3" w14:textId="45E556D1" w:rsidR="00D14766" w:rsidRPr="00D14766" w:rsidRDefault="00D14766" w:rsidP="00D14766">
      <w:pPr>
        <w:pStyle w:val="Caption"/>
        <w:keepNext/>
        <w:jc w:val="both"/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</w:pPr>
      <w:r w:rsidRPr="00D14766">
        <w:rPr>
          <w:rFonts w:asciiTheme="minorHAnsi" w:hAnsiTheme="minorHAnsi" w:cstheme="minorHAnsi"/>
          <w:b/>
          <w:bCs/>
          <w:i w:val="0"/>
          <w:iCs w:val="0"/>
          <w:color w:val="auto"/>
          <w:sz w:val="20"/>
          <w:szCs w:val="20"/>
        </w:rPr>
        <w:t xml:space="preserve">Table </w:t>
      </w:r>
      <w:r w:rsidRPr="00D14766">
        <w:rPr>
          <w:rFonts w:asciiTheme="minorHAnsi" w:hAnsiTheme="minorHAnsi" w:cstheme="minorHAnsi"/>
          <w:b/>
          <w:bCs/>
          <w:i w:val="0"/>
          <w:iCs w:val="0"/>
          <w:color w:val="auto"/>
          <w:sz w:val="20"/>
          <w:szCs w:val="20"/>
        </w:rPr>
        <w:t>1.</w:t>
      </w:r>
      <w:r w:rsidRPr="00D14766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The median fluorescence intensity difference (FID) between no treatment and rifampicin treated cells and the statistical significance were measured using a two-sided t-test.</w:t>
      </w:r>
      <w:r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Median FID was calculated across three biological replicates of ~50 000 cells.</w:t>
      </w:r>
      <w:r w:rsidRPr="00D14766">
        <w:rPr>
          <w:rFonts w:asciiTheme="minorHAnsi" w:hAnsiTheme="minorHAnsi" w:cstheme="minorHAnsi"/>
          <w:i w:val="0"/>
          <w:iCs w:val="0"/>
          <w:color w:val="auto"/>
          <w:sz w:val="20"/>
          <w:szCs w:val="20"/>
        </w:rPr>
        <w:t xml:space="preserve"> P-values were corrected for multiple comparisons using the Bonferroni method; P; * &lt; 0.05, ** &lt; 0.01, *** &lt; 0.001.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624"/>
        <w:gridCol w:w="1623"/>
        <w:gridCol w:w="1445"/>
        <w:gridCol w:w="1222"/>
        <w:gridCol w:w="1456"/>
      </w:tblGrid>
      <w:tr w:rsidR="00D14766" w14:paraId="17403312" w14:textId="77777777" w:rsidTr="00034788">
        <w:tc>
          <w:tcPr>
            <w:tcW w:w="1646" w:type="dxa"/>
          </w:tcPr>
          <w:p w14:paraId="734AA63D" w14:textId="77777777" w:rsidR="00D14766" w:rsidRPr="009B3D9B" w:rsidRDefault="00D14766" w:rsidP="00034788">
            <w:pPr>
              <w:rPr>
                <w:b/>
                <w:bCs/>
              </w:rPr>
            </w:pPr>
            <w:r w:rsidRPr="009B3D9B">
              <w:rPr>
                <w:b/>
                <w:bCs/>
              </w:rPr>
              <w:t>Comparison</w:t>
            </w:r>
          </w:p>
        </w:tc>
        <w:tc>
          <w:tcPr>
            <w:tcW w:w="1624" w:type="dxa"/>
          </w:tcPr>
          <w:p w14:paraId="11D866AD" w14:textId="77777777" w:rsidR="00D14766" w:rsidRPr="009B3D9B" w:rsidRDefault="00D14766" w:rsidP="00034788">
            <w:pPr>
              <w:rPr>
                <w:b/>
                <w:bCs/>
              </w:rPr>
            </w:pPr>
            <w:r w:rsidRPr="009B3D9B">
              <w:rPr>
                <w:b/>
                <w:bCs/>
              </w:rPr>
              <w:t>Treatment</w:t>
            </w:r>
          </w:p>
        </w:tc>
        <w:tc>
          <w:tcPr>
            <w:tcW w:w="1623" w:type="dxa"/>
          </w:tcPr>
          <w:p w14:paraId="35E7BFB5" w14:textId="77777777" w:rsidR="00D14766" w:rsidRPr="009B3D9B" w:rsidRDefault="00D14766" w:rsidP="00034788">
            <w:pPr>
              <w:rPr>
                <w:b/>
                <w:bCs/>
              </w:rPr>
            </w:pPr>
            <w:r w:rsidRPr="009B3D9B">
              <w:rPr>
                <w:b/>
                <w:bCs/>
              </w:rPr>
              <w:t>Growth Phase</w:t>
            </w:r>
          </w:p>
        </w:tc>
        <w:tc>
          <w:tcPr>
            <w:tcW w:w="1445" w:type="dxa"/>
          </w:tcPr>
          <w:p w14:paraId="16B259D3" w14:textId="77777777" w:rsidR="00D14766" w:rsidRPr="009B3D9B" w:rsidRDefault="00D14766" w:rsidP="00034788">
            <w:pPr>
              <w:rPr>
                <w:b/>
                <w:bCs/>
              </w:rPr>
            </w:pPr>
            <w:r w:rsidRPr="009B3D9B">
              <w:rPr>
                <w:b/>
                <w:bCs/>
              </w:rPr>
              <w:t>Median FID</w:t>
            </w:r>
          </w:p>
        </w:tc>
        <w:tc>
          <w:tcPr>
            <w:tcW w:w="1222" w:type="dxa"/>
          </w:tcPr>
          <w:p w14:paraId="532CA9AD" w14:textId="77777777" w:rsidR="00D14766" w:rsidRPr="009B3D9B" w:rsidRDefault="00D14766" w:rsidP="00034788">
            <w:pPr>
              <w:rPr>
                <w:b/>
                <w:bCs/>
              </w:rPr>
            </w:pPr>
            <w:r w:rsidRPr="009B3D9B">
              <w:rPr>
                <w:b/>
                <w:bCs/>
              </w:rPr>
              <w:t>P-value</w:t>
            </w:r>
          </w:p>
        </w:tc>
        <w:tc>
          <w:tcPr>
            <w:tcW w:w="1456" w:type="dxa"/>
          </w:tcPr>
          <w:p w14:paraId="73762A43" w14:textId="77777777" w:rsidR="00D14766" w:rsidRPr="009B3D9B" w:rsidRDefault="00D14766" w:rsidP="00034788">
            <w:pPr>
              <w:rPr>
                <w:b/>
                <w:bCs/>
              </w:rPr>
            </w:pPr>
            <w:r>
              <w:rPr>
                <w:b/>
                <w:bCs/>
              </w:rPr>
              <w:t>Significance codes</w:t>
            </w:r>
          </w:p>
        </w:tc>
      </w:tr>
      <w:tr w:rsidR="00D14766" w14:paraId="6FE4C04F" w14:textId="77777777" w:rsidTr="00034788">
        <w:tc>
          <w:tcPr>
            <w:tcW w:w="1646" w:type="dxa"/>
          </w:tcPr>
          <w:p w14:paraId="14F3EE37" w14:textId="77777777" w:rsidR="00D14766" w:rsidRDefault="00D14766" w:rsidP="00034788">
            <w:r>
              <w:t>∆</w:t>
            </w:r>
            <w:proofErr w:type="spellStart"/>
            <w:r w:rsidRPr="00912F4C">
              <w:rPr>
                <w:i/>
                <w:iCs/>
              </w:rPr>
              <w:t>fabF</w:t>
            </w:r>
            <w:proofErr w:type="spellEnd"/>
            <w:r w:rsidRPr="00912F4C">
              <w:rPr>
                <w:i/>
                <w:iCs/>
              </w:rPr>
              <w:t xml:space="preserve"> </w:t>
            </w:r>
            <w:r>
              <w:t>– WT</w:t>
            </w:r>
          </w:p>
        </w:tc>
        <w:tc>
          <w:tcPr>
            <w:tcW w:w="1624" w:type="dxa"/>
          </w:tcPr>
          <w:p w14:paraId="6D06820E" w14:textId="77777777" w:rsidR="00D14766" w:rsidRDefault="00D14766" w:rsidP="00034788">
            <w:r>
              <w:t>Rifampicin</w:t>
            </w:r>
          </w:p>
        </w:tc>
        <w:tc>
          <w:tcPr>
            <w:tcW w:w="1623" w:type="dxa"/>
          </w:tcPr>
          <w:p w14:paraId="2DB83744" w14:textId="77777777" w:rsidR="00D14766" w:rsidRDefault="00D14766" w:rsidP="00034788">
            <w:r>
              <w:t>Exponential</w:t>
            </w:r>
          </w:p>
        </w:tc>
        <w:tc>
          <w:tcPr>
            <w:tcW w:w="1445" w:type="dxa"/>
          </w:tcPr>
          <w:p w14:paraId="0F2D0000" w14:textId="77777777" w:rsidR="00D14766" w:rsidRDefault="00D14766" w:rsidP="00034788">
            <w:r>
              <w:t>37</w:t>
            </w:r>
          </w:p>
        </w:tc>
        <w:tc>
          <w:tcPr>
            <w:tcW w:w="1222" w:type="dxa"/>
          </w:tcPr>
          <w:p w14:paraId="4C65C0BD" w14:textId="77777777" w:rsidR="00D14766" w:rsidRDefault="00D14766" w:rsidP="00034788">
            <w:r>
              <w:t>1</w:t>
            </w:r>
          </w:p>
        </w:tc>
        <w:tc>
          <w:tcPr>
            <w:tcW w:w="1456" w:type="dxa"/>
          </w:tcPr>
          <w:p w14:paraId="769FEA19" w14:textId="77777777" w:rsidR="00D14766" w:rsidRDefault="00D14766" w:rsidP="00034788">
            <w:r>
              <w:t>NS</w:t>
            </w:r>
          </w:p>
        </w:tc>
      </w:tr>
      <w:tr w:rsidR="00D14766" w14:paraId="639D8A9B" w14:textId="77777777" w:rsidTr="00034788">
        <w:tc>
          <w:tcPr>
            <w:tcW w:w="1646" w:type="dxa"/>
          </w:tcPr>
          <w:p w14:paraId="35B28106" w14:textId="77777777" w:rsidR="00D14766" w:rsidRDefault="00D14766" w:rsidP="00034788">
            <w:r>
              <w:t>∆</w:t>
            </w:r>
            <w:proofErr w:type="spellStart"/>
            <w:r w:rsidRPr="00912F4C">
              <w:rPr>
                <w:i/>
                <w:iCs/>
              </w:rPr>
              <w:t>fabF</w:t>
            </w:r>
            <w:proofErr w:type="spellEnd"/>
            <w:r>
              <w:t xml:space="preserve"> – WT</w:t>
            </w:r>
          </w:p>
        </w:tc>
        <w:tc>
          <w:tcPr>
            <w:tcW w:w="1624" w:type="dxa"/>
          </w:tcPr>
          <w:p w14:paraId="1C0C936E" w14:textId="77777777" w:rsidR="00D14766" w:rsidRDefault="00D14766" w:rsidP="00034788">
            <w:r>
              <w:t>Rifampicin</w:t>
            </w:r>
          </w:p>
        </w:tc>
        <w:tc>
          <w:tcPr>
            <w:tcW w:w="1623" w:type="dxa"/>
          </w:tcPr>
          <w:p w14:paraId="2980AB0B" w14:textId="77777777" w:rsidR="00D14766" w:rsidRDefault="00D14766" w:rsidP="00034788">
            <w:r>
              <w:t>Stationary</w:t>
            </w:r>
          </w:p>
        </w:tc>
        <w:tc>
          <w:tcPr>
            <w:tcW w:w="1445" w:type="dxa"/>
          </w:tcPr>
          <w:p w14:paraId="482E94CB" w14:textId="77777777" w:rsidR="00D14766" w:rsidRDefault="00D14766" w:rsidP="00034788">
            <w:r>
              <w:t>-1474</w:t>
            </w:r>
          </w:p>
        </w:tc>
        <w:tc>
          <w:tcPr>
            <w:tcW w:w="1222" w:type="dxa"/>
          </w:tcPr>
          <w:p w14:paraId="3E0F1ABE" w14:textId="77777777" w:rsidR="00D14766" w:rsidRDefault="00D14766" w:rsidP="00034788">
            <w:r w:rsidRPr="001B023A">
              <w:t>3.4</w:t>
            </w:r>
            <w:r>
              <w:t>6</w:t>
            </w:r>
            <w:r w:rsidRPr="001B023A">
              <w:t>e-05</w:t>
            </w:r>
          </w:p>
        </w:tc>
        <w:tc>
          <w:tcPr>
            <w:tcW w:w="1456" w:type="dxa"/>
          </w:tcPr>
          <w:p w14:paraId="6481D38C" w14:textId="77777777" w:rsidR="00D14766" w:rsidRDefault="00D14766" w:rsidP="00034788">
            <w:r>
              <w:t>***</w:t>
            </w:r>
          </w:p>
        </w:tc>
      </w:tr>
      <w:tr w:rsidR="00D14766" w14:paraId="7CB6FBC9" w14:textId="77777777" w:rsidTr="00034788">
        <w:tc>
          <w:tcPr>
            <w:tcW w:w="1646" w:type="dxa"/>
          </w:tcPr>
          <w:p w14:paraId="2DDB59F7" w14:textId="77777777" w:rsidR="00D14766" w:rsidRDefault="00D14766" w:rsidP="00034788">
            <w:r>
              <w:t>∆</w:t>
            </w:r>
            <w:proofErr w:type="spellStart"/>
            <w:r w:rsidRPr="00912F4C">
              <w:rPr>
                <w:i/>
                <w:iCs/>
              </w:rPr>
              <w:t>fabF</w:t>
            </w:r>
            <w:proofErr w:type="spellEnd"/>
            <w:r>
              <w:t xml:space="preserve"> – WT</w:t>
            </w:r>
          </w:p>
        </w:tc>
        <w:tc>
          <w:tcPr>
            <w:tcW w:w="1624" w:type="dxa"/>
          </w:tcPr>
          <w:p w14:paraId="531723A8" w14:textId="77777777" w:rsidR="00D14766" w:rsidRDefault="00D14766" w:rsidP="00034788">
            <w:r>
              <w:t>Untreated</w:t>
            </w:r>
          </w:p>
        </w:tc>
        <w:tc>
          <w:tcPr>
            <w:tcW w:w="1623" w:type="dxa"/>
          </w:tcPr>
          <w:p w14:paraId="39BFD673" w14:textId="77777777" w:rsidR="00D14766" w:rsidRDefault="00D14766" w:rsidP="00034788">
            <w:r>
              <w:t>Exponential</w:t>
            </w:r>
          </w:p>
        </w:tc>
        <w:tc>
          <w:tcPr>
            <w:tcW w:w="1445" w:type="dxa"/>
          </w:tcPr>
          <w:p w14:paraId="0F92BB45" w14:textId="77777777" w:rsidR="00D14766" w:rsidRDefault="00D14766" w:rsidP="00034788">
            <w:r>
              <w:t>19</w:t>
            </w:r>
          </w:p>
        </w:tc>
        <w:tc>
          <w:tcPr>
            <w:tcW w:w="1222" w:type="dxa"/>
          </w:tcPr>
          <w:p w14:paraId="0B26F01B" w14:textId="77777777" w:rsidR="00D14766" w:rsidRDefault="00D14766" w:rsidP="00034788">
            <w:r>
              <w:t>1</w:t>
            </w:r>
          </w:p>
        </w:tc>
        <w:tc>
          <w:tcPr>
            <w:tcW w:w="1456" w:type="dxa"/>
          </w:tcPr>
          <w:p w14:paraId="6FD5EB76" w14:textId="77777777" w:rsidR="00D14766" w:rsidRDefault="00D14766" w:rsidP="00034788">
            <w:r>
              <w:t>NS</w:t>
            </w:r>
          </w:p>
        </w:tc>
      </w:tr>
      <w:tr w:rsidR="00D14766" w14:paraId="39488D27" w14:textId="77777777" w:rsidTr="00034788">
        <w:tc>
          <w:tcPr>
            <w:tcW w:w="1646" w:type="dxa"/>
          </w:tcPr>
          <w:p w14:paraId="12E639D8" w14:textId="77777777" w:rsidR="00D14766" w:rsidRDefault="00D14766" w:rsidP="00034788">
            <w:r>
              <w:t>∆</w:t>
            </w:r>
            <w:proofErr w:type="spellStart"/>
            <w:r w:rsidRPr="00912F4C">
              <w:rPr>
                <w:i/>
                <w:iCs/>
              </w:rPr>
              <w:t>fabF</w:t>
            </w:r>
            <w:proofErr w:type="spellEnd"/>
            <w:r>
              <w:t xml:space="preserve"> – WT</w:t>
            </w:r>
          </w:p>
        </w:tc>
        <w:tc>
          <w:tcPr>
            <w:tcW w:w="1624" w:type="dxa"/>
          </w:tcPr>
          <w:p w14:paraId="2545D5A2" w14:textId="77777777" w:rsidR="00D14766" w:rsidRDefault="00D14766" w:rsidP="00034788">
            <w:r>
              <w:t>Untreated</w:t>
            </w:r>
          </w:p>
        </w:tc>
        <w:tc>
          <w:tcPr>
            <w:tcW w:w="1623" w:type="dxa"/>
          </w:tcPr>
          <w:p w14:paraId="03216A3E" w14:textId="77777777" w:rsidR="00D14766" w:rsidRDefault="00D14766" w:rsidP="00034788">
            <w:r>
              <w:t>Stationary</w:t>
            </w:r>
          </w:p>
        </w:tc>
        <w:tc>
          <w:tcPr>
            <w:tcW w:w="1445" w:type="dxa"/>
          </w:tcPr>
          <w:p w14:paraId="33F57D74" w14:textId="77777777" w:rsidR="00D14766" w:rsidRDefault="00D14766" w:rsidP="00034788">
            <w:r>
              <w:t>11</w:t>
            </w:r>
          </w:p>
        </w:tc>
        <w:tc>
          <w:tcPr>
            <w:tcW w:w="1222" w:type="dxa"/>
          </w:tcPr>
          <w:p w14:paraId="6BDA9612" w14:textId="77777777" w:rsidR="00D14766" w:rsidRDefault="00D14766" w:rsidP="00034788">
            <w:pPr>
              <w:keepNext/>
            </w:pPr>
            <w:r>
              <w:t>1</w:t>
            </w:r>
          </w:p>
        </w:tc>
        <w:tc>
          <w:tcPr>
            <w:tcW w:w="1456" w:type="dxa"/>
          </w:tcPr>
          <w:p w14:paraId="3BBC1398" w14:textId="77777777" w:rsidR="00D14766" w:rsidRDefault="00D14766" w:rsidP="00034788">
            <w:pPr>
              <w:keepNext/>
            </w:pPr>
            <w:r>
              <w:t>NS</w:t>
            </w:r>
          </w:p>
        </w:tc>
      </w:tr>
    </w:tbl>
    <w:p w14:paraId="55C4C956" w14:textId="77777777" w:rsidR="00E70C5A" w:rsidRDefault="00E70C5A"/>
    <w:sectPr w:rsidR="00E7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6"/>
    <w:rsid w:val="00222BB8"/>
    <w:rsid w:val="004C42E4"/>
    <w:rsid w:val="004E55C3"/>
    <w:rsid w:val="00737306"/>
    <w:rsid w:val="00996A9F"/>
    <w:rsid w:val="00D14766"/>
    <w:rsid w:val="00E70C5A"/>
    <w:rsid w:val="00F3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C7A6"/>
  <w15:chartTrackingRefBased/>
  <w15:docId w15:val="{E52E0AE6-B145-4EA9-ABFA-03149CD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766"/>
    <w:pPr>
      <w:spacing w:line="278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76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A9F"/>
    <w:pPr>
      <w:keepNext/>
      <w:keepLines/>
      <w:spacing w:before="40" w:after="0" w:line="240" w:lineRule="auto"/>
      <w:outlineLvl w:val="1"/>
    </w:pPr>
    <w:rPr>
      <w:rFonts w:ascii="Calibri" w:eastAsiaTheme="majorEastAsia" w:hAnsi="Calibri" w:cstheme="majorBidi"/>
      <w:b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76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76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76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76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76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76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76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A9F"/>
    <w:rPr>
      <w:rFonts w:ascii="Calibri" w:eastAsiaTheme="majorEastAsia" w:hAnsi="Calibr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47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7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7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7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14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766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14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766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D14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766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D147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7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7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76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147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1476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Williams</dc:creator>
  <cp:keywords/>
  <dc:description/>
  <cp:lastModifiedBy>Jasmine Williams</cp:lastModifiedBy>
  <cp:revision>1</cp:revision>
  <dcterms:created xsi:type="dcterms:W3CDTF">2025-06-05T01:18:00Z</dcterms:created>
  <dcterms:modified xsi:type="dcterms:W3CDTF">2025-06-05T01:22:00Z</dcterms:modified>
</cp:coreProperties>
</file>