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Clasificación de Péptidos Antimicrobianos mediante un Clasificador Bayesiano Semi-Ingenuo</w:t>
      </w:r>
    </w:p>
    <w:p>
      <w:pPr>
        <w:spacing w:after="60" w:before="0"/>
        <w:jc w:val="center"/>
      </w:pPr>
      <w:r>
        <w:rPr>
          <w:rFonts w:ascii="Times New Roman" w:cs="Times New Roman" w:eastAsia="Times New Roman" w:hAnsi="Times New Roman"/>
          <w:sz w:val="20"/>
          <w:szCs w:val="20"/>
        </w:rPr>
        <w:t xml:space="preserve">Jazmín Alejandra Martínez Guerrero</w:t>
      </w:r>
    </w:p>
    <w:p>
      <w:pPr>
        <w:spacing w:after="200" w:before="0"/>
        <w:jc w:val="center"/>
      </w:pPr>
      <w:r>
        <w:rPr>
          <w:rFonts w:ascii="Times New Roman" w:cs="Times New Roman" w:eastAsia="Times New Roman" w:hAnsi="Times New Roman"/>
          <w:i/>
          <w:iCs/>
          <w:sz w:val="18"/>
          <w:szCs w:val="18"/>
        </w:rPr>
        <w:t xml:space="preserve">Materia: Reconocimiento de Patrones · Prof. Dr. Irvin Hussein López-Nava</w:t>
      </w:r>
    </w:p>
    <w:p>
      <w:pPr>
        <w:pBdr>
          <w:bottom w:val="single" w:color="555555" w:sz="6" w:space="1"/>
        </w:pBdr>
        <w:spacing w:after="160" w:before="0"/>
      </w:pPr>
    </w:p>
    <w:p>
      <w:pPr>
        <w:spacing w:after="60" w:before="0"/>
        <w:jc w:val="left"/>
      </w:pPr>
      <w:r>
        <w:rPr>
          <w:rFonts w:ascii="Times New Roman" w:cs="Times New Roman" w:eastAsia="Times New Roman" w:hAnsi="Times New Roman"/>
          <w:b/>
          <w:bCs/>
          <w:sz w:val="20"/>
          <w:szCs w:val="20"/>
        </w:rPr>
        <w:t xml:space="preserve">Abstract</w:t>
      </w:r>
    </w:p>
    <w:p>
      <w:pPr>
        <w:spacing w:after="160" w:before="0" w:line="240"/>
        <w:jc w:val="both"/>
      </w:pPr>
      <w:r>
        <w:rPr>
          <w:rFonts w:ascii="Times New Roman" w:cs="Times New Roman" w:eastAsia="Times New Roman" w:hAnsi="Times New Roman"/>
          <w:i w:val="false"/>
          <w:iCs w:val="false"/>
          <w:sz w:val="20"/>
          <w:szCs w:val="20"/>
        </w:rPr>
        <w:t xml:space="preserve">Se propone un Clasificador Bayesiano Semi-Ingenuo (SNBC) para la identificación binaria de péptidos antimicrobianos (AMPs). Las secuencias son representadas mediante diez descriptores fisicoquímicos globales que capturan propiedades de longitud, carga, hidrofobicidad y estabilidad. Dado que las variables no siguen una distribución normal y presentan correlaciones estadísticamente significativas, se descartan el Gaussian Naive Bayes y el Clasificador Bayesiano Ingenuo estándar; en su lugar se discretizan los atributos y se aplica el procedimiento de mejora estructural basado en información mutua y condicional. El modelo aprende las tablas de probabilidad condicional mediante estimación de máxima verosimilitud con suavizado de Laplace. Una validación cruzada estratificada de diez pliegues sobre 6,612 instancias balanceadas reporta una exactitud de 0.731, sensibilidad de 0.728, especificidad de 0.734, F1-score de 0.730 y MCC de 0.464. Los resultados son competitivos y el modelo entrenado en menos de 0.01 segundos por pliegue.</w:t>
      </w:r>
    </w:p>
    <w:p>
      <w:pPr>
        <w:pBdr>
          <w:bottom w:val="single" w:color="555555" w:sz="6" w:space="1"/>
        </w:pBdr>
        <w:spacing w:after="160" w:before="0"/>
      </w:pPr>
    </w:p>
    <w:p>
      <w:pPr>
        <w:spacing w:after="80" w:before="160"/>
        <w:jc w:val="left"/>
      </w:pPr>
      <w:r>
        <w:rPr>
          <w:rFonts w:ascii="Times New Roman" w:cs="Times New Roman" w:eastAsia="Times New Roman" w:hAnsi="Times New Roman"/>
          <w:b/>
          <w:bCs/>
          <w:sz w:val="20"/>
          <w:szCs w:val="20"/>
        </w:rPr>
        <w:t xml:space="preserve">1. INTRODUCCIÓN</w:t>
      </w:r>
    </w:p>
    <w:p>
      <w:pPr>
        <w:spacing w:after="80" w:before="0" w:line="240"/>
        <w:ind w:firstLine="440"/>
        <w:jc w:val="both"/>
      </w:pPr>
      <w:r>
        <w:rPr>
          <w:rFonts w:ascii="Times New Roman" w:cs="Times New Roman" w:eastAsia="Times New Roman" w:hAnsi="Times New Roman"/>
          <w:i w:val="false"/>
          <w:iCs w:val="false"/>
          <w:sz w:val="20"/>
          <w:szCs w:val="20"/>
        </w:rPr>
        <w:t xml:space="preserve">La resistencia bacteriana a los antibióticos convencionales constituye una de las amenazas más graves para la salud pública global. Los péptidos antimicrobianos (AMPs) representan una familia de moléculas de defensa innata con actividad de amplio espectro, capaces de actuar contra bacterias, hongos y virus con mecanismos que dificultan el desarrollo de resistencias. Sin embargo, la identificación experimental de AMPs es costosa y lenta. La predicción computacional a partir de la secuencia de aminoácidos permite priorizar candidatos para validación in vitro, reduciendo así el costo y el tiempo del proceso de descubrimiento.</w:t>
      </w:r>
    </w:p>
    <w:p>
      <w:pPr>
        <w:spacing w:after="80" w:before="0" w:line="240"/>
        <w:ind w:firstLine="440"/>
        <w:jc w:val="both"/>
      </w:pPr>
      <w:r>
        <w:rPr>
          <w:rFonts w:ascii="Times New Roman" w:cs="Times New Roman" w:eastAsia="Times New Roman" w:hAnsi="Times New Roman"/>
          <w:i w:val="false"/>
          <w:iCs w:val="false"/>
          <w:sz w:val="20"/>
          <w:szCs w:val="20"/>
        </w:rPr>
        <w:t xml:space="preserve">Los modelos gráficos probabilistas (MGP) ofrecen una representación explícita de las dependencias entre variables, lo que resulta especialmente valioso en bioinformática, donde las propiedades fisicoquímicas de un péptido están en principio correlacionadas entre sí. En este trabajo se aplica el Clasificador Bayesiano Semi-Ingenuo (SNBC) —un MGP que extiende el Naive Bayes mediante eliminación y combinación de atributos dependientes— para la clasificación binaria de péptidos como antimicrobianos o no antimicrobianos. El objetivo es cubrir el ciclo completo de modelado: representación, aprendizaje de parámetros, inferencia y evaluación experimental.</w:t>
      </w:r>
    </w:p>
    <w:p>
      <w:pPr>
        <w:spacing w:after="80" w:before="160"/>
        <w:jc w:val="left"/>
      </w:pPr>
      <w:r>
        <w:rPr>
          <w:rFonts w:ascii="Times New Roman" w:cs="Times New Roman" w:eastAsia="Times New Roman" w:hAnsi="Times New Roman"/>
          <w:b/>
          <w:bCs/>
          <w:sz w:val="20"/>
          <w:szCs w:val="20"/>
        </w:rPr>
        <w:t xml:space="preserve">2. DATOS Y CARACTERÍSTICAS</w:t>
      </w:r>
    </w:p>
    <w:p>
      <w:pPr>
        <w:spacing w:after="60" w:before="120"/>
        <w:jc w:val="left"/>
      </w:pPr>
      <w:r>
        <w:rPr>
          <w:rFonts w:ascii="Times New Roman" w:cs="Times New Roman" w:eastAsia="Times New Roman" w:hAnsi="Times New Roman"/>
          <w:b/>
          <w:bCs/>
          <w:i/>
          <w:iCs/>
          <w:sz w:val="20"/>
          <w:szCs w:val="20"/>
        </w:rPr>
        <w:t xml:space="preserve">2.1 Fuentes de datos</w:t>
      </w:r>
    </w:p>
    <w:p>
      <w:pPr>
        <w:spacing w:after="80" w:before="0" w:line="240"/>
        <w:ind w:firstLine="440"/>
        <w:jc w:val="both"/>
      </w:pPr>
      <w:r>
        <w:rPr>
          <w:rFonts w:ascii="Times New Roman" w:cs="Times New Roman" w:eastAsia="Times New Roman" w:hAnsi="Times New Roman"/>
          <w:i w:val="false"/>
          <w:iCs w:val="false"/>
          <w:sz w:val="20"/>
          <w:szCs w:val="20"/>
        </w:rPr>
        <w:t xml:space="preserve">El conjunto positivo comprende 3,306 AMPs naturales con actividad antimicrobiana conocida extraídos de la base de datos APD3 (Antimicrobial Peptide Database). El conjunto negativo se construyó a partir de 180,264 péptidos sin actividad antimicrobiana anotada de UniProtKB, filtrados para longitudes de 1–200 aminoácidos. Para garantizar la calidad de los datos, se retuvieron únicamente secuencias compuestas por los 20 aminoácidos canónicos, eliminando entradas con residuos desconocidos (símbolo X).</w:t>
      </w:r>
    </w:p>
    <w:p>
      <w:pPr>
        <w:spacing w:after="80" w:before="0" w:line="240"/>
        <w:ind w:firstLine="440"/>
        <w:jc w:val="both"/>
      </w:pPr>
      <w:r>
        <w:rPr>
          <w:rFonts w:ascii="Times New Roman" w:cs="Times New Roman" w:eastAsia="Times New Roman" w:hAnsi="Times New Roman"/>
          <w:i w:val="false"/>
          <w:iCs w:val="false"/>
          <w:sz w:val="20"/>
          <w:szCs w:val="20"/>
        </w:rPr>
        <w:t xml:space="preserve">Dado que la distribución de longitudes del conjunto negativo original (mediana: 127 aa) difiere significativamente de la del positivo (mediana: 29 aa), un clasificador entrenado con ese desbalance podría aprender a discriminar por longitud en lugar de por actividad biológica. Para evitar este sesgo, se realizó un muestreo estratificado por longitud del conjunto negativo de manera que su distribución empírica de longitudes replicase exactamente la del positivo, obteniendo un conjunto balanceado de 3,306 instancias negativas. El conjunto final contiene 6,612 péptidos con distribución de clases 1:1.</w:t>
      </w:r>
    </w:p>
    <w:p>
      <w:pPr>
        <w:spacing w:after="60" w:before="120"/>
        <w:jc w:val="left"/>
      </w:pPr>
      <w:r>
        <w:rPr>
          <w:rFonts w:ascii="Times New Roman" w:cs="Times New Roman" w:eastAsia="Times New Roman" w:hAnsi="Times New Roman"/>
          <w:b/>
          <w:bCs/>
          <w:i/>
          <w:iCs/>
          <w:sz w:val="20"/>
          <w:szCs w:val="20"/>
        </w:rPr>
        <w:t xml:space="preserve">2.2 Representación de características</w:t>
      </w:r>
    </w:p>
    <w:p>
      <w:pPr>
        <w:spacing w:after="80" w:before="0" w:line="240"/>
        <w:ind w:firstLine="440"/>
        <w:jc w:val="both"/>
      </w:pPr>
      <w:r>
        <w:rPr>
          <w:rFonts w:ascii="Times New Roman" w:cs="Times New Roman" w:eastAsia="Times New Roman" w:hAnsi="Times New Roman"/>
          <w:i w:val="false"/>
          <w:iCs w:val="false"/>
          <w:sz w:val="20"/>
          <w:szCs w:val="20"/>
        </w:rPr>
        <w:t xml:space="preserve">Cada péptido se describe mediante diez descriptores fisicoquímicos globales calculados con la biblioteca modlAMP: longitud de secuencia (</w:t>
      </w:r>
      <w:r>
        <w:rPr>
          <w:rFonts w:ascii="Times New Roman" w:cs="Times New Roman" w:eastAsia="Times New Roman" w:hAnsi="Times New Roman"/>
          <w:i/>
          <w:iCs/>
          <w:sz w:val="20"/>
          <w:szCs w:val="20"/>
        </w:rPr>
        <w:t xml:space="preserve">Length</w:t>
      </w:r>
      <w:r>
        <w:rPr>
          <w:rFonts w:ascii="Times New Roman" w:cs="Times New Roman" w:eastAsia="Times New Roman" w:hAnsi="Times New Roman"/>
          <w:i w:val="false"/>
          <w:iCs w:val="false"/>
          <w:sz w:val="20"/>
          <w:szCs w:val="20"/>
        </w:rPr>
        <w:t xml:space="preserve">), peso molecular (</w:t>
      </w:r>
      <w:r>
        <w:rPr>
          <w:rFonts w:ascii="Times New Roman" w:cs="Times New Roman" w:eastAsia="Times New Roman" w:hAnsi="Times New Roman"/>
          <w:i/>
          <w:iCs/>
          <w:sz w:val="20"/>
          <w:szCs w:val="20"/>
        </w:rPr>
        <w:t xml:space="preserve">MW</w:t>
      </w:r>
      <w:r>
        <w:rPr>
          <w:rFonts w:ascii="Times New Roman" w:cs="Times New Roman" w:eastAsia="Times New Roman" w:hAnsi="Times New Roman"/>
          <w:i w:val="false"/>
          <w:iCs w:val="false"/>
          <w:sz w:val="20"/>
          <w:szCs w:val="20"/>
        </w:rPr>
        <w:t xml:space="preserve">), carga neta a pH 7 (</w:t>
      </w:r>
      <w:r>
        <w:rPr>
          <w:rFonts w:ascii="Times New Roman" w:cs="Times New Roman" w:eastAsia="Times New Roman" w:hAnsi="Times New Roman"/>
          <w:i/>
          <w:iCs/>
          <w:sz w:val="20"/>
          <w:szCs w:val="20"/>
        </w:rPr>
        <w:t xml:space="preserve">Charge</w:t>
      </w:r>
      <w:r>
        <w:rPr>
          <w:rFonts w:ascii="Times New Roman" w:cs="Times New Roman" w:eastAsia="Times New Roman" w:hAnsi="Times New Roman"/>
          <w:i w:val="false"/>
          <w:iCs w:val="false"/>
          <w:sz w:val="20"/>
          <w:szCs w:val="20"/>
        </w:rPr>
        <w:t xml:space="preserve">), densidad de carga (</w:t>
      </w:r>
      <w:r>
        <w:rPr>
          <w:rFonts w:ascii="Times New Roman" w:cs="Times New Roman" w:eastAsia="Times New Roman" w:hAnsi="Times New Roman"/>
          <w:i/>
          <w:iCs/>
          <w:sz w:val="20"/>
          <w:szCs w:val="20"/>
        </w:rPr>
        <w:t xml:space="preserve">Charge Density</w:t>
      </w:r>
      <w:r>
        <w:rPr>
          <w:rFonts w:ascii="Times New Roman" w:cs="Times New Roman" w:eastAsia="Times New Roman" w:hAnsi="Times New Roman"/>
          <w:i w:val="false"/>
          <w:iCs w:val="false"/>
          <w:sz w:val="20"/>
          <w:szCs w:val="20"/>
        </w:rPr>
        <w:t xml:space="preserve">), punto isoeléctrico (</w:t>
      </w:r>
      <w:r>
        <w:rPr>
          <w:rFonts w:ascii="Times New Roman" w:cs="Times New Roman" w:eastAsia="Times New Roman" w:hAnsi="Times New Roman"/>
          <w:i/>
          <w:iCs/>
          <w:sz w:val="20"/>
          <w:szCs w:val="20"/>
        </w:rPr>
        <w:t xml:space="preserve">pI</w:t>
      </w:r>
      <w:r>
        <w:rPr>
          <w:rFonts w:ascii="Times New Roman" w:cs="Times New Roman" w:eastAsia="Times New Roman" w:hAnsi="Times New Roman"/>
          <w:i w:val="false"/>
          <w:iCs w:val="false"/>
          <w:sz w:val="20"/>
          <w:szCs w:val="20"/>
        </w:rPr>
        <w:t xml:space="preserve">), índice de inestabilidad (</w:t>
      </w:r>
      <w:r>
        <w:rPr>
          <w:rFonts w:ascii="Times New Roman" w:cs="Times New Roman" w:eastAsia="Times New Roman" w:hAnsi="Times New Roman"/>
          <w:i/>
          <w:iCs/>
          <w:sz w:val="20"/>
          <w:szCs w:val="20"/>
        </w:rPr>
        <w:t xml:space="preserve">Instability</w:t>
      </w:r>
      <w:r>
        <w:rPr>
          <w:rFonts w:ascii="Times New Roman" w:cs="Times New Roman" w:eastAsia="Times New Roman" w:hAnsi="Times New Roman"/>
          <w:i w:val="false"/>
          <w:iCs w:val="false"/>
          <w:sz w:val="20"/>
          <w:szCs w:val="20"/>
        </w:rPr>
        <w:t xml:space="preserve">), aromaticidad (</w:t>
      </w:r>
      <w:r>
        <w:rPr>
          <w:rFonts w:ascii="Times New Roman" w:cs="Times New Roman" w:eastAsia="Times New Roman" w:hAnsi="Times New Roman"/>
          <w:i/>
          <w:iCs/>
          <w:sz w:val="20"/>
          <w:szCs w:val="20"/>
        </w:rPr>
        <w:t xml:space="preserve">Aromaticity</w:t>
      </w:r>
      <w:r>
        <w:rPr>
          <w:rFonts w:ascii="Times New Roman" w:cs="Times New Roman" w:eastAsia="Times New Roman" w:hAnsi="Times New Roman"/>
          <w:i w:val="false"/>
          <w:iCs w:val="false"/>
          <w:sz w:val="20"/>
          <w:szCs w:val="20"/>
        </w:rPr>
        <w:t xml:space="preserve">), índice alifático (</w:t>
      </w:r>
      <w:r>
        <w:rPr>
          <w:rFonts w:ascii="Times New Roman" w:cs="Times New Roman" w:eastAsia="Times New Roman" w:hAnsi="Times New Roman"/>
          <w:i/>
          <w:iCs/>
          <w:sz w:val="20"/>
          <w:szCs w:val="20"/>
        </w:rPr>
        <w:t xml:space="preserve">Aliphatic</w:t>
      </w:r>
      <w:r>
        <w:rPr>
          <w:rFonts w:ascii="Times New Roman" w:cs="Times New Roman" w:eastAsia="Times New Roman" w:hAnsi="Times New Roman"/>
          <w:i w:val="false"/>
          <w:iCs w:val="false"/>
          <w:sz w:val="20"/>
          <w:szCs w:val="20"/>
        </w:rPr>
        <w:t xml:space="preserve">), índice de Boman (</w:t>
      </w:r>
      <w:r>
        <w:rPr>
          <w:rFonts w:ascii="Times New Roman" w:cs="Times New Roman" w:eastAsia="Times New Roman" w:hAnsi="Times New Roman"/>
          <w:i/>
          <w:iCs/>
          <w:sz w:val="20"/>
          <w:szCs w:val="20"/>
        </w:rPr>
        <w:t xml:space="preserve">BomanInd</w:t>
      </w:r>
      <w:r>
        <w:rPr>
          <w:rFonts w:ascii="Times New Roman" w:cs="Times New Roman" w:eastAsia="Times New Roman" w:hAnsi="Times New Roman"/>
          <w:i w:val="false"/>
          <w:iCs w:val="false"/>
          <w:sz w:val="20"/>
          <w:szCs w:val="20"/>
        </w:rPr>
        <w:t xml:space="preserve">) y razón de hidrofobicidad (</w:t>
      </w:r>
      <w:r>
        <w:rPr>
          <w:rFonts w:ascii="Times New Roman" w:cs="Times New Roman" w:eastAsia="Times New Roman" w:hAnsi="Times New Roman"/>
          <w:i/>
          <w:iCs/>
          <w:sz w:val="20"/>
          <w:szCs w:val="20"/>
        </w:rPr>
        <w:t xml:space="preserve">HydrophRatio</w:t>
      </w:r>
      <w:r>
        <w:rPr>
          <w:rFonts w:ascii="Times New Roman" w:cs="Times New Roman" w:eastAsia="Times New Roman" w:hAnsi="Times New Roman"/>
          <w:i w:val="false"/>
          <w:iCs w:val="false"/>
          <w:sz w:val="20"/>
          <w:szCs w:val="20"/>
        </w:rPr>
        <w:t xml:space="preserve">). Estos descriptores han demostrado ser informativos para distinguir AMPs de péptidos sin actividad antimicrobiana, capturando propiedades estructurales clave como la anfipathicidad, la carga positiva y la hidrofobicidad características de los AMPs.</w:t>
      </w:r>
    </w:p>
    <w:p>
      <w:pPr>
        <w:spacing w:after="80" w:before="160"/>
        <w:jc w:val="left"/>
      </w:pPr>
      <w:r>
        <w:rPr>
          <w:rFonts w:ascii="Times New Roman" w:cs="Times New Roman" w:eastAsia="Times New Roman" w:hAnsi="Times New Roman"/>
          <w:b/>
          <w:bCs/>
          <w:sz w:val="20"/>
          <w:szCs w:val="20"/>
        </w:rPr>
        <w:t xml:space="preserve">3. MODELO PROBABILÍSTICO</w:t>
      </w:r>
    </w:p>
    <w:p>
      <w:pPr>
        <w:spacing w:after="60" w:before="120"/>
        <w:jc w:val="left"/>
      </w:pPr>
      <w:r>
        <w:rPr>
          <w:rFonts w:ascii="Times New Roman" w:cs="Times New Roman" w:eastAsia="Times New Roman" w:hAnsi="Times New Roman"/>
          <w:b/>
          <w:bCs/>
          <w:i/>
          <w:iCs/>
          <w:sz w:val="20"/>
          <w:szCs w:val="20"/>
        </w:rPr>
        <w:t xml:space="preserve">3.1 Justificación del modelo</w:t>
      </w:r>
    </w:p>
    <w:p>
      <w:pPr>
        <w:spacing w:after="80" w:before="0" w:line="240"/>
        <w:ind w:firstLine="440"/>
        <w:jc w:val="both"/>
      </w:pPr>
      <w:r>
        <w:rPr>
          <w:rFonts w:ascii="Times New Roman" w:cs="Times New Roman" w:eastAsia="Times New Roman" w:hAnsi="Times New Roman"/>
          <w:i w:val="false"/>
          <w:iCs w:val="false"/>
          <w:sz w:val="20"/>
          <w:szCs w:val="20"/>
        </w:rPr>
        <w:t xml:space="preserve">El análisis exploratorio reveló dos condiciones que determinan la elección del modelo. Primero, el test de Kolmogorov-Smirnov rechazó la hipótesis de normalidad para todas las variables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val="false"/>
          <w:iCs w:val="false"/>
          <w:sz w:val="20"/>
          <w:szCs w:val="20"/>
        </w:rPr>
        <w:t xml:space="preserve"> &lt; 0.001 en todos los casos), descartando el Gaussian Naive Bayes. Segundo, la matriz de correlación mostró dependencias estadísticamente significativas entre atributos: la correlación entre </w:t>
      </w:r>
      <w:r>
        <w:rPr>
          <w:rFonts w:ascii="Times New Roman" w:cs="Times New Roman" w:eastAsia="Times New Roman" w:hAnsi="Times New Roman"/>
          <w:i/>
          <w:iCs/>
          <w:sz w:val="20"/>
          <w:szCs w:val="20"/>
        </w:rPr>
        <w:t xml:space="preserve">Length</w:t>
      </w:r>
      <w:r>
        <w:rPr>
          <w:rFonts w:ascii="Times New Roman" w:cs="Times New Roman" w:eastAsia="Times New Roman" w:hAnsi="Times New Roman"/>
          <w:i w:val="false"/>
          <w:iCs w:val="false"/>
          <w:sz w:val="20"/>
          <w:szCs w:val="20"/>
        </w:rPr>
        <w:t xml:space="preserve"> y </w:t>
      </w:r>
      <w:r>
        <w:rPr>
          <w:rFonts w:ascii="Times New Roman" w:cs="Times New Roman" w:eastAsia="Times New Roman" w:hAnsi="Times New Roman"/>
          <w:i/>
          <w:iCs/>
          <w:sz w:val="20"/>
          <w:szCs w:val="20"/>
        </w:rPr>
        <w:t xml:space="preserve">MW</w:t>
      </w:r>
      <w:r>
        <w:rPr>
          <w:rFonts w:ascii="Times New Roman" w:cs="Times New Roman" w:eastAsia="Times New Roman" w:hAnsi="Times New Roman"/>
          <w:i w:val="false"/>
          <w:iCs w:val="false"/>
          <w:sz w:val="20"/>
          <w:szCs w:val="20"/>
        </w:rPr>
        <w:t xml:space="preserve"> es de 0.99, entre </w:t>
      </w:r>
      <w:r>
        <w:rPr>
          <w:rFonts w:ascii="Times New Roman" w:cs="Times New Roman" w:eastAsia="Times New Roman" w:hAnsi="Times New Roman"/>
          <w:i/>
          <w:iCs/>
          <w:sz w:val="20"/>
          <w:szCs w:val="20"/>
        </w:rPr>
        <w:t xml:space="preserve">BomanInd</w:t>
      </w:r>
      <w:r>
        <w:rPr>
          <w:rFonts w:ascii="Times New Roman" w:cs="Times New Roman" w:eastAsia="Times New Roman" w:hAnsi="Times New Roman"/>
          <w:i w:val="false"/>
          <w:iCs w:val="false"/>
          <w:sz w:val="20"/>
          <w:szCs w:val="20"/>
        </w:rPr>
        <w:t xml:space="preserve"> e </w:t>
      </w:r>
      <w:r>
        <w:rPr>
          <w:rFonts w:ascii="Times New Roman" w:cs="Times New Roman" w:eastAsia="Times New Roman" w:hAnsi="Times New Roman"/>
          <w:i/>
          <w:iCs/>
          <w:sz w:val="20"/>
          <w:szCs w:val="20"/>
        </w:rPr>
        <w:t xml:space="preserve">HydrophRatio</w:t>
      </w:r>
      <w:r>
        <w:rPr>
          <w:rFonts w:ascii="Times New Roman" w:cs="Times New Roman" w:eastAsia="Times New Roman" w:hAnsi="Times New Roman"/>
          <w:i w:val="false"/>
          <w:iCs w:val="false"/>
          <w:sz w:val="20"/>
          <w:szCs w:val="20"/>
        </w:rPr>
        <w:t xml:space="preserve"> de −0.77, y entre </w:t>
      </w:r>
      <w:r>
        <w:rPr>
          <w:rFonts w:ascii="Times New Roman" w:cs="Times New Roman" w:eastAsia="Times New Roman" w:hAnsi="Times New Roman"/>
          <w:i/>
          <w:iCs/>
          <w:sz w:val="20"/>
          <w:szCs w:val="20"/>
        </w:rPr>
        <w:t xml:space="preserve">Aliphatic</w:t>
      </w:r>
      <w:r>
        <w:rPr>
          <w:rFonts w:ascii="Times New Roman" w:cs="Times New Roman" w:eastAsia="Times New Roman" w:hAnsi="Times New Roman"/>
          <w:i w:val="false"/>
          <w:iCs w:val="false"/>
          <w:sz w:val="20"/>
          <w:szCs w:val="20"/>
        </w:rPr>
        <w:t xml:space="preserve"> e </w:t>
      </w:r>
      <w:r>
        <w:rPr>
          <w:rFonts w:ascii="Times New Roman" w:cs="Times New Roman" w:eastAsia="Times New Roman" w:hAnsi="Times New Roman"/>
          <w:i/>
          <w:iCs/>
          <w:sz w:val="20"/>
          <w:szCs w:val="20"/>
        </w:rPr>
        <w:t xml:space="preserve">HydrophRatio</w:t>
      </w:r>
      <w:r>
        <w:rPr>
          <w:rFonts w:ascii="Times New Roman" w:cs="Times New Roman" w:eastAsia="Times New Roman" w:hAnsi="Times New Roman"/>
          <w:i w:val="false"/>
          <w:iCs w:val="false"/>
          <w:sz w:val="20"/>
          <w:szCs w:val="20"/>
        </w:rPr>
        <w:t xml:space="preserve"> de 0.77, entre otras. Estas dependencias violan el supuesto de independencia condicional del Naive Bayes estándar. El SNBC aborda esta limitación de manera explícita mediante un procedimiento de mejora estructural, manteniendo al mismo tiempo la eficiencia computacional y la interpretabilidad del modelo bayesiano.</w:t>
      </w:r>
    </w:p>
    <w:p>
      <w:pPr>
        <w:spacing w:after="60" w:before="120"/>
        <w:jc w:val="left"/>
      </w:pPr>
      <w:r>
        <w:rPr>
          <w:rFonts w:ascii="Times New Roman" w:cs="Times New Roman" w:eastAsia="Times New Roman" w:hAnsi="Times New Roman"/>
          <w:b/>
          <w:bCs/>
          <w:i/>
          <w:iCs/>
          <w:sz w:val="20"/>
          <w:szCs w:val="20"/>
        </w:rPr>
        <w:t xml:space="preserve">3.2 Formalización del modelo</w:t>
      </w:r>
    </w:p>
    <w:p>
      <w:pPr>
        <w:spacing w:after="80" w:before="0" w:line="240"/>
        <w:ind w:firstLine="440"/>
        <w:jc w:val="both"/>
      </w:pPr>
      <w:r>
        <w:rPr>
          <w:rFonts w:ascii="Times New Roman" w:cs="Times New Roman" w:eastAsia="Times New Roman" w:hAnsi="Times New Roman"/>
          <w:i w:val="false"/>
          <w:iCs w:val="false"/>
          <w:sz w:val="20"/>
          <w:szCs w:val="20"/>
        </w:rPr>
        <w:t xml:space="preserve">Sea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val="false"/>
          <w:iCs w:val="false"/>
          <w:sz w:val="20"/>
          <w:szCs w:val="20"/>
        </w:rPr>
        <w:t xml:space="preserve"> ∈ {0, 1} la variable de clase, donde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val="false"/>
          <w:iCs w:val="false"/>
          <w:sz w:val="20"/>
          <w:szCs w:val="20"/>
        </w:rPr>
        <w:t xml:space="preserve"> = 1 denota actividad antimicrobiana, y sea A = (A₁, …, A₁₀) el vector de atributos. El SNBC opera sobre el conjunto reducido de atributos A′ = (A′₁, …, A′ₙ) con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val="false"/>
          <w:iCs w:val="false"/>
          <w:sz w:val="20"/>
          <w:szCs w:val="20"/>
        </w:rPr>
        <w:t xml:space="preserve"> ≤ 10, obtenido tras la mejora estructural. Bajo la suposición de independencia condicional en A′, la distribución posterior se factoriza como:</w:t>
      </w:r>
    </w:p>
    <w:p>
      <w:pPr>
        <w:spacing w:after="60" w:before="60" w:line="240"/>
        <w:jc w:val="center"/>
      </w:pPr>
      <w:r>
        <w:rPr>
          <w:rFonts w:ascii="Times New Roman" w:cs="Times New Roman" w:eastAsia="Times New Roman" w:hAnsi="Times New Roman"/>
          <w:i w:val="false"/>
          <w:iCs w:val="false"/>
          <w:sz w:val="20"/>
          <w:szCs w:val="20"/>
        </w:rPr>
        <w:t xml:space="preserve">        P(C | A′) ∝ P(C) ∏ᵢ P(A′ᵢ | C)</w:t>
      </w:r>
    </w:p>
    <w:p>
      <w:pPr>
        <w:spacing w:after="80" w:before="0" w:line="240"/>
        <w:ind w:firstLine="440"/>
        <w:jc w:val="both"/>
      </w:pPr>
      <w:r>
        <w:rPr>
          <w:rFonts w:ascii="Times New Roman" w:cs="Times New Roman" w:eastAsia="Times New Roman" w:hAnsi="Times New Roman"/>
          <w:i w:val="false"/>
          <w:iCs w:val="false"/>
          <w:sz w:val="20"/>
          <w:szCs w:val="20"/>
        </w:rPr>
        <w:t xml:space="preserve">La clase predicha es ĉ = argmax</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val="false"/>
          <w:iCs w:val="false"/>
          <w:sz w:val="20"/>
          <w:szCs w:val="20"/>
        </w:rPr>
        <w:t xml:space="preserve"> [log P(C = c) + Σᵢ log P(A′ᵢ | C = c)], donde la formulación logarítmica previene el subdesbordamiento numérico al multiplicar probabilidades pequeñas.</w:t>
      </w:r>
    </w:p>
    <w:p>
      <w:pPr>
        <w:spacing w:after="60" w:before="120"/>
        <w:jc w:val="left"/>
      </w:pPr>
      <w:r>
        <w:rPr>
          <w:rFonts w:ascii="Times New Roman" w:cs="Times New Roman" w:eastAsia="Times New Roman" w:hAnsi="Times New Roman"/>
          <w:b/>
          <w:bCs/>
          <w:i/>
          <w:iCs/>
          <w:sz w:val="20"/>
          <w:szCs w:val="20"/>
        </w:rPr>
        <w:t xml:space="preserve">3.3 Mejora estructural</w:t>
      </w:r>
    </w:p>
    <w:p>
      <w:pPr>
        <w:spacing w:after="80" w:before="0" w:line="240"/>
        <w:ind w:firstLine="440"/>
        <w:jc w:val="both"/>
      </w:pPr>
      <w:r>
        <w:rPr>
          <w:rFonts w:ascii="Times New Roman" w:cs="Times New Roman" w:eastAsia="Times New Roman" w:hAnsi="Times New Roman"/>
          <w:i w:val="false"/>
          <w:iCs w:val="false"/>
          <w:sz w:val="20"/>
          <w:szCs w:val="20"/>
        </w:rPr>
        <w:t xml:space="preserve">La mejora estructural sigue un esquema greedy de dos fases aplicado exclusivamente sobre el conjunto de entrenamiento de cada pliegue para evitar contaminación de datos (</w:t>
      </w:r>
      <w:r>
        <w:rPr>
          <w:rFonts w:ascii="Times New Roman" w:cs="Times New Roman" w:eastAsia="Times New Roman" w:hAnsi="Times New Roman"/>
          <w:i/>
          <w:iCs/>
          <w:sz w:val="20"/>
          <w:szCs w:val="20"/>
        </w:rPr>
        <w:t xml:space="preserve">data leakage</w:t>
      </w:r>
      <w:r>
        <w:rPr>
          <w:rFonts w:ascii="Times New Roman" w:cs="Times New Roman" w:eastAsia="Times New Roman" w:hAnsi="Times New Roman"/>
          <w:i w:val="false"/>
          <w:iCs w:val="false"/>
          <w:sz w:val="20"/>
          <w:szCs w:val="20"/>
        </w:rPr>
        <w:t xml:space="preserve">).</w:t>
      </w:r>
    </w:p>
    <w:p>
      <w:pPr>
        <w:spacing w:after="80" w:before="0" w:line="240"/>
        <w:ind w:firstLine="440"/>
        <w:jc w:val="both"/>
      </w:pPr>
      <w:r>
        <w:rPr>
          <w:rFonts w:ascii="Times New Roman" w:cs="Times New Roman" w:eastAsia="Times New Roman" w:hAnsi="Times New Roman"/>
          <w:i w:val="false"/>
          <w:iCs w:val="false"/>
          <w:sz w:val="20"/>
          <w:szCs w:val="20"/>
        </w:rPr>
        <w:t xml:space="preserve">Fase 1 — Eliminación de atributos irrelevantes: Se elimina </w:t>
      </w:r>
      <w:r>
        <w:rPr>
          <w:rFonts w:ascii="Times New Roman" w:cs="Times New Roman" w:eastAsia="Times New Roman" w:hAnsi="Times New Roman"/>
          <w:i/>
          <w:iCs/>
          <w:sz w:val="20"/>
          <w:szCs w:val="20"/>
        </w:rPr>
        <w:t xml:space="preserve">Length</w:t>
      </w:r>
      <w:r>
        <w:rPr>
          <w:rFonts w:ascii="Times New Roman" w:cs="Times New Roman" w:eastAsia="Times New Roman" w:hAnsi="Times New Roman"/>
          <w:i w:val="false"/>
          <w:iCs w:val="false"/>
          <w:sz w:val="20"/>
          <w:szCs w:val="20"/>
        </w:rPr>
        <w:t xml:space="preserve"> por redundancia con </w:t>
      </w:r>
      <w:r>
        <w:rPr>
          <w:rFonts w:ascii="Times New Roman" w:cs="Times New Roman" w:eastAsia="Times New Roman" w:hAnsi="Times New Roman"/>
          <w:i/>
          <w:iCs/>
          <w:sz w:val="20"/>
          <w:szCs w:val="20"/>
        </w:rPr>
        <w:t xml:space="preserve">MW</w:t>
      </w:r>
      <w:r>
        <w:rPr>
          <w:rFonts w:ascii="Times New Roman" w:cs="Times New Roman" w:eastAsia="Times New Roman" w:hAnsi="Times New Roman"/>
          <w:i w:val="false"/>
          <w:iCs w:val="false"/>
          <w:sz w:val="20"/>
          <w:szCs w:val="20"/>
        </w:rPr>
        <w:t xml:space="preserve"> (correlación 0.99). Para los atributos restantes se calcula la información mutua I(Aⱼ; C). Todo atributo con I(Aⱼ; C) &lt; ε = 0.01 bits es eliminado por no aportar información discriminante sobre la clase.</w:t>
      </w:r>
    </w:p>
    <w:p>
      <w:pPr>
        <w:spacing w:after="80" w:before="0" w:line="240"/>
        <w:ind w:firstLine="440"/>
        <w:jc w:val="both"/>
      </w:pPr>
      <w:r>
        <w:rPr>
          <w:rFonts w:ascii="Times New Roman" w:cs="Times New Roman" w:eastAsia="Times New Roman" w:hAnsi="Times New Roman"/>
          <w:i w:val="false"/>
          <w:iCs w:val="false"/>
          <w:sz w:val="20"/>
          <w:szCs w:val="20"/>
        </w:rPr>
        <w:t xml:space="preserve">Fase 2 — Resolución de dependencias condicionales: Para cada par (Aⱼ, Aₖ) se calcula la información mutua condicional CMI(Aⱼ, Aₖ | C). Si CMI &gt; ω = 0.05 bits, los dos atributos no son condicionalmente independientes dado C, y se combinan en un nuevo atributo Aⱼₖ cuyo espacio de valores es el producto cartesiano de los valores de Aⱼ y Aₖ. Este proceso se repite hasta que no existan más pares dependientes.</w:t>
      </w:r>
    </w:p>
    <w:p>
      <w:pPr>
        <w:spacing w:after="60" w:before="120"/>
        <w:jc w:val="left"/>
      </w:pPr>
      <w:r>
        <w:rPr>
          <w:rFonts w:ascii="Times New Roman" w:cs="Times New Roman" w:eastAsia="Times New Roman" w:hAnsi="Times New Roman"/>
          <w:b/>
          <w:bCs/>
          <w:i/>
          <w:iCs/>
          <w:sz w:val="20"/>
          <w:szCs w:val="20"/>
        </w:rPr>
        <w:t xml:space="preserve">3.4 Aprendizaje de parámetros</w:t>
      </w:r>
    </w:p>
    <w:p>
      <w:pPr>
        <w:spacing w:after="80" w:before="0" w:line="240"/>
        <w:ind w:firstLine="440"/>
        <w:jc w:val="both"/>
      </w:pPr>
      <w:r>
        <w:rPr>
          <w:rFonts w:ascii="Times New Roman" w:cs="Times New Roman" w:eastAsia="Times New Roman" w:hAnsi="Times New Roman"/>
          <w:i w:val="false"/>
          <w:iCs w:val="false"/>
          <w:sz w:val="20"/>
          <w:szCs w:val="20"/>
        </w:rPr>
        <w:t xml:space="preserve">Dado que los atributos son continuos y no siguen distribuciones gaussianas, se discretizan mediante cuantilización en cuatro intervalos equiprobables (cuartiles). Los bordes de cuantilización se aprenden exclusivamente sobre el conjunto de entrenamiento de cada pliegue y se aplican al conjunto de prueba usando </w:t>
      </w:r>
      <w:r>
        <w:rPr>
          <w:rFonts w:ascii="Times New Roman" w:cs="Times New Roman" w:eastAsia="Times New Roman" w:hAnsi="Times New Roman"/>
          <w:i/>
          <w:iCs/>
          <w:sz w:val="20"/>
          <w:szCs w:val="20"/>
        </w:rPr>
        <w:t xml:space="preserve">pd.cut</w:t>
      </w:r>
      <w:r>
        <w:rPr>
          <w:rFonts w:ascii="Times New Roman" w:cs="Times New Roman" w:eastAsia="Times New Roman" w:hAnsi="Times New Roman"/>
          <w:i w:val="false"/>
          <w:iCs w:val="false"/>
          <w:sz w:val="20"/>
          <w:szCs w:val="20"/>
        </w:rPr>
        <w:t xml:space="preserve"> con bordes fijos, evitando así la fuga de información. La probabilidad a priori de cada clase se estima como P(cᵢ) ≈ (Nᵢ + 1) / (N + K), donde K = 2 es el número de clases. Las probabilidades condicionales de los atributos discretizados se estiman con suavizado de Laplace: P(Aⱼ = vₖ | cᵢ) ≈ (Nⱼₖᵢ + 1) / (Nᵢ + Bⱼ), donde Bⱼ es el número de valores distintos del atributo Aⱼ. El suavizado de Laplace garantiza que ninguna probabilidad sea cero, evitando la aniquilación del producto en la ecuación del clasificador al encontrar valores no observados en el entrenamiento.</w:t>
      </w:r>
    </w:p>
    <w:p>
      <w:pPr>
        <w:spacing w:after="80" w:before="160"/>
        <w:jc w:val="left"/>
      </w:pPr>
      <w:r>
        <w:rPr>
          <w:rFonts w:ascii="Times New Roman" w:cs="Times New Roman" w:eastAsia="Times New Roman" w:hAnsi="Times New Roman"/>
          <w:b/>
          <w:bCs/>
          <w:sz w:val="20"/>
          <w:szCs w:val="20"/>
        </w:rPr>
        <w:t xml:space="preserve">4. EVALUACIÓN EXPERIMENTAL</w:t>
      </w:r>
    </w:p>
    <w:p>
      <w:pPr>
        <w:spacing w:after="60" w:before="120"/>
        <w:jc w:val="left"/>
      </w:pPr>
      <w:r>
        <w:rPr>
          <w:rFonts w:ascii="Times New Roman" w:cs="Times New Roman" w:eastAsia="Times New Roman" w:hAnsi="Times New Roman"/>
          <w:b/>
          <w:bCs/>
          <w:i/>
          <w:iCs/>
          <w:sz w:val="20"/>
          <w:szCs w:val="20"/>
        </w:rPr>
        <w:t xml:space="preserve">4.1 Protocolo de validación</w:t>
      </w:r>
    </w:p>
    <w:p>
      <w:pPr>
        <w:spacing w:after="80" w:before="0" w:line="240"/>
        <w:ind w:firstLine="440"/>
        <w:jc w:val="both"/>
      </w:pPr>
      <w:r>
        <w:rPr>
          <w:rFonts w:ascii="Times New Roman" w:cs="Times New Roman" w:eastAsia="Times New Roman" w:hAnsi="Times New Roman"/>
          <w:i w:val="false"/>
          <w:iCs w:val="false"/>
          <w:sz w:val="20"/>
          <w:szCs w:val="20"/>
        </w:rPr>
        <w:t xml:space="preserve">Se empleó validación cruzada estratificada de k = 10 pliegues (10-fold stratified cross-validation), con semilla aleatoria fija (seed = 666) para garantizar la reproducibilidad. La estratificación asegura que la proporción de AMPs y no-AMPs (1:1) se mantenga aproximadamente constante en cada pliegue. Dentro de cada pliegue, la discretización y la mejora estructural se aprenden sobre los 5,950 ejemplos de entrenamiento (≈ 90 %) y se aplican a los 662 ejemplos de prueba (≈ 10 %), sin ningún acceso a los datos de prueba durante el aprendizaje. Las métricas se promedian sobre los diez pliegues.</w:t>
      </w:r>
    </w:p>
    <w:p>
      <w:pPr>
        <w:spacing w:after="60" w:before="120"/>
        <w:jc w:val="left"/>
      </w:pPr>
      <w:r>
        <w:rPr>
          <w:rFonts w:ascii="Times New Roman" w:cs="Times New Roman" w:eastAsia="Times New Roman" w:hAnsi="Times New Roman"/>
          <w:b/>
          <w:bCs/>
          <w:i/>
          <w:iCs/>
          <w:sz w:val="20"/>
          <w:szCs w:val="20"/>
        </w:rPr>
        <w:t xml:space="preserve">4.2 Métricas</w:t>
      </w:r>
    </w:p>
    <w:p>
      <w:pPr>
        <w:spacing w:after="80" w:before="0" w:line="240"/>
        <w:ind w:firstLine="440"/>
        <w:jc w:val="both"/>
      </w:pPr>
      <w:r>
        <w:rPr>
          <w:rFonts w:ascii="Times New Roman" w:cs="Times New Roman" w:eastAsia="Times New Roman" w:hAnsi="Times New Roman"/>
          <w:i w:val="false"/>
          <w:iCs w:val="false"/>
          <w:sz w:val="20"/>
          <w:szCs w:val="20"/>
        </w:rPr>
        <w:t xml:space="preserve">Se reportan exactitud (Acc), sensibilidad (Sens = TP / (TP + FN)), especificidad (Spec = TN / (TN + FP)), F1-score y coeficiente de correlación de Matthews (MCC). El MCC es particularmente adecuado para evaluar clasificadores binarios balanceados ya que resume el comportamiento del clasificador en un único valor en [−1, 1], siendo 1 la clasificación perfecta y 0 el equivalente a una decisión aleatoria.</w:t>
      </w:r>
    </w:p>
    <w:p>
      <w:pPr>
        <w:spacing w:after="60" w:before="120"/>
        <w:jc w:val="left"/>
      </w:pPr>
      <w:r>
        <w:rPr>
          <w:rFonts w:ascii="Times New Roman" w:cs="Times New Roman" w:eastAsia="Times New Roman" w:hAnsi="Times New Roman"/>
          <w:b/>
          <w:bCs/>
          <w:i/>
          <w:iCs/>
          <w:sz w:val="20"/>
          <w:szCs w:val="20"/>
        </w:rPr>
        <w:t xml:space="preserve">4.3 Resultados</w:t>
      </w:r>
    </w:p>
    <w:p>
      <w:pPr>
        <w:spacing w:after="80" w:before="0" w:line="240"/>
        <w:ind w:firstLine="440"/>
        <w:jc w:val="both"/>
      </w:pPr>
      <w:r>
        <w:rPr>
          <w:rFonts w:ascii="Times New Roman" w:cs="Times New Roman" w:eastAsia="Times New Roman" w:hAnsi="Times New Roman"/>
          <w:i w:val="false"/>
          <w:iCs w:val="false"/>
          <w:sz w:val="20"/>
          <w:szCs w:val="20"/>
        </w:rPr>
        <w:t xml:space="preserve">La Tabla 1 resume los resultados de la validación cruzada. El modelo alcanza una exactitud media de 73.1 % con desempeño equilibrado entre clases: sensibilidad de 72.8 % y especificidad de 73.4 %. El F1-score de 0.730 confirma el balance entre precisión y cobertura. El MCC de 0.464 indica una correlación positiva moderada entre predicciones y etiquetas verdaderas, sustancialmente por encima del azar.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tblGrid>
      <w:tr>
        <w:trPr>
          <w:tblHeader/>
        </w:trPr>
        <w:tc>
          <w:tcPr>
            <w:tcW w:type="dxa" w:w="288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sz w:val="18"/>
                <w:szCs w:val="18"/>
              </w:rPr>
              <w:t xml:space="preserve">Métrica</w:t>
            </w:r>
          </w:p>
        </w:tc>
        <w:tc>
          <w:tcPr>
            <w:tcW w:type="dxa" w:w="144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sz w:val="18"/>
                <w:szCs w:val="18"/>
              </w:rPr>
              <w:t xml:space="preserve">Acc</w:t>
            </w:r>
          </w:p>
        </w:tc>
        <w:tc>
          <w:tcPr>
            <w:tcW w:type="dxa" w:w="144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sz w:val="18"/>
                <w:szCs w:val="18"/>
              </w:rPr>
              <w:t xml:space="preserve">Sens</w:t>
            </w:r>
          </w:p>
        </w:tc>
        <w:tc>
          <w:tcPr>
            <w:tcW w:type="dxa" w:w="144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sz w:val="18"/>
                <w:szCs w:val="18"/>
              </w:rPr>
              <w:t xml:space="preserve">Spec</w:t>
            </w:r>
          </w:p>
        </w:tc>
        <w:tc>
          <w:tcPr>
            <w:tcW w:type="dxa" w:w="144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sz w:val="18"/>
                <w:szCs w:val="18"/>
              </w:rPr>
              <w:t xml:space="preserve">F1</w:t>
            </w:r>
          </w:p>
        </w:tc>
      </w:tr>
      <w:tr>
        <w:tc>
          <w:tcPr>
            <w:tcW w:type="dxa" w:w="288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sz w:val="18"/>
                <w:szCs w:val="18"/>
              </w:rPr>
              <w:t xml:space="preserve">Valor (media k=10)</w:t>
            </w:r>
          </w:p>
        </w:tc>
        <w:tc>
          <w:tcPr>
            <w:tcW w:type="dxa" w:w="144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sz w:val="18"/>
                <w:szCs w:val="18"/>
              </w:rPr>
              <w:t xml:space="preserve">0.7314</w:t>
            </w:r>
          </w:p>
        </w:tc>
        <w:tc>
          <w:tcPr>
            <w:tcW w:type="dxa" w:w="144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sz w:val="18"/>
                <w:szCs w:val="18"/>
              </w:rPr>
              <w:t xml:space="preserve">0.7284</w:t>
            </w:r>
          </w:p>
        </w:tc>
        <w:tc>
          <w:tcPr>
            <w:tcW w:type="dxa" w:w="144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sz w:val="18"/>
                <w:szCs w:val="18"/>
              </w:rPr>
              <w:t xml:space="preserve">0.7344</w:t>
            </w:r>
          </w:p>
        </w:tc>
        <w:tc>
          <w:tcPr>
            <w:tcW w:type="dxa" w:w="144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sz w:val="18"/>
                <w:szCs w:val="18"/>
              </w:rPr>
              <w:t xml:space="preserve">0.7304</w:t>
            </w:r>
          </w:p>
        </w:tc>
      </w:tr>
    </w:tbl>
    <w:p>
      <w:pPr>
        <w:spacing w:after="160" w:before="80"/>
        <w:jc w:val="center"/>
      </w:pPr>
      <w:r>
        <w:rPr>
          <w:rFonts w:ascii="Times New Roman" w:cs="Times New Roman" w:eastAsia="Times New Roman" w:hAnsi="Times New Roman"/>
          <w:b/>
          <w:bCs/>
          <w:sz w:val="18"/>
          <w:szCs w:val="18"/>
        </w:rPr>
        <w:t xml:space="preserve">Tabla 1. </w:t>
      </w:r>
      <w:r>
        <w:rPr>
          <w:rFonts w:ascii="Times New Roman" w:cs="Times New Roman" w:eastAsia="Times New Roman" w:hAnsi="Times New Roman"/>
          <w:i/>
          <w:iCs/>
          <w:sz w:val="18"/>
          <w:szCs w:val="18"/>
        </w:rPr>
        <w:t xml:space="preserve">Métricas de evaluación promediadas sobre 10 pliegues. Totales acumulados: TP = 2408, TN = 2428, FP = 878, FN = 898. MCC = 0.464.</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sz w:val="18"/>
                <w:szCs w:val="18"/>
              </w:rPr>
              <w:t xml:space="preserve">Operación</w:t>
            </w:r>
          </w:p>
        </w:tc>
        <w:tc>
          <w:tcPr>
            <w:tcW w:type="dxa" w:w="3000"/>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bCs/>
                <w:sz w:val="18"/>
                <w:szCs w:val="18"/>
              </w:rPr>
              <w:t xml:space="preserve">Tiempo medio (s)</w:t>
            </w:r>
          </w:p>
        </w:tc>
      </w:tr>
      <w:tr>
        <w:tc>
          <w:tcPr>
            <w:tcW w:type="dxa" w:w="3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sz w:val="18"/>
                <w:szCs w:val="18"/>
              </w:rPr>
              <w:t xml:space="preserve">Entrenamiento</w:t>
            </w:r>
          </w:p>
        </w:tc>
        <w:tc>
          <w:tcPr>
            <w:tcW w:type="dxa" w:w="3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sz w:val="18"/>
                <w:szCs w:val="18"/>
              </w:rPr>
              <w:t xml:space="preserve">0.0079</w:t>
            </w:r>
          </w:p>
        </w:tc>
      </w:tr>
      <w:tr>
        <w:tc>
          <w:tcPr>
            <w:tcW w:type="dxa" w:w="3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sz w:val="18"/>
                <w:szCs w:val="18"/>
              </w:rPr>
              <w:t xml:space="preserve">Inferencia</w:t>
            </w:r>
          </w:p>
        </w:tc>
        <w:tc>
          <w:tcPr>
            <w:tcW w:type="dxa" w:w="3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spacing w:after="40" w:before="40"/>
              <w:jc w:val="center"/>
            </w:pPr>
            <w:r>
              <w:rPr>
                <w:rFonts w:ascii="Times New Roman" w:cs="Times New Roman" w:eastAsia="Times New Roman" w:hAnsi="Times New Roman"/>
                <w:b w:val="false"/>
                <w:bCs w:val="false"/>
                <w:sz w:val="18"/>
                <w:szCs w:val="18"/>
              </w:rPr>
              <w:t xml:space="preserve">0.0177</w:t>
            </w:r>
          </w:p>
        </w:tc>
      </w:tr>
    </w:tbl>
    <w:p>
      <w:pPr>
        <w:spacing w:after="160" w:before="80"/>
        <w:jc w:val="center"/>
      </w:pPr>
      <w:r>
        <w:rPr>
          <w:rFonts w:ascii="Times New Roman" w:cs="Times New Roman" w:eastAsia="Times New Roman" w:hAnsi="Times New Roman"/>
          <w:b/>
          <w:bCs/>
          <w:sz w:val="18"/>
          <w:szCs w:val="18"/>
        </w:rPr>
        <w:t xml:space="preserve">Tabla 2. </w:t>
      </w:r>
      <w:r>
        <w:rPr>
          <w:rFonts w:ascii="Times New Roman" w:cs="Times New Roman" w:eastAsia="Times New Roman" w:hAnsi="Times New Roman"/>
          <w:i/>
          <w:iCs/>
          <w:sz w:val="18"/>
          <w:szCs w:val="18"/>
        </w:rPr>
        <w:t xml:space="preserve">Tiempos computacionales medios por pliegue.</w:t>
      </w:r>
    </w:p>
    <w:p>
      <w:pPr>
        <w:spacing w:after="80" w:before="0" w:line="240"/>
        <w:ind w:firstLine="440"/>
        <w:jc w:val="both"/>
      </w:pPr>
      <w:r>
        <w:rPr>
          <w:rFonts w:ascii="Times New Roman" w:cs="Times New Roman" w:eastAsia="Times New Roman" w:hAnsi="Times New Roman"/>
          <w:i w:val="false"/>
          <w:iCs w:val="false"/>
          <w:sz w:val="20"/>
          <w:szCs w:val="20"/>
        </w:rPr>
        <w:t xml:space="preserve">La Tabla 2 muestra que el entrenamiento tarda en promedio 0.0079 s y la inferencia 0.0177 s por pliegue, lo que pone de manifiesto la eficiencia computacional característica de los clasificadores bayesianos. Esta característica es especialmente relevante en escenarios de cribado virtual a gran escala, donde es necesario clasificar millones de péptidos candidatos.</w:t>
      </w:r>
    </w:p>
    <w:p>
      <w:pPr>
        <w:spacing w:after="80" w:before="160"/>
        <w:jc w:val="left"/>
      </w:pPr>
      <w:r>
        <w:rPr>
          <w:rFonts w:ascii="Times New Roman" w:cs="Times New Roman" w:eastAsia="Times New Roman" w:hAnsi="Times New Roman"/>
          <w:b/>
          <w:bCs/>
          <w:sz w:val="20"/>
          <w:szCs w:val="20"/>
        </w:rPr>
        <w:t xml:space="preserve">5. DISCUSIÓN</w:t>
      </w:r>
    </w:p>
    <w:p>
      <w:pPr>
        <w:spacing w:after="80" w:before="0" w:line="240"/>
        <w:ind w:firstLine="440"/>
        <w:jc w:val="both"/>
      </w:pPr>
      <w:r>
        <w:rPr>
          <w:rFonts w:ascii="Times New Roman" w:cs="Times New Roman" w:eastAsia="Times New Roman" w:hAnsi="Times New Roman"/>
          <w:i w:val="false"/>
          <w:iCs w:val="false"/>
          <w:sz w:val="20"/>
          <w:szCs w:val="20"/>
        </w:rPr>
        <w:t xml:space="preserve">La exactitud del 73.1 % obtenida por el SNBC es competitiva para un modelo generativo de baja complejidad con solo nueve descriptores globales. La simetría entre sensibilidad (72.8 %) y especificidad (73.4 %) indica que el clasificador no favorece sistemáticamente ninguna de las dos clases, lo cual es deseable en el contexto de cribado donde tanto los falsos positivos (que incurren en validación experimental innecesaria) como los falsos negativos (que omiten candidatos con actividad real) tienen costos significativos.</w:t>
      </w:r>
    </w:p>
    <w:p>
      <w:pPr>
        <w:spacing w:after="80" w:before="0" w:line="240"/>
        <w:ind w:firstLine="440"/>
        <w:jc w:val="both"/>
      </w:pPr>
      <w:r>
        <w:rPr>
          <w:rFonts w:ascii="Times New Roman" w:cs="Times New Roman" w:eastAsia="Times New Roman" w:hAnsi="Times New Roman"/>
          <w:i w:val="false"/>
          <w:iCs w:val="false"/>
          <w:sz w:val="20"/>
          <w:szCs w:val="20"/>
        </w:rPr>
        <w:t xml:space="preserve">La mejora estructural demostró ser un paso indispensable: la presencia de correlaciones fuertes entre atributos como </w:t>
      </w:r>
      <w:r>
        <w:rPr>
          <w:rFonts w:ascii="Times New Roman" w:cs="Times New Roman" w:eastAsia="Times New Roman" w:hAnsi="Times New Roman"/>
          <w:i/>
          <w:iCs/>
          <w:sz w:val="20"/>
          <w:szCs w:val="20"/>
        </w:rPr>
        <w:t xml:space="preserve">Length</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i/>
          <w:iCs/>
          <w:sz w:val="20"/>
          <w:szCs w:val="20"/>
        </w:rPr>
        <w:t xml:space="preserve">MW</w:t>
      </w:r>
      <w:r>
        <w:rPr>
          <w:rFonts w:ascii="Times New Roman" w:cs="Times New Roman" w:eastAsia="Times New Roman" w:hAnsi="Times New Roman"/>
          <w:i w:val="false"/>
          <w:iCs w:val="false"/>
          <w:sz w:val="20"/>
          <w:szCs w:val="20"/>
        </w:rPr>
        <w:t xml:space="preserve"> (0.99) y </w:t>
      </w:r>
      <w:r>
        <w:rPr>
          <w:rFonts w:ascii="Times New Roman" w:cs="Times New Roman" w:eastAsia="Times New Roman" w:hAnsi="Times New Roman"/>
          <w:i/>
          <w:iCs/>
          <w:sz w:val="20"/>
          <w:szCs w:val="20"/>
        </w:rPr>
        <w:t xml:space="preserve">BomanInd</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i/>
          <w:iCs/>
          <w:sz w:val="20"/>
          <w:szCs w:val="20"/>
        </w:rPr>
        <w:t xml:space="preserve">HydrophRatio</w:t>
      </w:r>
      <w:r>
        <w:rPr>
          <w:rFonts w:ascii="Times New Roman" w:cs="Times New Roman" w:eastAsia="Times New Roman" w:hAnsi="Times New Roman"/>
          <w:i w:val="false"/>
          <w:iCs w:val="false"/>
          <w:sz w:val="20"/>
          <w:szCs w:val="20"/>
        </w:rPr>
        <w:t xml:space="preserve"> (−0.77) habría generado estimaciones sesgadas de las probabilidades posteriores bajo el NBC estándar, ya que las variables correlacionadas cuentan su evidencia implícitamente más de una vez en el producto naive. Al combinar o eliminar estos atributos, el SNBC restaura en la práctica la propiedad de independencia condicional dentro del conjunto de atributos resultante. El umbral de CMI ω = 0.05 bits resultó en una estructura compacta sin pérdida relevante de capacidad discriminante.</w:t>
      </w:r>
    </w:p>
    <w:p>
      <w:pPr>
        <w:spacing w:after="80" w:before="0" w:line="240"/>
        <w:ind w:firstLine="440"/>
        <w:jc w:val="both"/>
      </w:pPr>
      <w:r>
        <w:rPr>
          <w:rFonts w:ascii="Times New Roman" w:cs="Times New Roman" w:eastAsia="Times New Roman" w:hAnsi="Times New Roman"/>
          <w:i w:val="false"/>
          <w:iCs w:val="false"/>
          <w:sz w:val="20"/>
          <w:szCs w:val="20"/>
        </w:rPr>
        <w:t xml:space="preserve">La discretización mediante cuartiles introduce una pérdida de resolución inherente, lo que constituye la principal limitación del modelo. Alternativas como el Gaussian Naive Bayes con transformaciones de Box-Cox, o el uso de estimadores de densidad kernel, podrían capturar mejor la distribución real de los atributos y mejorar el rendimiento. Sin embargo, la distribución bimodal observada en varias variables sugiere que la suposición gaussiana tampoco sería completamente apropiada sin transformaciones adicionales, lo que justifica la elección de la discretización como solución pragmática.</w:t>
      </w:r>
    </w:p>
    <w:p>
      <w:pPr>
        <w:spacing w:after="80" w:before="0" w:line="240"/>
        <w:ind w:firstLine="440"/>
        <w:jc w:val="both"/>
      </w:pPr>
      <w:r>
        <w:rPr>
          <w:rFonts w:ascii="Times New Roman" w:cs="Times New Roman" w:eastAsia="Times New Roman" w:hAnsi="Times New Roman"/>
          <w:i w:val="false"/>
          <w:iCs w:val="false"/>
          <w:sz w:val="20"/>
          <w:szCs w:val="20"/>
        </w:rPr>
        <w:t xml:space="preserve">En el contexto del modelado gráfico probabilista, el SNBC ilustra cómo la incorporación de conocimiento estructural —en este caso, la eliminación de redundancias y dependencias mediante información mutua— conduce a un modelo más fiel a la distribución real de los datos que el NBC canónico, sin incurrir en la complejidad de estructuras más generales como TAN o BAN. Esta propiedad hace del SNBC una opción adecuada cuando la interpretabilidad y la eficiencia computacional son prioritarias.</w:t>
      </w:r>
    </w:p>
    <w:p>
      <w:pPr>
        <w:spacing w:after="80" w:before="160"/>
        <w:jc w:val="left"/>
      </w:pPr>
      <w:r>
        <w:rPr>
          <w:rFonts w:ascii="Times New Roman" w:cs="Times New Roman" w:eastAsia="Times New Roman" w:hAnsi="Times New Roman"/>
          <w:b/>
          <w:bCs/>
          <w:sz w:val="20"/>
          <w:szCs w:val="20"/>
        </w:rPr>
        <w:t xml:space="preserve">6. CONCLUSIONES</w:t>
      </w:r>
    </w:p>
    <w:p>
      <w:pPr>
        <w:spacing w:after="80" w:before="0" w:line="240"/>
        <w:ind w:firstLine="440"/>
        <w:jc w:val="both"/>
      </w:pPr>
      <w:r>
        <w:rPr>
          <w:rFonts w:ascii="Times New Roman" w:cs="Times New Roman" w:eastAsia="Times New Roman" w:hAnsi="Times New Roman"/>
          <w:i w:val="false"/>
          <w:iCs w:val="false"/>
          <w:sz w:val="20"/>
          <w:szCs w:val="20"/>
        </w:rPr>
        <w:t xml:space="preserve">Se implementó desde cero un Clasificador Bayesiano Semi-Ingenuo para la identificación de péptidos antimicrobianos, cubriendo el ciclo completo de modelado: representación mediante descriptores fisicoquímicos globales, discretización sin fuga de datos, mejora estructural basada en información mutua y condicional, estimación de parámetros con suavizado de Laplace, inferencia en escala logarítmica y evaluación mediante validación cruzada estratificada. El modelo alcanzó una exactitud del 73.1 % y un MCC de 0.464 sobre un conjunto balanceado de 6,612 péptidos, con tiempos de entrenamiento menores a 10 ms por pliegue.</w:t>
      </w:r>
    </w:p>
    <w:p>
      <w:pPr>
        <w:spacing w:after="80" w:before="0" w:line="240"/>
        <w:ind w:firstLine="440"/>
        <w:jc w:val="both"/>
      </w:pPr>
      <w:r>
        <w:rPr>
          <w:rFonts w:ascii="Times New Roman" w:cs="Times New Roman" w:eastAsia="Times New Roman" w:hAnsi="Times New Roman"/>
          <w:i w:val="false"/>
          <w:iCs w:val="false"/>
          <w:sz w:val="20"/>
          <w:szCs w:val="20"/>
        </w:rPr>
        <w:t xml:space="preserve">El trabajo demuestra que los MGP, incluso en sus formulaciones más simples, aportan ventajas concretas en problemas bioinformáticos: la representación probabilista explícita permite diagnosticar y corregir violaciones del supuesto de independencia, y las probabilidades posteriores resultantes son directamente interpretables como grados de confianza en la predicción. Como trabajo futuro se plantea comparar el SNBC con clasificadores TAN y BAN, explorar descriptores de composición local y validar el modelo sobre bases externas para estimar su capacidad de generalización.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2026-06-24T04:03:05.185Z</dcterms:created>
  <dcterms:modified xsi:type="dcterms:W3CDTF">2026-06-24T04:03:05.185Z</dcterms:modified>
</cp:coreProperties>
</file>

<file path=docProps/custom.xml><?xml version="1.0" encoding="utf-8"?>
<Properties xmlns="http://schemas.openxmlformats.org/officeDocument/2006/custom-properties" xmlns:vt="http://schemas.openxmlformats.org/officeDocument/2006/docPropsVTypes"/>
</file>