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479D" w:rsidRDefault="006864CB">
      <w:pPr>
        <w:rPr>
          <w:rFonts w:ascii="Aptos Display" w:hAnsi="Aptos Display"/>
          <w:b/>
          <w:color w:val="4D0098"/>
          <w:sz w:val="48"/>
          <w:lang w:val="es-AR"/>
        </w:rPr>
      </w:pPr>
      <w:r>
        <w:rPr>
          <w:rFonts w:ascii="Aptos Display" w:hAnsi="Aptos Display"/>
          <w:b/>
          <w:noProof/>
          <w:color w:val="4D0098"/>
          <w:sz w:val="48"/>
        </w:rPr>
        <w:drawing>
          <wp:anchor distT="0" distB="0" distL="114300" distR="114300" simplePos="0" relativeHeight="251658240" behindDoc="1" locked="0" layoutInCell="1" allowOverlap="1" wp14:anchorId="63EAF091" wp14:editId="471BDD8A">
            <wp:simplePos x="0" y="0"/>
            <wp:positionH relativeFrom="column">
              <wp:posOffset>2194560</wp:posOffset>
            </wp:positionH>
            <wp:positionV relativeFrom="paragraph">
              <wp:posOffset>-123825</wp:posOffset>
            </wp:positionV>
            <wp:extent cx="1546860" cy="376555"/>
            <wp:effectExtent l="0" t="0" r="0" b="4445"/>
            <wp:wrapTight wrapText="bothSides">
              <wp:wrapPolygon edited="0">
                <wp:start x="0" y="0"/>
                <wp:lineTo x="0" y="15298"/>
                <wp:lineTo x="532" y="17484"/>
                <wp:lineTo x="3990" y="20762"/>
                <wp:lineTo x="5586" y="20762"/>
                <wp:lineTo x="21281" y="17484"/>
                <wp:lineTo x="21281" y="1093"/>
                <wp:lineTo x="1941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t_log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5E88" w:rsidRPr="006864CB" w:rsidRDefault="00D30A8B">
      <w:pPr>
        <w:rPr>
          <w:rFonts w:hint="eastAsia"/>
          <w:color w:val="4D0098"/>
        </w:rPr>
      </w:pPr>
      <w:r w:rsidRPr="006864CB">
        <w:rPr>
          <w:rFonts w:ascii="Aptos Display" w:hAnsi="Aptos Display"/>
          <w:b/>
          <w:color w:val="4D0098"/>
          <w:sz w:val="48"/>
        </w:rPr>
        <w:t>Challenge Data Analyst — Fintech Préstamos</w:t>
      </w:r>
    </w:p>
    <w:p w:rsidR="00E65E88" w:rsidRPr="00281604" w:rsidRDefault="00D30A8B">
      <w:pPr>
        <w:rPr>
          <w:rFonts w:hint="eastAsia"/>
          <w:lang w:val="es-AR"/>
        </w:rPr>
      </w:pPr>
      <w:r w:rsidRPr="00281604">
        <w:rPr>
          <w:i/>
          <w:color w:val="697382"/>
          <w:sz w:val="26"/>
          <w:lang w:val="es-AR"/>
        </w:rPr>
        <w:t>Documentación técnica y decisiones del proyecto</w:t>
      </w:r>
    </w:p>
    <w:p w:rsidR="00E65E88" w:rsidRPr="00281604" w:rsidRDefault="00E65E88">
      <w:pPr>
        <w:rPr>
          <w:rFonts w:hint="eastAsia"/>
          <w:sz w:val="24"/>
          <w:szCs w:val="24"/>
          <w:lang w:val="es-AR"/>
        </w:rPr>
      </w:pPr>
    </w:p>
    <w:p w:rsidR="00E65E88" w:rsidRPr="00281604" w:rsidRDefault="00D30A8B" w:rsidP="001A4E59">
      <w:pPr>
        <w:jc w:val="both"/>
        <w:rPr>
          <w:rFonts w:hint="eastAsia"/>
          <w:sz w:val="24"/>
          <w:szCs w:val="24"/>
        </w:rPr>
      </w:pPr>
      <w:r w:rsidRPr="00281604">
        <w:rPr>
          <w:b/>
          <w:color w:val="4D0098"/>
          <w:sz w:val="24"/>
          <w:szCs w:val="24"/>
        </w:rPr>
        <w:t>Autora: Lic. Jazmín Guazzora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</w:rPr>
      </w:pPr>
      <w:r w:rsidRPr="00281604">
        <w:rPr>
          <w:sz w:val="24"/>
          <w:szCs w:val="24"/>
        </w:rPr>
        <w:t>Stack: Python (pandas) · MySQL / SQL Workbench · Power BI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Modelo final: dimensional curado con reconciliación de clientes, variables </w:t>
      </w:r>
      <w:r w:rsidRPr="00281604">
        <w:rPr>
          <w:sz w:val="24"/>
          <w:szCs w:val="24"/>
          <w:lang w:val="es-AR"/>
        </w:rPr>
        <w:t>crediticias, geografía, préstamos y relación cliente–sucursal.</w:t>
      </w:r>
    </w:p>
    <w:p w:rsidR="00E65E88" w:rsidRPr="00281604" w:rsidRDefault="00E65E88" w:rsidP="001A4E59">
      <w:pPr>
        <w:jc w:val="both"/>
        <w:rPr>
          <w:rFonts w:hint="eastAsia"/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65E88" w:rsidRPr="00281604">
        <w:trPr>
          <w:cantSplit/>
          <w:jc w:val="center"/>
        </w:trPr>
        <w:tc>
          <w:tcPr>
            <w:tcW w:w="10224" w:type="dxa"/>
            <w:shd w:val="clear" w:color="auto" w:fill="F2FBF7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lang w:val="es-AR"/>
              </w:rPr>
            </w:pPr>
            <w:r w:rsidRPr="00281604">
              <w:rPr>
                <w:sz w:val="18"/>
                <w:lang w:val="es-AR"/>
              </w:rPr>
              <w:t xml:space="preserve">Estado: proyecto finalizado. Esta versión </w:t>
            </w:r>
            <w:r w:rsidRPr="00281604">
              <w:rPr>
                <w:sz w:val="18"/>
                <w:lang w:val="es-AR"/>
              </w:rPr>
              <w:t>consolida las decisiones efectivamente implementadas en el modelo SQL y en el dashboard.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lang w:val="es-AR"/>
        </w:rPr>
      </w:pP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t>1. Objetivo y alcance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El</w:t>
      </w:r>
      <w:r w:rsidRPr="00281604">
        <w:rPr>
          <w:sz w:val="24"/>
          <w:szCs w:val="24"/>
          <w:lang w:val="es-AR"/>
        </w:rPr>
        <w:t xml:space="preserve"> challenge parte de cinco archivos raw de una fintech de préstamos personales: clientes offline/core, clientes online/app, préstamos, variables crediticias laborales y variables crediticias demográficas. El objetivo fue reconciliar las fuentes, construir u</w:t>
      </w:r>
      <w:r w:rsidRPr="00281604">
        <w:rPr>
          <w:sz w:val="24"/>
          <w:szCs w:val="24"/>
          <w:lang w:val="es-AR"/>
        </w:rPr>
        <w:t>n modelo curado, documentar su estructura y desarrollar un dashboard analítico.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Entregables: código SQL del modelo curado, DER, catálogo/documentación del modelo, dashboard en Power BI y README con hallazgos y decisiones.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La limpieza atómica se realizó en </w:t>
      </w:r>
      <w:r w:rsidRPr="00281604">
        <w:rPr>
          <w:sz w:val="24"/>
          <w:szCs w:val="24"/>
          <w:lang w:val="es-AR"/>
        </w:rPr>
        <w:t>Python y el modelado/reconciliación en MySQL.</w:t>
      </w:r>
    </w:p>
    <w:p w:rsidR="00E65E88" w:rsidRDefault="00D30A8B" w:rsidP="001A4E59">
      <w:pPr>
        <w:pStyle w:val="Listaconvietas"/>
        <w:spacing w:after="40"/>
        <w:jc w:val="both"/>
        <w:rPr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Power BI se utilizó como capa de modelado analítico, visualización e interacción.</w:t>
      </w:r>
    </w:p>
    <w:p w:rsidR="001A4E59" w:rsidRPr="001A4E59" w:rsidRDefault="001A4E59" w:rsidP="001A4E59">
      <w:pPr>
        <w:pStyle w:val="Ttulo2"/>
        <w:jc w:val="both"/>
        <w:rPr>
          <w:color w:val="7CD282"/>
          <w:szCs w:val="24"/>
          <w:lang w:val="es-AR"/>
        </w:rPr>
      </w:pPr>
      <w:r w:rsidRPr="001A4E59">
        <w:rPr>
          <w:color w:val="7CD282"/>
          <w:szCs w:val="24"/>
          <w:lang w:val="es-AR"/>
        </w:rPr>
        <w:t>1.1 Alc</w:t>
      </w:r>
      <w:r w:rsidR="00905CB1">
        <w:rPr>
          <w:color w:val="7CD282"/>
          <w:szCs w:val="24"/>
          <w:lang w:val="es-AR"/>
        </w:rPr>
        <w:t>a</w:t>
      </w:r>
      <w:r w:rsidRPr="001A4E59">
        <w:rPr>
          <w:color w:val="7CD282"/>
          <w:szCs w:val="24"/>
          <w:lang w:val="es-AR"/>
        </w:rPr>
        <w:t>nce del análisis</w:t>
      </w:r>
    </w:p>
    <w:p w:rsidR="001A4E59" w:rsidRPr="001A4E59" w:rsidRDefault="001A4E59" w:rsidP="001A4E59">
      <w:pPr>
        <w:pStyle w:val="NormalWeb"/>
        <w:jc w:val="both"/>
        <w:rPr>
          <w:rFonts w:ascii="Aptos" w:eastAsiaTheme="minorEastAsia" w:hAnsi="Aptos" w:cstheme="minorBidi"/>
          <w:color w:val="2D3748"/>
          <w:lang w:val="es-AR"/>
        </w:rPr>
      </w:pPr>
      <w:r w:rsidRPr="001A4E59">
        <w:rPr>
          <w:rFonts w:ascii="Aptos" w:eastAsiaTheme="minorEastAsia" w:hAnsi="Aptos" w:cstheme="minorBidi"/>
          <w:color w:val="2D3748"/>
          <w:lang w:val="es-AR"/>
        </w:rPr>
        <w:t xml:space="preserve">Para el dashboard se definió como universo analítico el conjunto de operaciones presentes en </w:t>
      </w:r>
      <w:r w:rsidRPr="001A4E59">
        <w:rPr>
          <w:rFonts w:ascii="Aptos" w:eastAsiaTheme="minorEastAsia" w:hAnsi="Aptos" w:cstheme="minorBidi"/>
          <w:color w:val="2D3748"/>
          <w:lang w:val="es-AR"/>
        </w:rPr>
        <w:t>fact_prestamos</w:t>
      </w:r>
      <w:r w:rsidRPr="001A4E59">
        <w:rPr>
          <w:rFonts w:ascii="Aptos" w:eastAsiaTheme="minorEastAsia" w:hAnsi="Aptos" w:cstheme="minorBidi"/>
          <w:color w:val="2D3748"/>
          <w:lang w:val="es-AR"/>
        </w:rPr>
        <w:t>. En consecuencia, los análisis de cartera, segmentación y perfil de clientes se realizan sobre los clientes asociados a los préstamos del período analizado.</w:t>
      </w:r>
    </w:p>
    <w:p w:rsidR="001A4E59" w:rsidRPr="001A4E59" w:rsidRDefault="001A4E59" w:rsidP="001A4E59">
      <w:pPr>
        <w:pStyle w:val="NormalWeb"/>
        <w:jc w:val="both"/>
        <w:rPr>
          <w:rFonts w:ascii="Aptos" w:eastAsiaTheme="minorEastAsia" w:hAnsi="Aptos" w:cstheme="minorBidi"/>
          <w:color w:val="2D3748"/>
          <w:lang w:val="es-AR"/>
        </w:rPr>
      </w:pPr>
      <w:r w:rsidRPr="001A4E59">
        <w:rPr>
          <w:rFonts w:ascii="Aptos" w:eastAsiaTheme="minorEastAsia" w:hAnsi="Aptos" w:cstheme="minorBidi"/>
          <w:color w:val="2D3748"/>
          <w:lang w:val="es-AR"/>
        </w:rPr>
        <w:t>dim_cliente</w:t>
      </w:r>
      <w:r w:rsidRPr="001A4E59">
        <w:rPr>
          <w:rFonts w:ascii="Aptos" w:eastAsiaTheme="minorEastAsia" w:hAnsi="Aptos" w:cstheme="minorBidi"/>
          <w:color w:val="2D3748"/>
          <w:lang w:val="es-AR"/>
        </w:rPr>
        <w:t xml:space="preserve"> conserva un universo más amplio de clientes reconciliados a partir de las distintas fuentes, incluidos individuos que no registran préstamos. Estos clientes se mantienen en el modelo curado por razones de integridad y trazabilidad, pero </w:t>
      </w:r>
      <w:r w:rsidRPr="001A4E59">
        <w:rPr>
          <w:rFonts w:ascii="Aptos" w:eastAsiaTheme="minorEastAsia" w:hAnsi="Aptos" w:cstheme="minorBidi"/>
          <w:b/>
          <w:bCs/>
          <w:color w:val="2D3748"/>
          <w:lang w:val="es-AR"/>
        </w:rPr>
        <w:t xml:space="preserve">no forman parte del universo analítico del dashboard mientras no estén asociados a una operación en </w:t>
      </w:r>
      <w:r w:rsidRPr="001A4E59">
        <w:rPr>
          <w:rFonts w:ascii="Aptos" w:eastAsiaTheme="minorEastAsia" w:hAnsi="Aptos" w:cstheme="minorBidi"/>
          <w:color w:val="2D3748"/>
          <w:lang w:val="es-AR"/>
        </w:rPr>
        <w:t>fact_prestamos</w:t>
      </w:r>
      <w:r w:rsidRPr="001A4E59">
        <w:rPr>
          <w:rFonts w:ascii="Aptos" w:eastAsiaTheme="minorEastAsia" w:hAnsi="Aptos" w:cstheme="minorBidi"/>
          <w:color w:val="2D3748"/>
          <w:lang w:val="es-AR"/>
        </w:rPr>
        <w:t>.</w:t>
      </w:r>
    </w:p>
    <w:p w:rsidR="001A4E59" w:rsidRDefault="001A4E59" w:rsidP="001A4E59">
      <w:pPr>
        <w:pStyle w:val="NormalWeb"/>
        <w:jc w:val="both"/>
        <w:rPr>
          <w:rFonts w:ascii="Aptos" w:eastAsiaTheme="minorEastAsia" w:hAnsi="Aptos" w:cstheme="minorBidi"/>
          <w:color w:val="2D3748"/>
          <w:lang w:val="es-AR"/>
        </w:rPr>
      </w:pPr>
      <w:r w:rsidRPr="001A4E59">
        <w:rPr>
          <w:rFonts w:ascii="Aptos" w:eastAsiaTheme="minorEastAsia" w:hAnsi="Aptos" w:cstheme="minorBidi"/>
          <w:color w:val="2D3748"/>
          <w:lang w:val="es-AR"/>
        </w:rPr>
        <w:t>Este criterio permite mantener el foco del análisis en la cartera efectivamente otorgada y evita incorporar en las distribuciones y métricas de segmentación clientes que no participaron de la actividad crediticia analizada.</w:t>
      </w:r>
    </w:p>
    <w:p w:rsidR="001A4E59" w:rsidRPr="001A4E59" w:rsidRDefault="001A4E59" w:rsidP="001A4E59">
      <w:pPr>
        <w:pStyle w:val="NormalWeb"/>
        <w:jc w:val="both"/>
        <w:rPr>
          <w:rFonts w:ascii="Aptos" w:eastAsiaTheme="minorEastAsia" w:hAnsi="Aptos" w:cstheme="minorBidi"/>
          <w:color w:val="2D3748"/>
          <w:lang w:val="es-AR"/>
        </w:rPr>
      </w:pPr>
      <w:r w:rsidRPr="001A4E59">
        <w:rPr>
          <w:rFonts w:ascii="Aptos" w:eastAsiaTheme="minorEastAsia" w:hAnsi="Aptos" w:cstheme="minorBidi"/>
          <w:color w:val="2D3748"/>
          <w:lang w:val="es-AR"/>
        </w:rPr>
        <w:t xml:space="preserve">Para los conteos de clientes financiados se utiliza </w:t>
      </w:r>
      <w:r w:rsidRPr="001A4E59">
        <w:rPr>
          <w:rFonts w:ascii="Aptos" w:eastAsiaTheme="minorEastAsia" w:hAnsi="Aptos" w:cstheme="minorBidi"/>
          <w:color w:val="2D3748"/>
          <w:lang w:val="es-AR"/>
        </w:rPr>
        <w:t>id_cliente_origen</w:t>
      </w:r>
      <w:r w:rsidRPr="001A4E59">
        <w:rPr>
          <w:rFonts w:ascii="Aptos" w:eastAsiaTheme="minorEastAsia" w:hAnsi="Aptos" w:cstheme="minorBidi"/>
          <w:color w:val="2D3748"/>
          <w:lang w:val="es-AR"/>
        </w:rPr>
        <w:t xml:space="preserve">, preservando el identificador original de cada operación incluso cuando el cliente no pudo ser reconciliado con </w:t>
      </w:r>
      <w:r w:rsidRPr="001A4E59">
        <w:rPr>
          <w:rFonts w:ascii="Aptos" w:eastAsiaTheme="minorEastAsia" w:hAnsi="Aptos" w:cstheme="minorBidi"/>
          <w:color w:val="2D3748"/>
          <w:lang w:val="es-AR"/>
        </w:rPr>
        <w:t>dim_cliente</w:t>
      </w:r>
      <w:r w:rsidRPr="001A4E59">
        <w:rPr>
          <w:rFonts w:ascii="Aptos" w:eastAsiaTheme="minorEastAsia" w:hAnsi="Aptos" w:cstheme="minorBidi"/>
          <w:color w:val="2D3748"/>
          <w:lang w:val="es-AR"/>
        </w:rPr>
        <w:t>.</w:t>
      </w:r>
    </w:p>
    <w:p w:rsidR="001A4E59" w:rsidRPr="00281604" w:rsidRDefault="001A4E59" w:rsidP="001A4E59">
      <w:pPr>
        <w:pStyle w:val="Listaconvietas"/>
        <w:numPr>
          <w:ilvl w:val="0"/>
          <w:numId w:val="0"/>
        </w:numPr>
        <w:spacing w:after="40"/>
        <w:ind w:left="360" w:hanging="360"/>
        <w:jc w:val="both"/>
        <w:rPr>
          <w:rFonts w:hint="eastAsia"/>
          <w:sz w:val="24"/>
          <w:szCs w:val="24"/>
          <w:lang w:val="es-AR"/>
        </w:rPr>
      </w:pP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lastRenderedPageBreak/>
        <w:t>2. Preparación y limpieza de datos</w:t>
      </w:r>
    </w:p>
    <w:p w:rsidR="00D9627A" w:rsidRPr="00D9627A" w:rsidRDefault="00D9627A" w:rsidP="001A4E59">
      <w:pPr>
        <w:spacing w:after="120"/>
        <w:jc w:val="both"/>
        <w:rPr>
          <w:sz w:val="24"/>
          <w:szCs w:val="24"/>
          <w:lang w:val="es-AR"/>
        </w:rPr>
      </w:pPr>
      <w:r w:rsidRPr="00D9627A">
        <w:rPr>
          <w:sz w:val="24"/>
          <w:szCs w:val="24"/>
          <w:lang w:val="es-AR"/>
        </w:rPr>
        <w:t>La etapa de staging conserva la lógica documenta</w:t>
      </w:r>
      <w:r w:rsidR="00905CB1">
        <w:rPr>
          <w:sz w:val="24"/>
          <w:szCs w:val="24"/>
          <w:lang w:val="es-AR"/>
        </w:rPr>
        <w:t>da durante el perfilado inicial</w:t>
      </w:r>
      <w:r w:rsidRPr="00D9627A">
        <w:rPr>
          <w:sz w:val="24"/>
          <w:szCs w:val="24"/>
          <w:lang w:val="es-AR"/>
        </w:rPr>
        <w:t>). Se normalizaron 3+ formatos de fecha, moneda y catego</w:t>
      </w:r>
      <w:r>
        <w:rPr>
          <w:sz w:val="24"/>
          <w:szCs w:val="24"/>
          <w:lang w:val="es-AR"/>
        </w:rPr>
        <w:t>rías con 0 conflictos validados: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312"/>
        <w:gridCol w:w="4320"/>
      </w:tblGrid>
      <w:tr w:rsidR="00E65E88" w:rsidRPr="00281604" w:rsidTr="00281604">
        <w:trPr>
          <w:cantSplit/>
          <w:jc w:val="center"/>
        </w:trPr>
        <w:tc>
          <w:tcPr>
            <w:tcW w:w="1728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Proceso</w:t>
            </w:r>
          </w:p>
        </w:tc>
        <w:tc>
          <w:tcPr>
            <w:tcW w:w="3312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Trat</w:t>
            </w:r>
            <w:r w:rsidRPr="00281604">
              <w:rPr>
                <w:b/>
                <w:color w:val="FFFFFF"/>
                <w:sz w:val="24"/>
                <w:szCs w:val="24"/>
              </w:rPr>
              <w:t>amiento aplicado</w:t>
            </w:r>
          </w:p>
        </w:tc>
        <w:tc>
          <w:tcPr>
            <w:tcW w:w="4320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Criterio</w:t>
            </w:r>
          </w:p>
        </w:tc>
      </w:tr>
      <w:tr w:rsidR="00E65E88" w:rsidRPr="00281604">
        <w:trPr>
          <w:cantSplit/>
          <w:jc w:val="center"/>
        </w:trPr>
        <w:tc>
          <w:tcPr>
            <w:tcW w:w="172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Duplicados exactos</w:t>
            </w:r>
          </w:p>
        </w:tc>
        <w:tc>
          <w:tcPr>
            <w:tcW w:w="3312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drop_duplicates() en los 5 dataframes</w:t>
            </w:r>
          </w:p>
        </w:tc>
        <w:tc>
          <w:tcPr>
            <w:tcW w:w="4320" w:type="dxa"/>
            <w:vAlign w:val="center"/>
          </w:tcPr>
          <w:p w:rsidR="00E65E88" w:rsidRPr="00D9627A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Se eliminan filas 100% idénticas por ser duplicación de carga, sin decisión de negocio.</w:t>
            </w:r>
            <w:r w:rsidR="00D9627A">
              <w:rPr>
                <w:sz w:val="24"/>
                <w:szCs w:val="24"/>
                <w:lang w:val="es-AR"/>
              </w:rPr>
              <w:t xml:space="preserve"> </w:t>
            </w:r>
            <w:r w:rsidR="00D9627A" w:rsidRPr="00D9627A">
              <w:rPr>
                <w:sz w:val="24"/>
                <w:szCs w:val="24"/>
                <w:lang w:val="es-AR"/>
              </w:rPr>
              <w:t>offline (28→7,074), online (82→5,456), préstamos (98→6,598), demo (79→7,905), laboral (75→7,521)</w:t>
            </w:r>
          </w:p>
        </w:tc>
      </w:tr>
      <w:tr w:rsidR="00E65E88" w:rsidRPr="00281604">
        <w:trPr>
          <w:cantSplit/>
          <w:jc w:val="center"/>
        </w:trPr>
        <w:tc>
          <w:tcPr>
            <w:tcW w:w="1728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Fechas</w:t>
            </w:r>
          </w:p>
        </w:tc>
        <w:tc>
          <w:tcPr>
            <w:tcW w:w="3312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pd.to_datetime(..., format='mixed')</w:t>
            </w:r>
          </w:p>
        </w:tc>
        <w:tc>
          <w:tcPr>
            <w:tcW w:w="4320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 xml:space="preserve">Unificación de formatos ISO, DD/MM/AAAA </w:t>
            </w:r>
            <w:r w:rsidRPr="00281604">
              <w:rPr>
                <w:sz w:val="24"/>
                <w:szCs w:val="24"/>
                <w:lang w:val="es-AR"/>
              </w:rPr>
              <w:t>e ISO con hora.</w:t>
            </w:r>
          </w:p>
        </w:tc>
      </w:tr>
      <w:tr w:rsidR="00E65E88" w:rsidRPr="00281604">
        <w:trPr>
          <w:cantSplit/>
          <w:jc w:val="center"/>
        </w:trPr>
        <w:tc>
          <w:tcPr>
            <w:tcW w:w="172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Montos</w:t>
            </w:r>
          </w:p>
        </w:tc>
        <w:tc>
          <w:tcPr>
            <w:tcW w:w="3312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Normalización de separadores decimal/miles</w:t>
            </w:r>
          </w:p>
        </w:tc>
        <w:tc>
          <w:tcPr>
            <w:tcW w:w="432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Conversión a valores numéricos consistentes para monto e ingreso_mensual.</w:t>
            </w:r>
          </w:p>
        </w:tc>
      </w:tr>
      <w:tr w:rsidR="00E65E88" w:rsidRPr="00281604">
        <w:trPr>
          <w:cantSplit/>
          <w:jc w:val="center"/>
        </w:trPr>
        <w:tc>
          <w:tcPr>
            <w:tcW w:w="1728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Categorías</w:t>
            </w:r>
          </w:p>
        </w:tc>
        <w:tc>
          <w:tcPr>
            <w:tcW w:w="3312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Homogeneización de segmento</w:t>
            </w:r>
            <w:r w:rsidR="00D9627A">
              <w:rPr>
                <w:sz w:val="24"/>
                <w:szCs w:val="24"/>
                <w:lang w:val="es-AR"/>
              </w:rPr>
              <w:t xml:space="preserve"> </w:t>
            </w:r>
            <w:r w:rsidR="00D9627A" w:rsidRPr="00D9627A">
              <w:rPr>
                <w:color w:val="3C3C3C"/>
                <w:sz w:val="22"/>
                <w:lang w:val="es-AR"/>
              </w:rPr>
              <w:t>lowercase, English→Spanish</w:t>
            </w:r>
            <w:r w:rsidRPr="00281604">
              <w:rPr>
                <w:sz w:val="24"/>
                <w:szCs w:val="24"/>
                <w:lang w:val="es-AR"/>
              </w:rPr>
              <w:t xml:space="preserve"> y </w:t>
            </w:r>
            <w:r w:rsidR="00D9627A">
              <w:rPr>
                <w:sz w:val="24"/>
                <w:szCs w:val="24"/>
                <w:lang w:val="es-AR"/>
              </w:rPr>
              <w:t xml:space="preserve">se unificaron </w:t>
            </w:r>
            <w:r w:rsidRPr="00281604">
              <w:rPr>
                <w:sz w:val="24"/>
                <w:szCs w:val="24"/>
                <w:lang w:val="es-AR"/>
              </w:rPr>
              <w:t>provincia</w:t>
            </w:r>
            <w:r w:rsidR="00D9627A">
              <w:rPr>
                <w:sz w:val="24"/>
                <w:szCs w:val="24"/>
                <w:lang w:val="es-AR"/>
              </w:rPr>
              <w:t>s registradas de distinta manera</w:t>
            </w:r>
          </w:p>
        </w:tc>
        <w:tc>
          <w:tcPr>
            <w:tcW w:w="4320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Se preservan Buenos Aires y CABA como jurisdicciones distintas.</w:t>
            </w:r>
          </w:p>
        </w:tc>
      </w:tr>
      <w:tr w:rsidR="00E65E88" w:rsidRPr="00281604">
        <w:trPr>
          <w:cantSplit/>
          <w:jc w:val="center"/>
        </w:trPr>
        <w:tc>
          <w:tcPr>
            <w:tcW w:w="172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Nulos</w:t>
            </w:r>
          </w:p>
        </w:tc>
        <w:tc>
          <w:tcPr>
            <w:tcW w:w="3312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Se conservan como NULL</w:t>
            </w:r>
          </w:p>
        </w:tc>
        <w:tc>
          <w:tcPr>
            <w:tcW w:w="432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No se imputan valores sin evidencia; la presentación 'Sin información' se resuelve en la capa analítica.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sz w:val="24"/>
          <w:szCs w:val="24"/>
          <w:lang w:val="es-AR"/>
        </w:rPr>
      </w:pP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Una decisión </w:t>
      </w:r>
      <w:r w:rsidRPr="00281604">
        <w:rPr>
          <w:sz w:val="24"/>
          <w:szCs w:val="24"/>
          <w:lang w:val="es-AR"/>
        </w:rPr>
        <w:t xml:space="preserve">relevante fue no reemplazar los NULL de atrasos_historicos_12m por cero: “sin dato” y “sin </w:t>
      </w:r>
      <w:r w:rsidRPr="00281604">
        <w:rPr>
          <w:sz w:val="24"/>
          <w:szCs w:val="24"/>
          <w:lang w:val="es-AR"/>
        </w:rPr>
        <w:t>atrasos” representan situaciones distintas y fusionarlas subestimaría el riesgo.</w:t>
      </w: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t>3. Modelo dimensional final</w:t>
      </w:r>
    </w:p>
    <w:p w:rsidR="00E65E88" w:rsidRPr="00281604" w:rsidRDefault="00D30A8B" w:rsidP="001A4E59">
      <w:pPr>
        <w:spacing w:after="12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El modelo SQL final está compuesto por cuatro tablas dimensionales/relacionales y una tabla de hechos. </w:t>
      </w:r>
      <w:r w:rsidR="00D9627A" w:rsidRPr="00D9627A">
        <w:rPr>
          <w:sz w:val="24"/>
          <w:szCs w:val="24"/>
          <w:lang w:val="es-AR"/>
        </w:rPr>
        <w:t>Estructura: dim_cliente (8,637 registros), dim_variables_crediticias (9,482), dim_geografica (6 provincias), cliente_sucursal (bridge), fact_prestamos (6,598 préstamos).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2"/>
        <w:gridCol w:w="2248"/>
        <w:gridCol w:w="3747"/>
        <w:gridCol w:w="1763"/>
      </w:tblGrid>
      <w:tr w:rsidR="00E65E88" w:rsidRPr="00281604" w:rsidTr="00281604">
        <w:trPr>
          <w:cantSplit/>
          <w:jc w:val="center"/>
        </w:trPr>
        <w:tc>
          <w:tcPr>
            <w:tcW w:w="2016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2448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Granularidad</w:t>
            </w:r>
          </w:p>
        </w:tc>
        <w:tc>
          <w:tcPr>
            <w:tcW w:w="4464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Propósito</w:t>
            </w:r>
          </w:p>
        </w:tc>
        <w:tc>
          <w:tcPr>
            <w:tcW w:w="1872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Clave principal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dim_cliente</w:t>
            </w:r>
          </w:p>
        </w:tc>
        <w:tc>
          <w:tcPr>
            <w:tcW w:w="244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1 fila por cliente</w:t>
            </w:r>
          </w:p>
        </w:tc>
        <w:tc>
          <w:tcPr>
            <w:tcW w:w="4464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Consolida clientes presentes en fuentes offline, online, laborales o demográficas.</w:t>
            </w:r>
          </w:p>
        </w:tc>
        <w:tc>
          <w:tcPr>
            <w:tcW w:w="1872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id_cliente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cliente_sucursal</w:t>
            </w:r>
          </w:p>
        </w:tc>
        <w:tc>
          <w:tcPr>
            <w:tcW w:w="2448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 xml:space="preserve">1 fila por combinación </w:t>
            </w:r>
            <w:r w:rsidRPr="00281604">
              <w:rPr>
                <w:sz w:val="24"/>
                <w:szCs w:val="24"/>
                <w:lang w:val="es-AR"/>
              </w:rPr>
              <w:t>cliente–sucursal</w:t>
            </w:r>
          </w:p>
        </w:tc>
        <w:tc>
          <w:tcPr>
            <w:tcW w:w="4464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Preserva relaciones múltiples entre clientes y sucursales.</w:t>
            </w:r>
          </w:p>
        </w:tc>
        <w:tc>
          <w:tcPr>
            <w:tcW w:w="1872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(id_cliente, sucursal)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dim_geografica</w:t>
            </w:r>
          </w:p>
        </w:tc>
        <w:tc>
          <w:tcPr>
            <w:tcW w:w="244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1 fila por provincia</w:t>
            </w:r>
          </w:p>
        </w:tc>
        <w:tc>
          <w:tcPr>
            <w:tcW w:w="4464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Normaliza provincia y país para el análisis geográfico.</w:t>
            </w:r>
          </w:p>
        </w:tc>
        <w:tc>
          <w:tcPr>
            <w:tcW w:w="1872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id_provincia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dim_variables_crediticias</w:t>
            </w:r>
          </w:p>
        </w:tc>
        <w:tc>
          <w:tcPr>
            <w:tcW w:w="2448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1 fila por cliente</w:t>
            </w:r>
          </w:p>
        </w:tc>
        <w:tc>
          <w:tcPr>
            <w:tcW w:w="4464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Integ</w:t>
            </w:r>
            <w:r w:rsidRPr="00281604">
              <w:rPr>
                <w:sz w:val="24"/>
                <w:szCs w:val="24"/>
                <w:lang w:val="es-AR"/>
              </w:rPr>
              <w:t>ra variables laborales y demográficas.</w:t>
            </w:r>
          </w:p>
        </w:tc>
        <w:tc>
          <w:tcPr>
            <w:tcW w:w="1872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id_cliente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lastRenderedPageBreak/>
              <w:t>fact_prestamos</w:t>
            </w:r>
          </w:p>
        </w:tc>
        <w:tc>
          <w:tcPr>
            <w:tcW w:w="244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1 fila por préstamo</w:t>
            </w:r>
          </w:p>
        </w:tc>
        <w:tc>
          <w:tcPr>
            <w:tcW w:w="4464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Concentra fecha, monto, tasa, cuotas y referencia al cliente.</w:t>
            </w:r>
          </w:p>
        </w:tc>
        <w:tc>
          <w:tcPr>
            <w:tcW w:w="1872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id_prestamo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sz w:val="24"/>
          <w:szCs w:val="24"/>
        </w:rPr>
      </w:pPr>
    </w:p>
    <w:p w:rsidR="00E65E88" w:rsidRPr="00281604" w:rsidRDefault="00D30A8B" w:rsidP="001A4E59">
      <w:pPr>
        <w:pStyle w:val="Ttulo2"/>
        <w:jc w:val="both"/>
        <w:rPr>
          <w:color w:val="7CD282"/>
          <w:szCs w:val="24"/>
        </w:rPr>
      </w:pPr>
      <w:r w:rsidRPr="00281604">
        <w:rPr>
          <w:color w:val="7CD282"/>
          <w:szCs w:val="24"/>
        </w:rPr>
        <w:t>3.1 Reconciliación de clientes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Los identificadores id_cliente (offline) y customer_id (online)</w:t>
      </w:r>
      <w:r w:rsidRPr="00281604">
        <w:rPr>
          <w:sz w:val="24"/>
          <w:szCs w:val="24"/>
          <w:lang w:val="es-AR"/>
        </w:rPr>
        <w:t xml:space="preserve"> se trataron como un mismo espacio de claves. La dimensión cliente se construye sobre la unión de IDs presentes en offline, online, variables laborales y variables demográficas.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Para atributos compartidos se aplica COALESCE(offline, online): offline funcio</w:t>
      </w:r>
      <w:r w:rsidRPr="00281604">
        <w:rPr>
          <w:sz w:val="24"/>
          <w:szCs w:val="24"/>
          <w:lang w:val="es-AR"/>
        </w:rPr>
        <w:t>na como primera fuente y online como fallback.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canal_adquisicion proviene de la fuente online.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origen clasifica al cliente como ambos, offline, online o solo variables.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Se agrega el cliente técnico -1 = 'Cliente no identificado' para conservar préstamos cu</w:t>
      </w:r>
      <w:r w:rsidRPr="00281604">
        <w:rPr>
          <w:sz w:val="24"/>
          <w:szCs w:val="24"/>
          <w:lang w:val="es-AR"/>
        </w:rPr>
        <w:t>yo id original no encuentra correspondencia en dim_cliente.</w:t>
      </w:r>
    </w:p>
    <w:p w:rsidR="00E65E88" w:rsidRPr="00281604" w:rsidRDefault="00D30A8B" w:rsidP="001A4E59">
      <w:pPr>
        <w:pStyle w:val="Ttulo2"/>
        <w:jc w:val="both"/>
        <w:rPr>
          <w:color w:val="7CD282"/>
          <w:szCs w:val="24"/>
          <w:lang w:val="es-AR"/>
        </w:rPr>
      </w:pPr>
      <w:r w:rsidRPr="00281604">
        <w:rPr>
          <w:color w:val="7CD282"/>
          <w:szCs w:val="24"/>
          <w:lang w:val="es-AR"/>
        </w:rPr>
        <w:t>3.2 Preservación de la relación cliente–sucursal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Los casos en que un mismo cliente aparece asociado a más de una sucursal no se resuelven seleccionando arbitrariamente una sucursal 'ganadora'. Se </w:t>
      </w:r>
      <w:r w:rsidRPr="00281604">
        <w:rPr>
          <w:sz w:val="24"/>
          <w:szCs w:val="24"/>
          <w:lang w:val="es-AR"/>
        </w:rPr>
        <w:t>creó cliente_sucursal con clave compuesta (id_cliente, sucursal), preservando todas las relaciones válidas observadas.</w:t>
      </w:r>
    </w:p>
    <w:p w:rsidR="00E65E88" w:rsidRPr="00281604" w:rsidRDefault="00D30A8B" w:rsidP="001A4E59">
      <w:pPr>
        <w:pStyle w:val="Ttulo2"/>
        <w:jc w:val="both"/>
        <w:rPr>
          <w:color w:val="7CD282"/>
          <w:szCs w:val="24"/>
          <w:lang w:val="es-AR"/>
        </w:rPr>
      </w:pPr>
      <w:r w:rsidRPr="00281604">
        <w:rPr>
          <w:color w:val="7CD282"/>
          <w:szCs w:val="24"/>
          <w:lang w:val="es-AR"/>
        </w:rPr>
        <w:t>3.3 Fact de préstamos e identificadores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fact_prestamos conserva dos identificadores de cliente con funciones diferentes: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50"/>
        <w:gridCol w:w="7590"/>
      </w:tblGrid>
      <w:tr w:rsidR="00E65E88" w:rsidRPr="00281604" w:rsidTr="00281604">
        <w:trPr>
          <w:cantSplit/>
          <w:jc w:val="center"/>
        </w:trPr>
        <w:tc>
          <w:tcPr>
            <w:tcW w:w="2880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7776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Uso</w:t>
            </w:r>
          </w:p>
        </w:tc>
      </w:tr>
      <w:tr w:rsidR="00E65E88" w:rsidRPr="00281604">
        <w:trPr>
          <w:cantSplit/>
          <w:jc w:val="center"/>
        </w:trPr>
        <w:tc>
          <w:tcPr>
            <w:tcW w:w="288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id_cliente</w:t>
            </w:r>
          </w:p>
        </w:tc>
        <w:tc>
          <w:tcPr>
            <w:tcW w:w="777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Clave foránea técnica hacia dim_cliente. Cuando no existe match, toma -1.</w:t>
            </w:r>
          </w:p>
        </w:tc>
      </w:tr>
      <w:tr w:rsidR="00E65E88" w:rsidRPr="00281604">
        <w:trPr>
          <w:cantSplit/>
          <w:jc w:val="center"/>
        </w:trPr>
        <w:tc>
          <w:tcPr>
            <w:tcW w:w="2880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id_cliente_origen</w:t>
            </w:r>
          </w:p>
        </w:tc>
        <w:tc>
          <w:tcPr>
            <w:tcW w:w="7776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Conserva el ID original del préstamo y permite auditar/recontar el universo sin perder la identidad de origen.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sz w:val="24"/>
          <w:szCs w:val="24"/>
          <w:lang w:val="es-A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E65E88" w:rsidRPr="00281604">
        <w:trPr>
          <w:cantSplit/>
          <w:jc w:val="center"/>
        </w:trPr>
        <w:tc>
          <w:tcPr>
            <w:tcW w:w="10224" w:type="dxa"/>
            <w:shd w:val="clear" w:color="auto" w:fill="F2FBF7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Decisión analítica: para conteos de cli</w:t>
            </w:r>
            <w:r w:rsidRPr="00281604">
              <w:rPr>
                <w:sz w:val="24"/>
                <w:szCs w:val="24"/>
                <w:lang w:val="es-AR"/>
              </w:rPr>
              <w:t>entes financiados se utiliza id_cliente_origen. En el universo final se validaron 6.598 préstamos y 6.598 id_cliente_origen únicos.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sz w:val="24"/>
          <w:szCs w:val="24"/>
          <w:lang w:val="es-AR"/>
        </w:rPr>
      </w:pP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t>4. Validaciones e integridad del modelo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El SQL final incluye controles de unicidad, correspondencia de claves, </w:t>
      </w:r>
      <w:r w:rsidRPr="00281604">
        <w:rPr>
          <w:sz w:val="24"/>
          <w:szCs w:val="24"/>
          <w:lang w:val="es-AR"/>
        </w:rPr>
        <w:t>conservación del volumen de préstamos y del monto total, además de verificaciones de cobertura de variables.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fact_prestamos mantiene una fila por id_prestamo y referencia a dim_cliente mediante FK.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dim_variables_crediticias mantiene una fila por cliente y </w:t>
      </w:r>
      <w:r w:rsidRPr="00281604">
        <w:rPr>
          <w:sz w:val="24"/>
          <w:szCs w:val="24"/>
          <w:lang w:val="es-AR"/>
        </w:rPr>
        <w:t>referencia a dim_cliente y dim_geografica.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cliente_sucursal mantiene la relación muchos-a-muchos potencial entre clientes y sucursales mediante una PK compuesta.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Los préstamos sin cliente reconciliado se conservan en la fact y se asignan al miembro técnico</w:t>
      </w:r>
      <w:r w:rsidRPr="00281604">
        <w:rPr>
          <w:sz w:val="24"/>
          <w:szCs w:val="24"/>
          <w:lang w:val="es-AR"/>
        </w:rPr>
        <w:t xml:space="preserve"> -1, evitando pérdida de hechos.</w:t>
      </w: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lastRenderedPageBreak/>
        <w:t>5. Calidad y cobertura de datos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La revisión final distinguió dos conceptos: reconciliación del cliente y completitud de atributos. Un cliente puede estar correctamente identificado y, aun así, carecer de variables laborales</w:t>
      </w:r>
      <w:r w:rsidRPr="00281604">
        <w:rPr>
          <w:sz w:val="24"/>
          <w:szCs w:val="24"/>
          <w:lang w:val="es-AR"/>
        </w:rPr>
        <w:t>, demográficas o de riesgo.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45"/>
        <w:gridCol w:w="1961"/>
        <w:gridCol w:w="5434"/>
      </w:tblGrid>
      <w:tr w:rsidR="00E65E88" w:rsidRPr="00281604" w:rsidTr="00281604">
        <w:trPr>
          <w:cantSplit/>
          <w:jc w:val="center"/>
        </w:trPr>
        <w:tc>
          <w:tcPr>
            <w:tcW w:w="3168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Indicador</w:t>
            </w:r>
          </w:p>
        </w:tc>
        <w:tc>
          <w:tcPr>
            <w:tcW w:w="2016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Cobertura final</w:t>
            </w:r>
          </w:p>
        </w:tc>
        <w:tc>
          <w:tcPr>
            <w:tcW w:w="5760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Lectura</w:t>
            </w:r>
          </w:p>
        </w:tc>
      </w:tr>
      <w:tr w:rsidR="00E65E88" w:rsidRPr="00281604">
        <w:trPr>
          <w:cantSplit/>
          <w:jc w:val="center"/>
        </w:trPr>
        <w:tc>
          <w:tcPr>
            <w:tcW w:w="316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Identificación de clientes</w:t>
            </w:r>
          </w:p>
        </w:tc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98,7%</w:t>
            </w:r>
          </w:p>
        </w:tc>
        <w:tc>
          <w:tcPr>
            <w:tcW w:w="576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La gran mayoría de los préstamos puede asociarse a un cliente del modelo.</w:t>
            </w:r>
          </w:p>
        </w:tc>
      </w:tr>
      <w:tr w:rsidR="00E65E88" w:rsidRPr="00281604">
        <w:trPr>
          <w:cantSplit/>
          <w:jc w:val="center"/>
        </w:trPr>
        <w:tc>
          <w:tcPr>
            <w:tcW w:w="3168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Provincia</w:t>
            </w:r>
          </w:p>
        </w:tc>
        <w:tc>
          <w:tcPr>
            <w:tcW w:w="2016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78,5%</w:t>
            </w:r>
          </w:p>
        </w:tc>
        <w:tc>
          <w:tcPr>
            <w:tcW w:w="5760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Cobertura del atributo geográfico en el universo analizado.</w:t>
            </w:r>
          </w:p>
        </w:tc>
      </w:tr>
      <w:tr w:rsidR="00E65E88" w:rsidRPr="00281604">
        <w:trPr>
          <w:cantSplit/>
          <w:jc w:val="center"/>
        </w:trPr>
        <w:tc>
          <w:tcPr>
            <w:tcW w:w="316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Edad</w:t>
            </w:r>
          </w:p>
        </w:tc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78,5%</w:t>
            </w:r>
          </w:p>
        </w:tc>
        <w:tc>
          <w:tcPr>
            <w:tcW w:w="576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Cobertura del atributo demográfico.</w:t>
            </w:r>
          </w:p>
        </w:tc>
      </w:tr>
      <w:tr w:rsidR="00E65E88" w:rsidRPr="00281604">
        <w:trPr>
          <w:cantSplit/>
          <w:jc w:val="center"/>
        </w:trPr>
        <w:tc>
          <w:tcPr>
            <w:tcW w:w="3168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Situación laboral</w:t>
            </w:r>
          </w:p>
        </w:tc>
        <w:tc>
          <w:tcPr>
            <w:tcW w:w="2016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74,5%</w:t>
            </w:r>
          </w:p>
        </w:tc>
        <w:tc>
          <w:tcPr>
            <w:tcW w:w="5760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Cobertura del atributo laboral.</w:t>
            </w:r>
          </w:p>
        </w:tc>
      </w:tr>
      <w:tr w:rsidR="00E65E88" w:rsidRPr="00281604">
        <w:trPr>
          <w:cantSplit/>
          <w:jc w:val="center"/>
        </w:trPr>
        <w:tc>
          <w:tcPr>
            <w:tcW w:w="3168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Atrasos históricos 12M</w:t>
            </w:r>
          </w:p>
        </w:tc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73,4%</w:t>
            </w:r>
          </w:p>
        </w:tc>
        <w:tc>
          <w:tcPr>
            <w:tcW w:w="576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Cobertura del atributo de antecedentes de atraso.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sz w:val="24"/>
          <w:szCs w:val="24"/>
          <w:lang w:val="es-AR"/>
        </w:rPr>
      </w:pP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Para las visualizaciones se utiliza la categoría “Sin información” sin </w:t>
      </w:r>
      <w:r w:rsidRPr="00281604">
        <w:rPr>
          <w:sz w:val="24"/>
          <w:szCs w:val="24"/>
          <w:lang w:val="es-AR"/>
        </w:rPr>
        <w:t>imputar valores. Esta categoría puede originarse en un cliente no identificado, un cliente identificado sin registro en variables o un atributo nulo dentro de la dimensión de variables.</w:t>
      </w: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t>6. Dashboard en Power BI</w:t>
      </w:r>
    </w:p>
    <w:p w:rsidR="00E65E88" w:rsidRPr="00281604" w:rsidRDefault="00D30A8B" w:rsidP="001A4E59">
      <w:pPr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El dashboard final se construyó en Power BI y</w:t>
      </w:r>
      <w:r w:rsidRPr="00281604">
        <w:rPr>
          <w:sz w:val="24"/>
          <w:szCs w:val="24"/>
          <w:lang w:val="es-AR"/>
        </w:rPr>
        <w:t xml:space="preserve"> se organizó en cuatro páginas: Portada, Cartera, Segmentación e Insights.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03"/>
        <w:gridCol w:w="8437"/>
      </w:tblGrid>
      <w:tr w:rsidR="00E65E88" w:rsidRPr="00281604" w:rsidTr="00281604">
        <w:trPr>
          <w:cantSplit/>
          <w:jc w:val="center"/>
        </w:trPr>
        <w:tc>
          <w:tcPr>
            <w:tcW w:w="2016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Página</w:t>
            </w:r>
          </w:p>
        </w:tc>
        <w:tc>
          <w:tcPr>
            <w:tcW w:w="8640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Objetivo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Portada</w:t>
            </w:r>
          </w:p>
        </w:tc>
        <w:tc>
          <w:tcPr>
            <w:tcW w:w="864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Presentación del challenge, autoría y contexto.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Cartera</w:t>
            </w:r>
          </w:p>
        </w:tc>
        <w:tc>
          <w:tcPr>
            <w:tcW w:w="8640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 xml:space="preserve">Seguimiento de monto otorgado, préstamos, ticket, tasa, evolución temporal, provincia y filtros de </w:t>
            </w:r>
            <w:r w:rsidRPr="00281604">
              <w:rPr>
                <w:sz w:val="24"/>
                <w:szCs w:val="24"/>
                <w:lang w:val="es-AR"/>
              </w:rPr>
              <w:t>negocio.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Segmentación</w:t>
            </w:r>
          </w:p>
        </w:tc>
        <w:tc>
          <w:tcPr>
            <w:tcW w:w="8640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Análisis de ingreso, endeudamiento, atrasos, edad y composición de clientes por segmento.</w:t>
            </w:r>
          </w:p>
        </w:tc>
      </w:tr>
      <w:tr w:rsidR="00E65E88" w:rsidRPr="00281604">
        <w:trPr>
          <w:cantSplit/>
          <w:jc w:val="center"/>
        </w:trPr>
        <w:tc>
          <w:tcPr>
            <w:tcW w:w="2016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Insights</w:t>
            </w:r>
          </w:p>
        </w:tc>
        <w:tc>
          <w:tcPr>
            <w:tcW w:w="8640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Síntesis ejecutiva de los principales hallazgos de negocio y calidad de datos.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sz w:val="24"/>
          <w:szCs w:val="24"/>
          <w:lang w:val="es-AR"/>
        </w:rPr>
      </w:pP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bookmarkStart w:id="0" w:name="_GoBack"/>
      <w:bookmarkEnd w:id="0"/>
      <w:r w:rsidRPr="00281604">
        <w:rPr>
          <w:sz w:val="24"/>
          <w:szCs w:val="24"/>
          <w:lang w:val="es-AR"/>
        </w:rPr>
        <w:t xml:space="preserve">Filtros sincronizados entre páginas para Segmento, </w:t>
      </w:r>
      <w:r w:rsidRPr="00281604">
        <w:rPr>
          <w:sz w:val="24"/>
          <w:szCs w:val="24"/>
          <w:lang w:val="es-AR"/>
        </w:rPr>
        <w:t>Provincia, Situación laboral y Canal de adquisición.</w:t>
      </w:r>
    </w:p>
    <w:p w:rsidR="00905CB1" w:rsidRDefault="00905CB1" w:rsidP="001A4E59">
      <w:pPr>
        <w:pStyle w:val="Listaconvietas"/>
        <w:spacing w:after="40"/>
        <w:jc w:val="both"/>
        <w:rPr>
          <w:sz w:val="24"/>
          <w:szCs w:val="24"/>
          <w:lang w:val="es-AR"/>
        </w:rPr>
      </w:pPr>
      <w:r w:rsidRPr="00905CB1">
        <w:rPr>
          <w:sz w:val="24"/>
          <w:szCs w:val="24"/>
          <w:lang w:val="es-AR"/>
        </w:rPr>
        <w:t>Comparación contra período anterior en los KPI temporales, respondiendo tanto al filtro de período como a la selección directa sobre los gráficos de evolución.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Uso de id_cliente_origen para mantener consistencia en los conteos de clientes financiados.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Las categorías visu</w:t>
      </w:r>
      <w:r w:rsidRPr="00281604">
        <w:rPr>
          <w:sz w:val="24"/>
          <w:szCs w:val="24"/>
          <w:lang w:val="es-AR"/>
        </w:rPr>
        <w:t>ales 'Sin información' se construyen sin alterar el dato base.</w:t>
      </w: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t>7. Hallazgos finales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8021"/>
      </w:tblGrid>
      <w:tr w:rsidR="00E65E88" w:rsidTr="00736E8E">
        <w:trPr>
          <w:cantSplit/>
          <w:jc w:val="center"/>
        </w:trPr>
        <w:tc>
          <w:tcPr>
            <w:tcW w:w="2419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Hallazgo</w:t>
            </w:r>
          </w:p>
        </w:tc>
        <w:tc>
          <w:tcPr>
            <w:tcW w:w="8021" w:type="dxa"/>
            <w:shd w:val="clear" w:color="auto" w:fill="4D0098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b/>
                <w:color w:val="FFFFFF"/>
                <w:sz w:val="24"/>
                <w:szCs w:val="24"/>
              </w:rPr>
            </w:pPr>
            <w:r w:rsidRPr="00281604">
              <w:rPr>
                <w:b/>
                <w:color w:val="FFFFFF"/>
                <w:sz w:val="24"/>
                <w:szCs w:val="24"/>
              </w:rPr>
              <w:t>Síntesis</w:t>
            </w:r>
          </w:p>
        </w:tc>
      </w:tr>
      <w:tr w:rsidR="00E65E88" w:rsidRPr="00281604" w:rsidTr="00736E8E">
        <w:trPr>
          <w:cantSplit/>
          <w:jc w:val="center"/>
        </w:trPr>
        <w:tc>
          <w:tcPr>
            <w:tcW w:w="2419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lastRenderedPageBreak/>
              <w:t>Actividad y canales</w:t>
            </w:r>
          </w:p>
        </w:tc>
        <w:tc>
          <w:tcPr>
            <w:tcW w:w="8021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 xml:space="preserve">La actividad acelera hacia el cierre de 2024. Los clientes financiados pasan de 389 en julio a 511 en septiembre (+31,4%) y se </w:t>
            </w:r>
            <w:r w:rsidRPr="00281604">
              <w:rPr>
                <w:sz w:val="24"/>
                <w:szCs w:val="24"/>
                <w:lang w:val="es-AR"/>
              </w:rPr>
              <w:t>mantienen por encima de 480 hasta diciembre. El patrón aparece en Web, App y Referral con distinta intensidad.</w:t>
            </w:r>
          </w:p>
        </w:tc>
      </w:tr>
      <w:tr w:rsidR="00736E8E" w:rsidRPr="00281604" w:rsidTr="00736E8E">
        <w:trPr>
          <w:cantSplit/>
          <w:jc w:val="center"/>
        </w:trPr>
        <w:tc>
          <w:tcPr>
            <w:tcW w:w="2419" w:type="dxa"/>
          </w:tcPr>
          <w:p w:rsidR="00736E8E" w:rsidRPr="00736E8E" w:rsidRDefault="00736E8E" w:rsidP="001A4E59">
            <w:pPr>
              <w:jc w:val="both"/>
              <w:rPr>
                <w:lang w:val="es-AR"/>
              </w:rPr>
            </w:pPr>
            <w:r>
              <w:rPr>
                <w:color w:val="3C3C3C"/>
                <w:sz w:val="22"/>
                <w:lang w:val="es-AR"/>
              </w:rPr>
              <w:t>Distribución geográfica</w:t>
            </w:r>
          </w:p>
        </w:tc>
        <w:tc>
          <w:tcPr>
            <w:tcW w:w="8021" w:type="dxa"/>
          </w:tcPr>
          <w:p w:rsidR="00736E8E" w:rsidRPr="00736E8E" w:rsidRDefault="00736E8E" w:rsidP="001A4E59">
            <w:pPr>
              <w:jc w:val="both"/>
              <w:rPr>
                <w:lang w:val="es-AR"/>
              </w:rPr>
            </w:pPr>
            <w:r w:rsidRPr="00736E8E">
              <w:rPr>
                <w:sz w:val="24"/>
                <w:szCs w:val="24"/>
                <w:lang w:val="es-AR"/>
              </w:rPr>
              <w:t>Cartera concentrada en CABA + Buenos Aires (93% del volumen, riesgo geográfico)</w:t>
            </w:r>
            <w:r>
              <w:rPr>
                <w:sz w:val="24"/>
                <w:szCs w:val="24"/>
                <w:lang w:val="es-AR"/>
              </w:rPr>
              <w:t>.</w:t>
            </w:r>
          </w:p>
        </w:tc>
      </w:tr>
      <w:tr w:rsidR="00E65E88" w:rsidRPr="00281604" w:rsidTr="00736E8E">
        <w:trPr>
          <w:cantSplit/>
          <w:jc w:val="center"/>
        </w:trPr>
        <w:tc>
          <w:tcPr>
            <w:tcW w:w="2419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Perfil crediticio</w:t>
            </w:r>
          </w:p>
        </w:tc>
        <w:tc>
          <w:tcPr>
            <w:tcW w:w="8021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 xml:space="preserve">Los segmentos muestran diferencias acotadas: ingreso promedio aproximado entre $178 mil y $183 mil y endeudamiento promedio </w:t>
            </w:r>
            <w:r w:rsidRPr="00281604">
              <w:rPr>
                <w:sz w:val="24"/>
                <w:szCs w:val="24"/>
                <w:lang w:val="es-AR"/>
              </w:rPr>
              <w:t>entre 27,6% y 28,69%.</w:t>
            </w:r>
          </w:p>
        </w:tc>
      </w:tr>
      <w:tr w:rsidR="00E65E88" w:rsidRPr="00281604" w:rsidTr="00736E8E">
        <w:trPr>
          <w:cantSplit/>
          <w:jc w:val="center"/>
        </w:trPr>
        <w:tc>
          <w:tcPr>
            <w:tcW w:w="2419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Atrasos 12M</w:t>
            </w:r>
          </w:p>
        </w:tc>
        <w:tc>
          <w:tcPr>
            <w:tcW w:w="8021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3.221 clientes (49% del universo) registran al menos un atraso; 1.623 (25%) no registran atrasos y 1.754 (27%) quedan como Sin información.</w:t>
            </w:r>
          </w:p>
        </w:tc>
      </w:tr>
      <w:tr w:rsidR="00E65E88" w:rsidRPr="00281604" w:rsidTr="00736E8E">
        <w:trPr>
          <w:cantSplit/>
          <w:jc w:val="center"/>
        </w:trPr>
        <w:tc>
          <w:tcPr>
            <w:tcW w:w="2419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Condiciones financieras</w:t>
            </w:r>
          </w:p>
        </w:tc>
        <w:tc>
          <w:tcPr>
            <w:tcW w:w="8021" w:type="dxa"/>
            <w:shd w:val="clear" w:color="auto" w:fill="F7F9FB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En el período completo, el ticket promedio es $582.311 y</w:t>
            </w:r>
            <w:r w:rsidRPr="00281604">
              <w:rPr>
                <w:sz w:val="24"/>
                <w:szCs w:val="24"/>
                <w:lang w:val="es-AR"/>
              </w:rPr>
              <w:t xml:space="preserve"> la tasa promedio 57,66%. Entre App, Web y Referral, ticket y tasa se mantienen próximos pese a diferencias de volumen.</w:t>
            </w:r>
          </w:p>
        </w:tc>
      </w:tr>
      <w:tr w:rsidR="00E65E88" w:rsidRPr="00281604" w:rsidTr="00736E8E">
        <w:trPr>
          <w:cantSplit/>
          <w:jc w:val="center"/>
        </w:trPr>
        <w:tc>
          <w:tcPr>
            <w:tcW w:w="2419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</w:rPr>
            </w:pPr>
            <w:r w:rsidRPr="00281604">
              <w:rPr>
                <w:sz w:val="24"/>
                <w:szCs w:val="24"/>
              </w:rPr>
              <w:t>Calidad</w:t>
            </w:r>
          </w:p>
        </w:tc>
        <w:tc>
          <w:tcPr>
            <w:tcW w:w="8021" w:type="dxa"/>
            <w:vAlign w:val="center"/>
          </w:tcPr>
          <w:p w:rsidR="00E65E88" w:rsidRPr="00281604" w:rsidRDefault="00D30A8B" w:rsidP="001A4E59">
            <w:pPr>
              <w:jc w:val="both"/>
              <w:rPr>
                <w:rFonts w:hint="eastAsia"/>
                <w:sz w:val="24"/>
                <w:szCs w:val="24"/>
                <w:lang w:val="es-AR"/>
              </w:rPr>
            </w:pPr>
            <w:r w:rsidRPr="00281604">
              <w:rPr>
                <w:sz w:val="24"/>
                <w:szCs w:val="24"/>
                <w:lang w:val="es-AR"/>
              </w:rPr>
              <w:t>La principal oportunidad de mejora está en la completitud de atributos, más que en la reconciliación de clientes.</w:t>
            </w:r>
          </w:p>
        </w:tc>
      </w:tr>
    </w:tbl>
    <w:p w:rsidR="00E65E88" w:rsidRPr="00281604" w:rsidRDefault="00E65E88" w:rsidP="001A4E59">
      <w:pPr>
        <w:jc w:val="both"/>
        <w:rPr>
          <w:rFonts w:hint="eastAsia"/>
          <w:lang w:val="es-AR"/>
        </w:rPr>
      </w:pPr>
    </w:p>
    <w:p w:rsidR="00E65E88" w:rsidRPr="00281604" w:rsidRDefault="00D30A8B" w:rsidP="001A4E59">
      <w:pPr>
        <w:pStyle w:val="Ttulo1"/>
        <w:jc w:val="both"/>
        <w:rPr>
          <w:color w:val="4D0098"/>
          <w:lang w:val="es-AR"/>
        </w:rPr>
      </w:pPr>
      <w:r w:rsidRPr="00281604">
        <w:rPr>
          <w:color w:val="4D0098"/>
          <w:lang w:val="es-AR"/>
        </w:rPr>
        <w:t>8. Decision</w:t>
      </w:r>
      <w:r w:rsidRPr="00281604">
        <w:rPr>
          <w:color w:val="4D0098"/>
          <w:lang w:val="es-AR"/>
        </w:rPr>
        <w:t>es metodológicas clave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No realizar matching difuso por nombre: las fuentes offline y online comparten el mismo espacio de claves.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No eliminar préstamos huérfanos: se conservan mediante el miembro técnico -1 y el id_cliente_origen.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 xml:space="preserve">No forzar una única </w:t>
      </w:r>
      <w:r w:rsidRPr="00281604">
        <w:rPr>
          <w:sz w:val="24"/>
          <w:szCs w:val="24"/>
          <w:lang w:val="es-AR"/>
        </w:rPr>
        <w:t>sucursal por cliente: se preserva la relación mediante cliente_sucursal.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No imputar nulos de variables crediticias sin evidencia.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No interpretar NULL de atrasos como cero.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Separar calidad de datos de insights de negocio en la comunicación ejecutiva.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Manten</w:t>
      </w:r>
      <w:r w:rsidRPr="00281604">
        <w:rPr>
          <w:sz w:val="24"/>
          <w:szCs w:val="24"/>
          <w:lang w:val="es-AR"/>
        </w:rPr>
        <w:t>er la capa curada en SQL y resolver etiquetas de presentación en Power BI.</w:t>
      </w:r>
    </w:p>
    <w:p w:rsidR="00E65E88" w:rsidRDefault="00D30A8B" w:rsidP="001A4E59">
      <w:pPr>
        <w:pStyle w:val="Ttulo1"/>
        <w:jc w:val="both"/>
      </w:pPr>
      <w:r w:rsidRPr="00281604">
        <w:rPr>
          <w:color w:val="4D0098"/>
        </w:rPr>
        <w:t>9</w:t>
      </w:r>
      <w:r w:rsidRPr="00281604">
        <w:rPr>
          <w:color w:val="4D0098"/>
          <w:lang w:val="es-AR"/>
        </w:rPr>
        <w:t>. Entregables finales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Script SQL de construcción y validación del modelo curado.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</w:rPr>
      </w:pPr>
      <w:r w:rsidRPr="00281604">
        <w:rPr>
          <w:sz w:val="24"/>
          <w:szCs w:val="24"/>
        </w:rPr>
        <w:t>DER del modelo final.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Documentación técnica y catálogo lógico del modelo.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</w:rPr>
      </w:pPr>
      <w:r w:rsidRPr="00281604">
        <w:rPr>
          <w:sz w:val="24"/>
          <w:szCs w:val="24"/>
        </w:rPr>
        <w:t>Dashboard Power BI public</w:t>
      </w:r>
      <w:r w:rsidRPr="00281604">
        <w:rPr>
          <w:sz w:val="24"/>
          <w:szCs w:val="24"/>
        </w:rPr>
        <w:t>ado en Power BI Service.</w:t>
      </w:r>
    </w:p>
    <w:p w:rsidR="00E65E88" w:rsidRPr="00281604" w:rsidRDefault="00D30A8B" w:rsidP="001A4E59">
      <w:pPr>
        <w:pStyle w:val="Listaconvietas"/>
        <w:spacing w:after="40"/>
        <w:jc w:val="both"/>
        <w:rPr>
          <w:rFonts w:hint="eastAsia"/>
          <w:sz w:val="24"/>
          <w:szCs w:val="24"/>
          <w:lang w:val="es-AR"/>
        </w:rPr>
      </w:pPr>
      <w:r w:rsidRPr="00281604">
        <w:rPr>
          <w:sz w:val="24"/>
          <w:szCs w:val="24"/>
          <w:lang w:val="es-AR"/>
        </w:rPr>
        <w:t>Repositorio GitHub / README con metodología, decisiones y hallazgos.</w:t>
      </w:r>
    </w:p>
    <w:sectPr w:rsidR="00E65E88" w:rsidRPr="00281604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A8B" w:rsidRDefault="00D30A8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D30A8B" w:rsidRDefault="00D30A8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E88" w:rsidRDefault="00281604">
    <w:pPr>
      <w:pStyle w:val="Piedepgina"/>
      <w:jc w:val="center"/>
      <w:rPr>
        <w:rFonts w:hint="eastAsia"/>
      </w:rPr>
    </w:pPr>
    <w:r w:rsidRPr="00281604">
      <w:rPr>
        <w:color w:val="697382"/>
        <w:sz w:val="16"/>
      </w:rPr>
      <w:fldChar w:fldCharType="begin"/>
    </w:r>
    <w:r w:rsidRPr="00281604">
      <w:rPr>
        <w:color w:val="697382"/>
        <w:sz w:val="16"/>
      </w:rPr>
      <w:instrText>PAGE   \* MERGEFORMAT</w:instrText>
    </w:r>
    <w:r w:rsidRPr="00281604">
      <w:rPr>
        <w:color w:val="697382"/>
        <w:sz w:val="16"/>
      </w:rPr>
      <w:fldChar w:fldCharType="separate"/>
    </w:r>
    <w:r w:rsidR="00790423">
      <w:rPr>
        <w:rFonts w:hint="eastAsia"/>
        <w:noProof/>
        <w:color w:val="697382"/>
        <w:sz w:val="16"/>
      </w:rPr>
      <w:t>5</w:t>
    </w:r>
    <w:r w:rsidRPr="00281604">
      <w:rPr>
        <w:color w:val="697382"/>
        <w:sz w:val="16"/>
      </w:rPr>
      <w:fldChar w:fldCharType="end"/>
    </w:r>
    <w:r w:rsidR="002C479D">
      <w:rPr>
        <w:color w:val="697382"/>
        <w:sz w:val="16"/>
      </w:rPr>
      <w:t xml:space="preserve"> | </w:t>
    </w:r>
    <w:r w:rsidR="00D30A8B">
      <w:rPr>
        <w:color w:val="697382"/>
        <w:sz w:val="16"/>
      </w:rPr>
      <w:t>Challenge Data Analyst — Fintech Préstamos | Lic. Jazmín Guazzora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A8B" w:rsidRDefault="00D30A8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D30A8B" w:rsidRDefault="00D30A8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59A89B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433C9F"/>
    <w:multiLevelType w:val="hybridMultilevel"/>
    <w:tmpl w:val="1DA8F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4E59"/>
    <w:rsid w:val="00281604"/>
    <w:rsid w:val="0029639D"/>
    <w:rsid w:val="002C479D"/>
    <w:rsid w:val="00326F90"/>
    <w:rsid w:val="006864CB"/>
    <w:rsid w:val="00736E8E"/>
    <w:rsid w:val="00790423"/>
    <w:rsid w:val="00905CB1"/>
    <w:rsid w:val="00AA1D8D"/>
    <w:rsid w:val="00B47730"/>
    <w:rsid w:val="00CB0664"/>
    <w:rsid w:val="00D30A8B"/>
    <w:rsid w:val="00D9627A"/>
    <w:rsid w:val="00DB154F"/>
    <w:rsid w:val="00E65E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7300E"/>
  <w14:defaultImageDpi w14:val="300"/>
  <w15:docId w15:val="{5F714E7C-FAA2-41E5-8F00-F9621423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D3748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color w:val="2E679B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1F3A6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20" w:line="240" w:lineRule="auto"/>
      <w:contextualSpacing/>
    </w:pPr>
    <w:rPr>
      <w:rFonts w:asciiTheme="majorHAnsi" w:eastAsiaTheme="majorEastAsia" w:hAnsiTheme="majorHAnsi" w:cstheme="majorBidi"/>
      <w:b/>
      <w:color w:val="1F3A60"/>
      <w:spacing w:val="5"/>
      <w:kern w:val="28"/>
      <w:sz w:val="4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288"/>
    </w:pPr>
    <w:rPr>
      <w:rFonts w:ascii="Consolas" w:hAnsi="Consolas"/>
      <w:color w:val="2D3748"/>
      <w:sz w:val="16"/>
    </w:rPr>
  </w:style>
  <w:style w:type="paragraph" w:styleId="NormalWeb">
    <w:name w:val="Normal (Web)"/>
    <w:basedOn w:val="Normal"/>
    <w:uiPriority w:val="99"/>
    <w:semiHidden/>
    <w:unhideWhenUsed/>
    <w:rsid w:val="001A4E59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A4E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0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2207A2-C737-4E73-A66C-BFF39AE44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1537</Words>
  <Characters>8763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NoteBook</cp:lastModifiedBy>
  <cp:revision>6</cp:revision>
  <dcterms:created xsi:type="dcterms:W3CDTF">2013-12-23T23:15:00Z</dcterms:created>
  <dcterms:modified xsi:type="dcterms:W3CDTF">2026-08-25T19:36:00Z</dcterms:modified>
  <cp:category/>
</cp:coreProperties>
</file>