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1C5AC" w14:textId="77777777" w:rsidR="00752099" w:rsidRDefault="00752099" w:rsidP="00752099">
      <w:pPr>
        <w:widowControl w:val="0"/>
        <w:spacing w:line="360" w:lineRule="auto"/>
        <w:jc w:val="both"/>
        <w:rPr>
          <w:rFonts w:ascii="Century Gothic" w:hAnsi="Century Gothic"/>
          <w:sz w:val="24"/>
          <w:szCs w:val="24"/>
        </w:rPr>
      </w:pPr>
    </w:p>
    <w:p w14:paraId="169A49AB" w14:textId="77777777" w:rsidR="00250983" w:rsidRDefault="00C01F00" w:rsidP="00752099">
      <w:pPr>
        <w:widowControl w:val="0"/>
        <w:spacing w:line="360" w:lineRule="auto"/>
        <w:jc w:val="both"/>
        <w:rPr>
          <w:rFonts w:ascii="Century Gothic" w:hAnsi="Century Gothic"/>
          <w:sz w:val="24"/>
          <w:szCs w:val="24"/>
        </w:rPr>
      </w:pPr>
      <w:r w:rsidRPr="005D3A94">
        <w:rPr>
          <w:rFonts w:ascii="Century Gothic" w:hAnsi="Century Gothic"/>
          <w:sz w:val="24"/>
          <w:szCs w:val="24"/>
        </w:rPr>
        <w:t xml:space="preserve">Yo, </w:t>
      </w:r>
      <w:r w:rsidRPr="005D3A94">
        <w:rPr>
          <w:rFonts w:ascii="Century Gothic" w:hAnsi="Century Gothic"/>
          <w:b/>
          <w:bCs/>
          <w:sz w:val="24"/>
          <w:szCs w:val="24"/>
        </w:rPr>
        <w:t>NORA ESMERALDA REYES ROJAS</w:t>
      </w:r>
      <w:r w:rsidRPr="005D3A94">
        <w:rPr>
          <w:rFonts w:ascii="Century Gothic" w:hAnsi="Century Gothic"/>
          <w:sz w:val="24"/>
          <w:szCs w:val="24"/>
        </w:rPr>
        <w:t xml:space="preserve">, venezolana, mayor de edad, soltera, civilmente hábil y titular de la cédula de identidad </w:t>
      </w:r>
      <w:proofErr w:type="spellStart"/>
      <w:r w:rsidRPr="005D3A94">
        <w:rPr>
          <w:rFonts w:ascii="Century Gothic" w:hAnsi="Century Gothic"/>
          <w:sz w:val="24"/>
          <w:szCs w:val="24"/>
        </w:rPr>
        <w:t>N°</w:t>
      </w:r>
      <w:proofErr w:type="spellEnd"/>
      <w:r w:rsidRPr="005D3A94">
        <w:rPr>
          <w:rFonts w:ascii="Century Gothic" w:hAnsi="Century Gothic"/>
          <w:sz w:val="24"/>
          <w:szCs w:val="24"/>
        </w:rPr>
        <w:t xml:space="preserve"> </w:t>
      </w:r>
      <w:r w:rsidRPr="005D3A94">
        <w:rPr>
          <w:rFonts w:ascii="Century Gothic" w:hAnsi="Century Gothic"/>
          <w:b/>
          <w:bCs/>
          <w:sz w:val="24"/>
          <w:szCs w:val="24"/>
        </w:rPr>
        <w:t>V-14.480.996</w:t>
      </w:r>
      <w:r w:rsidRPr="005D3A94">
        <w:rPr>
          <w:rFonts w:ascii="Century Gothic" w:hAnsi="Century Gothic"/>
          <w:sz w:val="24"/>
          <w:szCs w:val="24"/>
        </w:rPr>
        <w:t xml:space="preserve">, por medio del presente documento otorgo </w:t>
      </w:r>
      <w:r w:rsidRPr="005D3A94">
        <w:rPr>
          <w:rFonts w:ascii="Century Gothic" w:hAnsi="Century Gothic"/>
          <w:b/>
          <w:bCs/>
          <w:sz w:val="24"/>
          <w:szCs w:val="24"/>
        </w:rPr>
        <w:t>PODER ESPECIAL PENAL PARA REPRESENTACIÓN DE VÍCTIMAS</w:t>
      </w:r>
      <w:r w:rsidRPr="005D3A94">
        <w:rPr>
          <w:rFonts w:ascii="Century Gothic" w:hAnsi="Century Gothic"/>
          <w:sz w:val="24"/>
          <w:szCs w:val="24"/>
        </w:rPr>
        <w:t xml:space="preserve">, amplio y suficiente en cuanto a derecho se requiere, al ciudadano: </w:t>
      </w:r>
      <w:r w:rsidRPr="005D3A94">
        <w:rPr>
          <w:rFonts w:ascii="Century Gothic" w:hAnsi="Century Gothic"/>
          <w:b/>
          <w:bCs/>
          <w:sz w:val="24"/>
          <w:szCs w:val="24"/>
        </w:rPr>
        <w:t>MARIO ALBERTO LIZCANO URBINA</w:t>
      </w:r>
      <w:r w:rsidRPr="005D3A94">
        <w:rPr>
          <w:rFonts w:ascii="Century Gothic" w:hAnsi="Century Gothic"/>
          <w:sz w:val="24"/>
          <w:szCs w:val="24"/>
        </w:rPr>
        <w:t>, Abogado en ejercicio, inscrito en el Instituto de Previsión Social del Abogado (</w:t>
      </w:r>
      <w:proofErr w:type="spellStart"/>
      <w:r w:rsidRPr="005D3A94">
        <w:rPr>
          <w:rFonts w:ascii="Century Gothic" w:hAnsi="Century Gothic"/>
          <w:sz w:val="24"/>
          <w:szCs w:val="24"/>
        </w:rPr>
        <w:t>Inpreabogado</w:t>
      </w:r>
      <w:proofErr w:type="spellEnd"/>
      <w:r w:rsidRPr="005D3A94">
        <w:rPr>
          <w:rFonts w:ascii="Century Gothic" w:hAnsi="Century Gothic"/>
          <w:sz w:val="24"/>
          <w:szCs w:val="24"/>
        </w:rPr>
        <w:t xml:space="preserve">) bajo el </w:t>
      </w:r>
      <w:proofErr w:type="spellStart"/>
      <w:r w:rsidRPr="005D3A94">
        <w:rPr>
          <w:rFonts w:ascii="Century Gothic" w:hAnsi="Century Gothic"/>
          <w:b/>
          <w:bCs/>
          <w:sz w:val="24"/>
          <w:szCs w:val="24"/>
        </w:rPr>
        <w:t>N°</w:t>
      </w:r>
      <w:proofErr w:type="spellEnd"/>
      <w:r w:rsidRPr="005D3A94">
        <w:rPr>
          <w:rFonts w:ascii="Century Gothic" w:hAnsi="Century Gothic"/>
          <w:b/>
          <w:bCs/>
          <w:sz w:val="24"/>
          <w:szCs w:val="24"/>
        </w:rPr>
        <w:t xml:space="preserve"> 255.996</w:t>
      </w:r>
      <w:r w:rsidRPr="005D3A94">
        <w:rPr>
          <w:rFonts w:ascii="Century Gothic" w:hAnsi="Century Gothic"/>
          <w:sz w:val="24"/>
          <w:szCs w:val="24"/>
        </w:rPr>
        <w:t xml:space="preserve">, con domicilio procesal constituido en la Avenida Bermúdez, Torre Construcción, piso 11, oficina F, Los Teques, Municipio Autónomo Guaicaipuro del estado Bolivariano de Miranda; teléfono celular: 0424-1361999, correo electrónico: mariolizcanoabg@gmail.com; para que, en ejercicio de la más alta representación técnica, actúe de manera plena y sin limitación alguna en defensa de mis derechos e intereses constitucionales y legales, con especial atención a las diligencias e incidencias derivadas de la investigación penal incoada en contra del ciudadano LUIS EDGARDO COELLO REYES, titular de la cédula de identidad </w:t>
      </w:r>
      <w:proofErr w:type="spellStart"/>
      <w:r w:rsidRPr="005D3A94">
        <w:rPr>
          <w:rFonts w:ascii="Century Gothic" w:hAnsi="Century Gothic"/>
          <w:sz w:val="24"/>
          <w:szCs w:val="24"/>
        </w:rPr>
        <w:t>N°</w:t>
      </w:r>
      <w:proofErr w:type="spellEnd"/>
      <w:r w:rsidRPr="005D3A94">
        <w:rPr>
          <w:rFonts w:ascii="Century Gothic" w:hAnsi="Century Gothic"/>
          <w:sz w:val="24"/>
          <w:szCs w:val="24"/>
        </w:rPr>
        <w:t xml:space="preserve"> V-12.157.027. El presente mandato especial se confiere con base en los hechos punibles acaecidos en el mes de febrero del presente año, oportunidad en la cual el prenombrado ciudadano, Luis Edgardo Coello Reyes, me ofreció en venta un inmueble ubicado en la urbanización Colinas de Carrizal, sector Araguaney, recibiendo de mi parte la cantidad de veintidós mil ochocientos dólares estadounidenses (USD 22.800) como contraprestación económica; no obstante, con posterioridad a la entrega del referido capital, el ciudadano en cuestión manifestó su imposibilidad de materializar la transmisión de la propiedad bajo el pretexto de encontrarse el inmueble habitado por terceros, teniendo pleno conocimiento la infrascrita que dicho ciudadano carece de cualidad de propietario, así como de habilitación legal o facultad legítima para enajenar el bien, habiendo transcurrido</w:t>
      </w:r>
      <w:r w:rsidR="005D3A94">
        <w:rPr>
          <w:rFonts w:ascii="Century Gothic" w:hAnsi="Century Gothic"/>
          <w:sz w:val="24"/>
          <w:szCs w:val="24"/>
        </w:rPr>
        <w:t xml:space="preserve"> </w:t>
      </w:r>
    </w:p>
    <w:p w14:paraId="47336E33" w14:textId="77777777" w:rsidR="00250983" w:rsidRDefault="00250983" w:rsidP="00752099">
      <w:pPr>
        <w:widowControl w:val="0"/>
        <w:spacing w:line="360" w:lineRule="auto"/>
        <w:jc w:val="both"/>
        <w:rPr>
          <w:rFonts w:ascii="Century Gothic" w:hAnsi="Century Gothic"/>
          <w:sz w:val="24"/>
          <w:szCs w:val="24"/>
        </w:rPr>
      </w:pPr>
    </w:p>
    <w:p w14:paraId="7089ECC8" w14:textId="77777777" w:rsidR="00250983" w:rsidRDefault="00250983" w:rsidP="00752099">
      <w:pPr>
        <w:widowControl w:val="0"/>
        <w:spacing w:line="360" w:lineRule="auto"/>
        <w:jc w:val="both"/>
        <w:rPr>
          <w:rFonts w:ascii="Century Gothic" w:hAnsi="Century Gothic"/>
          <w:sz w:val="24"/>
          <w:szCs w:val="24"/>
        </w:rPr>
      </w:pPr>
    </w:p>
    <w:p w14:paraId="1964A5BA" w14:textId="1B17865A" w:rsidR="00752099" w:rsidRDefault="005D3A94" w:rsidP="00752099">
      <w:pPr>
        <w:widowControl w:val="0"/>
        <w:spacing w:line="360" w:lineRule="auto"/>
        <w:jc w:val="both"/>
        <w:rPr>
          <w:rFonts w:ascii="Century Gothic" w:hAnsi="Century Gothic"/>
          <w:sz w:val="24"/>
          <w:szCs w:val="24"/>
        </w:rPr>
      </w:pPr>
      <w:r>
        <w:rPr>
          <w:rFonts w:ascii="Century Gothic" w:hAnsi="Century Gothic"/>
          <w:sz w:val="24"/>
          <w:szCs w:val="24"/>
        </w:rPr>
        <w:t>seis (06)</w:t>
      </w:r>
      <w:r w:rsidR="00C01F00" w:rsidRPr="005D3A94">
        <w:rPr>
          <w:rFonts w:ascii="Century Gothic" w:hAnsi="Century Gothic"/>
          <w:sz w:val="24"/>
          <w:szCs w:val="24"/>
        </w:rPr>
        <w:t xml:space="preserve"> meses de evasivas sin que se haya verificado la restitución del capital entregado, por lo que quedan surtidas las condiciones fácticas y jurídicas para la persecución penal del delito de estafa y demás ilícitos </w:t>
      </w:r>
      <w:r w:rsidR="00C01F00" w:rsidRPr="005D3A94">
        <w:rPr>
          <w:rFonts w:ascii="Century Gothic" w:hAnsi="Century Gothic"/>
          <w:sz w:val="24"/>
          <w:szCs w:val="24"/>
        </w:rPr>
        <w:lastRenderedPageBreak/>
        <w:t>concurrentes. En virtud de este mandato, el apoderado judicial queda investido de las más amplias facultades previstas en el Código Orgánico Procesal Penal y demás leyes de la República Bolivariana de Venezuela, pudiendo ejecutar de manera enunciativa y no taxativa las siguientes actuaciones:</w:t>
      </w:r>
      <w:r>
        <w:rPr>
          <w:rFonts w:ascii="Century Gothic" w:hAnsi="Century Gothic"/>
          <w:sz w:val="24"/>
          <w:szCs w:val="24"/>
        </w:rPr>
        <w:t xml:space="preserve"> formular denuncia,</w:t>
      </w:r>
      <w:r w:rsidR="00C01F00" w:rsidRPr="005D3A94">
        <w:rPr>
          <w:rFonts w:ascii="Century Gothic" w:hAnsi="Century Gothic"/>
          <w:sz w:val="24"/>
          <w:szCs w:val="24"/>
        </w:rPr>
        <w:t xml:space="preserve"> intervenir activamente</w:t>
      </w:r>
      <w:r w:rsidR="00752099">
        <w:rPr>
          <w:rFonts w:ascii="Century Gothic" w:hAnsi="Century Gothic"/>
          <w:sz w:val="24"/>
          <w:szCs w:val="24"/>
        </w:rPr>
        <w:t xml:space="preserve">  </w:t>
      </w:r>
      <w:r w:rsidR="00C01F00" w:rsidRPr="005D3A94">
        <w:rPr>
          <w:rFonts w:ascii="Century Gothic" w:hAnsi="Century Gothic"/>
          <w:sz w:val="24"/>
          <w:szCs w:val="24"/>
        </w:rPr>
        <w:t xml:space="preserve"> en </w:t>
      </w:r>
      <w:r w:rsidR="00752099">
        <w:rPr>
          <w:rFonts w:ascii="Century Gothic" w:hAnsi="Century Gothic"/>
          <w:sz w:val="24"/>
          <w:szCs w:val="24"/>
        </w:rPr>
        <w:t xml:space="preserve">  </w:t>
      </w:r>
      <w:r w:rsidR="00C01F00" w:rsidRPr="005D3A94">
        <w:rPr>
          <w:rFonts w:ascii="Century Gothic" w:hAnsi="Century Gothic"/>
          <w:sz w:val="24"/>
          <w:szCs w:val="24"/>
        </w:rPr>
        <w:t xml:space="preserve">la </w:t>
      </w:r>
      <w:r w:rsidR="00752099">
        <w:rPr>
          <w:rFonts w:ascii="Century Gothic" w:hAnsi="Century Gothic"/>
          <w:sz w:val="24"/>
          <w:szCs w:val="24"/>
        </w:rPr>
        <w:t xml:space="preserve">  </w:t>
      </w:r>
      <w:r w:rsidR="00C01F00" w:rsidRPr="005D3A94">
        <w:rPr>
          <w:rFonts w:ascii="Century Gothic" w:hAnsi="Century Gothic"/>
          <w:sz w:val="24"/>
          <w:szCs w:val="24"/>
        </w:rPr>
        <w:t xml:space="preserve">investigación </w:t>
      </w:r>
      <w:r w:rsidR="00752099">
        <w:rPr>
          <w:rFonts w:ascii="Century Gothic" w:hAnsi="Century Gothic"/>
          <w:sz w:val="24"/>
          <w:szCs w:val="24"/>
        </w:rPr>
        <w:t xml:space="preserve">  </w:t>
      </w:r>
      <w:r w:rsidR="00C01F00" w:rsidRPr="005D3A94">
        <w:rPr>
          <w:rFonts w:ascii="Century Gothic" w:hAnsi="Century Gothic"/>
          <w:sz w:val="24"/>
          <w:szCs w:val="24"/>
        </w:rPr>
        <w:t xml:space="preserve">preliminar </w:t>
      </w:r>
      <w:r w:rsidR="00752099">
        <w:rPr>
          <w:rFonts w:ascii="Century Gothic" w:hAnsi="Century Gothic"/>
          <w:sz w:val="24"/>
          <w:szCs w:val="24"/>
        </w:rPr>
        <w:t xml:space="preserve">  </w:t>
      </w:r>
      <w:r w:rsidR="00C01F00" w:rsidRPr="005D3A94">
        <w:rPr>
          <w:rFonts w:ascii="Century Gothic" w:hAnsi="Century Gothic"/>
          <w:sz w:val="24"/>
          <w:szCs w:val="24"/>
        </w:rPr>
        <w:t xml:space="preserve">asignada </w:t>
      </w:r>
      <w:r w:rsidR="00752099">
        <w:rPr>
          <w:rFonts w:ascii="Century Gothic" w:hAnsi="Century Gothic"/>
          <w:sz w:val="24"/>
          <w:szCs w:val="24"/>
        </w:rPr>
        <w:t xml:space="preserve">  </w:t>
      </w:r>
      <w:r w:rsidR="00C01F00" w:rsidRPr="005D3A94">
        <w:rPr>
          <w:rFonts w:ascii="Century Gothic" w:hAnsi="Century Gothic"/>
          <w:sz w:val="24"/>
          <w:szCs w:val="24"/>
        </w:rPr>
        <w:t xml:space="preserve">ante el </w:t>
      </w:r>
      <w:r w:rsidR="00752099">
        <w:rPr>
          <w:rFonts w:ascii="Century Gothic" w:hAnsi="Century Gothic"/>
          <w:sz w:val="24"/>
          <w:szCs w:val="24"/>
        </w:rPr>
        <w:t xml:space="preserve">  </w:t>
      </w:r>
      <w:r w:rsidR="00C01F00" w:rsidRPr="005D3A94">
        <w:rPr>
          <w:rFonts w:ascii="Century Gothic" w:hAnsi="Century Gothic"/>
          <w:sz w:val="24"/>
          <w:szCs w:val="24"/>
        </w:rPr>
        <w:t xml:space="preserve">Ministerio Público, así como en cualquier otra fiscalía o dependencia de los órganos </w:t>
      </w:r>
    </w:p>
    <w:p w14:paraId="12F2358B" w14:textId="22A119B9" w:rsidR="009A3A2A" w:rsidRPr="005D3A94" w:rsidRDefault="00C01F00" w:rsidP="00752099">
      <w:pPr>
        <w:widowControl w:val="0"/>
        <w:spacing w:line="360" w:lineRule="auto"/>
        <w:jc w:val="both"/>
        <w:rPr>
          <w:rFonts w:ascii="Century Gothic" w:hAnsi="Century Gothic" w:cs="Arial"/>
          <w:snapToGrid w:val="0"/>
          <w:sz w:val="24"/>
          <w:szCs w:val="24"/>
          <w:lang w:val="es-MX"/>
        </w:rPr>
      </w:pPr>
      <w:r w:rsidRPr="005D3A94">
        <w:rPr>
          <w:rFonts w:ascii="Century Gothic" w:hAnsi="Century Gothic"/>
          <w:sz w:val="24"/>
          <w:szCs w:val="24"/>
        </w:rPr>
        <w:t xml:space="preserve">de policía de investigaciones penales; interponer formal querella, intervenir desde el inicio de la fase preparatoria hasta la culminación definitiva del proceso; solicitar y requerir información sobre los resultados de las diligencias de investigación adelantadas tanto por el Ministerio Público como por los órganos policiales subalternos; adherirse a la acusación fiscal o presentar acusación particular propia en contra del imputado; ejercer las acciones civiles derivadas del hecho punible para lograr la indemnización de daños y perjuicios y la restitución del patrimonio afectado; darse por notificado, citado o convocado para intervenir en todos los actos procesales de las fases preparatoria, intermedia y de juicio oral y público; comparecer a la audiencia preliminar y formular las exposiciones, oposiciones, peticiones y solicitudes que estime pertinentes; solicitar la imposición, revisión, modificación o revocación de medidas cautelares de carácter real o personal; participar en la celebración de Acuerdos Reparatorios, Conciliaciones o cualquier otra fórmula alternativa de prosecución del proceso, requiriéndose en todo caso autorización expresa de la mandante para su disposición definitiva; intervenir en el debate oral y público, presentando conclusiones al cierre del mismo; impugnar mediante los recursos ordinarios y extraordinarios todas aquellas providencias, autos, decisiones fiscales o judiciales que afecten mis derechos e intereses, incluyendo el sobreseimiento y la sentencia absolutoria; interponer la acción constitucional de amparo, así como los recursos extraordinarios de casación y revisión; y ejecutar todos aquellos actos procesales que la ley permita para la defensa integral de mi condición de víctima, velando por la justicia y el resarcimiento patrimonial, dejándose expresa constancia que las facultades aquí conferidas son meramente enunciativas más no taxativas. El presente documento surtirá los efectos legales correspondientes tras su autenticación </w:t>
      </w:r>
      <w:r w:rsidRPr="005D3A94">
        <w:rPr>
          <w:rFonts w:ascii="Century Gothic" w:hAnsi="Century Gothic"/>
          <w:sz w:val="24"/>
          <w:szCs w:val="24"/>
        </w:rPr>
        <w:lastRenderedPageBreak/>
        <w:t>por ante la autoridad competente. En la ciudad de San Antonio de los Altos, a la fecha de su otorgamiento.</w:t>
      </w:r>
    </w:p>
    <w:sectPr w:rsidR="009A3A2A" w:rsidRPr="005D3A94" w:rsidSect="00752099">
      <w:headerReference w:type="default" r:id="rId6"/>
      <w:type w:val="continuous"/>
      <w:pgSz w:w="12240" w:h="18720" w:code="147"/>
      <w:pgMar w:top="1417" w:right="1701" w:bottom="1417" w:left="1701" w:header="144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AACA5" w14:textId="77777777" w:rsidR="000C7D87" w:rsidRDefault="000C7D87">
      <w:r>
        <w:separator/>
      </w:r>
    </w:p>
  </w:endnote>
  <w:endnote w:type="continuationSeparator" w:id="0">
    <w:p w14:paraId="0D1B10AD" w14:textId="77777777" w:rsidR="000C7D87" w:rsidRDefault="000C7D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6F1E4" w14:textId="77777777" w:rsidR="000C7D87" w:rsidRDefault="000C7D87">
      <w:r>
        <w:separator/>
      </w:r>
    </w:p>
  </w:footnote>
  <w:footnote w:type="continuationSeparator" w:id="0">
    <w:p w14:paraId="782AF568" w14:textId="77777777" w:rsidR="000C7D87" w:rsidRDefault="000C7D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2A8F7" w14:textId="77777777" w:rsidR="009A3A2A" w:rsidRPr="00C01F00" w:rsidRDefault="004612ED">
    <w:pPr>
      <w:pStyle w:val="Encabezado"/>
      <w:rPr>
        <w:rFonts w:ascii="Aptos" w:hAnsi="Aptos"/>
        <w:b/>
        <w:bCs/>
        <w:sz w:val="28"/>
        <w:szCs w:val="28"/>
      </w:rPr>
    </w:pPr>
    <w:r w:rsidRPr="00C01F00">
      <w:rPr>
        <w:rFonts w:ascii="Aptos" w:hAnsi="Aptos"/>
        <w:b/>
        <w:bCs/>
        <w:noProof/>
        <w:lang w:val="en-US" w:eastAsia="en-US"/>
      </w:rPr>
      <w:drawing>
        <wp:anchor distT="0" distB="0" distL="114300" distR="114300" simplePos="0" relativeHeight="251659264" behindDoc="1" locked="0" layoutInCell="1" allowOverlap="1" wp14:anchorId="63C5B67A" wp14:editId="32F6475B">
          <wp:simplePos x="0" y="0"/>
          <wp:positionH relativeFrom="column">
            <wp:posOffset>1270</wp:posOffset>
          </wp:positionH>
          <wp:positionV relativeFrom="paragraph">
            <wp:posOffset>-635</wp:posOffset>
          </wp:positionV>
          <wp:extent cx="556260" cy="394970"/>
          <wp:effectExtent l="0" t="0" r="0" b="5080"/>
          <wp:wrapNone/>
          <wp:docPr id="4" name="Imagen 4" descr="La Corte, Escalas De Medición, La Justicia imagen png - imagen transparente  descarga gratu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Corte, Escalas De Medición, La Justicia imagen png - imagen transparente  descarga gratuit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556061" cy="395215"/>
                  </a:xfrm>
                  <a:prstGeom prst="rect">
                    <a:avLst/>
                  </a:prstGeom>
                  <a:noFill/>
                  <a:ln>
                    <a:noFill/>
                  </a:ln>
                </pic:spPr>
              </pic:pic>
            </a:graphicData>
          </a:graphic>
        </wp:anchor>
      </w:drawing>
    </w:r>
    <w:r w:rsidRPr="00C01F00">
      <w:rPr>
        <w:rFonts w:ascii="Aptos" w:hAnsi="Aptos"/>
        <w:b/>
        <w:bCs/>
      </w:rPr>
      <w:t xml:space="preserve">                </w:t>
    </w:r>
    <w:r w:rsidRPr="00C01F00">
      <w:rPr>
        <w:rFonts w:ascii="Aptos" w:hAnsi="Aptos"/>
        <w:b/>
        <w:bCs/>
        <w:sz w:val="28"/>
        <w:szCs w:val="28"/>
      </w:rPr>
      <w:t>Abg. Mario Lizcano</w:t>
    </w:r>
  </w:p>
  <w:p w14:paraId="03A8F10A" w14:textId="03C239C1" w:rsidR="009A3A2A" w:rsidRPr="00C01F00" w:rsidRDefault="004612ED">
    <w:pPr>
      <w:pStyle w:val="Encabezado"/>
      <w:rPr>
        <w:rFonts w:ascii="Aptos" w:hAnsi="Aptos"/>
        <w:b/>
        <w:bCs/>
        <w:sz w:val="24"/>
        <w:szCs w:val="24"/>
      </w:rPr>
    </w:pPr>
    <w:r w:rsidRPr="00C01F00">
      <w:rPr>
        <w:rFonts w:ascii="Aptos" w:hAnsi="Aptos"/>
        <w:b/>
        <w:bCs/>
      </w:rPr>
      <w:t xml:space="preserve">                </w:t>
    </w:r>
    <w:r w:rsidR="00C01F00">
      <w:rPr>
        <w:rFonts w:ascii="Aptos" w:hAnsi="Aptos"/>
        <w:b/>
        <w:bCs/>
      </w:rPr>
      <w:t xml:space="preserve">   </w:t>
    </w:r>
    <w:r w:rsidRPr="00C01F00">
      <w:rPr>
        <w:rFonts w:ascii="Aptos" w:hAnsi="Aptos"/>
        <w:b/>
        <w:bCs/>
        <w:sz w:val="24"/>
        <w:szCs w:val="24"/>
      </w:rPr>
      <w:t>INPRE. 255.996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DFD"/>
    <w:rsid w:val="000A6D16"/>
    <w:rsid w:val="000C0A0C"/>
    <w:rsid w:val="000C7D87"/>
    <w:rsid w:val="000D484E"/>
    <w:rsid w:val="000E64F9"/>
    <w:rsid w:val="000F27AA"/>
    <w:rsid w:val="00112404"/>
    <w:rsid w:val="00113742"/>
    <w:rsid w:val="00116075"/>
    <w:rsid w:val="001251BA"/>
    <w:rsid w:val="0016165E"/>
    <w:rsid w:val="00165DF2"/>
    <w:rsid w:val="00196AC1"/>
    <w:rsid w:val="001F2476"/>
    <w:rsid w:val="00230A80"/>
    <w:rsid w:val="00250983"/>
    <w:rsid w:val="00275722"/>
    <w:rsid w:val="002A50A5"/>
    <w:rsid w:val="002C2EA5"/>
    <w:rsid w:val="002F1B27"/>
    <w:rsid w:val="00325820"/>
    <w:rsid w:val="003407F5"/>
    <w:rsid w:val="003462EB"/>
    <w:rsid w:val="003510CB"/>
    <w:rsid w:val="00356EC5"/>
    <w:rsid w:val="00357531"/>
    <w:rsid w:val="00367A70"/>
    <w:rsid w:val="003A1BD9"/>
    <w:rsid w:val="003A2A79"/>
    <w:rsid w:val="003C1E11"/>
    <w:rsid w:val="003F7DFD"/>
    <w:rsid w:val="004063D0"/>
    <w:rsid w:val="00407817"/>
    <w:rsid w:val="00433CD9"/>
    <w:rsid w:val="0044457D"/>
    <w:rsid w:val="004612ED"/>
    <w:rsid w:val="0046587A"/>
    <w:rsid w:val="004751E0"/>
    <w:rsid w:val="004F4C57"/>
    <w:rsid w:val="0053606E"/>
    <w:rsid w:val="005416AF"/>
    <w:rsid w:val="00547D00"/>
    <w:rsid w:val="005744F7"/>
    <w:rsid w:val="005767FE"/>
    <w:rsid w:val="00584F87"/>
    <w:rsid w:val="005D3A94"/>
    <w:rsid w:val="005D4E64"/>
    <w:rsid w:val="005D6966"/>
    <w:rsid w:val="005F647C"/>
    <w:rsid w:val="006224EE"/>
    <w:rsid w:val="00637C33"/>
    <w:rsid w:val="00653E58"/>
    <w:rsid w:val="006701A6"/>
    <w:rsid w:val="006820BC"/>
    <w:rsid w:val="006E1919"/>
    <w:rsid w:val="00711C1E"/>
    <w:rsid w:val="00712F7A"/>
    <w:rsid w:val="007332CB"/>
    <w:rsid w:val="007337C2"/>
    <w:rsid w:val="007439DA"/>
    <w:rsid w:val="007506EC"/>
    <w:rsid w:val="00752099"/>
    <w:rsid w:val="00785259"/>
    <w:rsid w:val="0078539C"/>
    <w:rsid w:val="007B0D83"/>
    <w:rsid w:val="007F0C34"/>
    <w:rsid w:val="0082340D"/>
    <w:rsid w:val="00830EF2"/>
    <w:rsid w:val="00837C9A"/>
    <w:rsid w:val="00860599"/>
    <w:rsid w:val="00871291"/>
    <w:rsid w:val="00871CC9"/>
    <w:rsid w:val="00873D87"/>
    <w:rsid w:val="00874AFB"/>
    <w:rsid w:val="008A2E7F"/>
    <w:rsid w:val="008A52D4"/>
    <w:rsid w:val="008B464B"/>
    <w:rsid w:val="008B6C8B"/>
    <w:rsid w:val="008B783B"/>
    <w:rsid w:val="008C07C7"/>
    <w:rsid w:val="008D5797"/>
    <w:rsid w:val="008E2230"/>
    <w:rsid w:val="008F0B46"/>
    <w:rsid w:val="008F58CB"/>
    <w:rsid w:val="00923862"/>
    <w:rsid w:val="009238C4"/>
    <w:rsid w:val="009A3A2A"/>
    <w:rsid w:val="009B5639"/>
    <w:rsid w:val="009D7BC7"/>
    <w:rsid w:val="009E1462"/>
    <w:rsid w:val="009E4936"/>
    <w:rsid w:val="00A153E2"/>
    <w:rsid w:val="00A23607"/>
    <w:rsid w:val="00A357E1"/>
    <w:rsid w:val="00A408E6"/>
    <w:rsid w:val="00A426B8"/>
    <w:rsid w:val="00AF67FD"/>
    <w:rsid w:val="00B10E98"/>
    <w:rsid w:val="00B17F12"/>
    <w:rsid w:val="00B274B4"/>
    <w:rsid w:val="00B46C8B"/>
    <w:rsid w:val="00B47CC2"/>
    <w:rsid w:val="00B64CE9"/>
    <w:rsid w:val="00B76275"/>
    <w:rsid w:val="00B854A2"/>
    <w:rsid w:val="00B854B1"/>
    <w:rsid w:val="00BC05E1"/>
    <w:rsid w:val="00BC0E3E"/>
    <w:rsid w:val="00BC157B"/>
    <w:rsid w:val="00BF07DE"/>
    <w:rsid w:val="00BF77D0"/>
    <w:rsid w:val="00C01F00"/>
    <w:rsid w:val="00C02226"/>
    <w:rsid w:val="00C438C3"/>
    <w:rsid w:val="00C54D6E"/>
    <w:rsid w:val="00C64FC7"/>
    <w:rsid w:val="00C6677C"/>
    <w:rsid w:val="00C86CD3"/>
    <w:rsid w:val="00C87A98"/>
    <w:rsid w:val="00CC1FAF"/>
    <w:rsid w:val="00CD21C0"/>
    <w:rsid w:val="00CD619F"/>
    <w:rsid w:val="00D210E9"/>
    <w:rsid w:val="00D24CCC"/>
    <w:rsid w:val="00D4390F"/>
    <w:rsid w:val="00D70354"/>
    <w:rsid w:val="00D77449"/>
    <w:rsid w:val="00DB1093"/>
    <w:rsid w:val="00DB39FD"/>
    <w:rsid w:val="00DF372F"/>
    <w:rsid w:val="00E22216"/>
    <w:rsid w:val="00E54D67"/>
    <w:rsid w:val="00E871C0"/>
    <w:rsid w:val="00EB598D"/>
    <w:rsid w:val="00ED376F"/>
    <w:rsid w:val="00F11184"/>
    <w:rsid w:val="00F429C7"/>
    <w:rsid w:val="00F52040"/>
    <w:rsid w:val="00F92C64"/>
    <w:rsid w:val="00FB7335"/>
    <w:rsid w:val="00FE4648"/>
    <w:rsid w:val="5DB01E6F"/>
  </w:rsids>
  <m:mathPr>
    <m:mathFont m:val="Cambria Math"/>
    <m:brkBin m:val="before"/>
    <m:brkBinSub m:val="--"/>
    <m:smallFrac m:val="0"/>
    <m:dispDef/>
    <m:lMargin m:val="0"/>
    <m:rMargin m:val="0"/>
    <m:defJc m:val="centerGroup"/>
    <m:wrapIndent m:val="1440"/>
    <m:intLim m:val="subSup"/>
    <m:naryLim m:val="undOvr"/>
  </m:mathPr>
  <w:themeFontLang w:val="es-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89E792"/>
  <w15:docId w15:val="{48A42B29-1684-4B15-8614-A387C5F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Segoe UI" w:hAnsi="Segoe UI" w:cs="Segoe UI"/>
      <w:sz w:val="18"/>
      <w:szCs w:val="18"/>
    </w:rPr>
  </w:style>
  <w:style w:type="paragraph" w:styleId="Encabezado">
    <w:name w:val="header"/>
    <w:basedOn w:val="Normal"/>
    <w:link w:val="EncabezadoCar"/>
    <w:uiPriority w:val="99"/>
    <w:unhideWhenUsed/>
    <w:qFormat/>
    <w:pPr>
      <w:tabs>
        <w:tab w:val="center" w:pos="4419"/>
        <w:tab w:val="right" w:pos="8838"/>
      </w:tabs>
    </w:pPr>
  </w:style>
  <w:style w:type="paragraph" w:styleId="Piedepgina">
    <w:name w:val="footer"/>
    <w:basedOn w:val="Normal"/>
    <w:link w:val="PiedepginaCar"/>
    <w:uiPriority w:val="99"/>
    <w:unhideWhenUsed/>
    <w:pPr>
      <w:tabs>
        <w:tab w:val="center" w:pos="4419"/>
        <w:tab w:val="right" w:pos="8838"/>
      </w:tabs>
    </w:pPr>
  </w:style>
  <w:style w:type="character" w:customStyle="1" w:styleId="TextodegloboCar">
    <w:name w:val="Texto de globo Car"/>
    <w:link w:val="Textodeglobo"/>
    <w:uiPriority w:val="99"/>
    <w:semiHidden/>
    <w:qFormat/>
    <w:rPr>
      <w:rFonts w:ascii="Segoe UI" w:hAnsi="Segoe UI" w:cs="Segoe UI"/>
      <w:sz w:val="18"/>
      <w:szCs w:val="18"/>
      <w:lang w:val="es-ES" w:eastAsia="es-ES"/>
    </w:rPr>
  </w:style>
  <w:style w:type="character" w:customStyle="1" w:styleId="EncabezadoCar">
    <w:name w:val="Encabezado Car"/>
    <w:basedOn w:val="Fuentedeprrafopredeter"/>
    <w:link w:val="Encabezado"/>
    <w:uiPriority w:val="99"/>
    <w:qFormat/>
    <w:rPr>
      <w:lang w:val="es-ES" w:eastAsia="es-ES"/>
    </w:rPr>
  </w:style>
  <w:style w:type="character" w:customStyle="1" w:styleId="PiedepginaCar">
    <w:name w:val="Pie de página Car"/>
    <w:basedOn w:val="Fuentedeprrafopredeter"/>
    <w:link w:val="Piedepgina"/>
    <w:uiPriority w:val="99"/>
    <w:rPr>
      <w:lang w:val="es-ES" w:eastAsia="es-ES"/>
    </w:rPr>
  </w:style>
  <w:style w:type="character" w:customStyle="1" w:styleId="Ttulo2Car">
    <w:name w:val="Título 2 Car"/>
    <w:basedOn w:val="Fuentedeprrafopredeter"/>
    <w:link w:val="Ttulo2"/>
    <w:uiPriority w:val="9"/>
    <w:rPr>
      <w:rFonts w:asciiTheme="majorHAnsi" w:eastAsiaTheme="majorEastAsia" w:hAnsiTheme="majorHAnsi" w:cstheme="majorBidi"/>
      <w:color w:val="2F5496" w:themeColor="accent1" w:themeShade="BF"/>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730</Words>
  <Characters>4015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No</vt:lpstr>
    </vt:vector>
  </TitlesOfParts>
  <Company>Escritorio Juridico</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dc:title>
  <dc:creator>Ledys Silva</dc:creator>
  <cp:lastModifiedBy>mariolizusm@gmail.com</cp:lastModifiedBy>
  <cp:revision>5</cp:revision>
  <cp:lastPrinted>2026-08-04T02:27:00Z</cp:lastPrinted>
  <dcterms:created xsi:type="dcterms:W3CDTF">2026-08-03T13:11:00Z</dcterms:created>
  <dcterms:modified xsi:type="dcterms:W3CDTF">2026-08-05T21:34:00Z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eyJoZGlkIjoiYWNkYTMzYWQzMWQ4MGVlZWJkMGM3ODFlYTUzYzBmMDMiLCJ1c2VySWQiOiIxNjY3MTU0MzM2NjE2In0=</vt:lpwstr>
  </property>
  <property fmtid="{D5CDD505-2E9C-101B-9397-08002B2CF9AE}" pid="3" name="KSOProductBuildVer">
    <vt:lpwstr>3082-12.1.0.28032</vt:lpwstr>
  </property>
  <property fmtid="{D5CDD505-2E9C-101B-9397-08002B2CF9AE}" pid="4" name="ICV">
    <vt:lpwstr>D66AC85C582D4B5F877DA598683422C1_13</vt:lpwstr>
  </property>
</Properties>
</file>