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B3A5C"/>
          <w:sz w:val="56"/>
        </w:rPr>
        <w:t>Busibox App Builder</w:t>
      </w:r>
    </w:p>
    <w:p>
      <w:pPr>
        <w:jc w:val="center"/>
      </w:pPr>
      <w:r>
        <w:rPr>
          <w:rFonts w:ascii="Arial" w:hAnsi="Arial"/>
          <w:color w:val="555555"/>
          <w:sz w:val="36"/>
        </w:rPr>
        <w:t>Permission Architecture Analysis</w:t>
      </w:r>
    </w:p>
    <w:p>
      <w:pPr>
        <w:spacing w:after="2400"/>
        <w:jc w:val="center"/>
      </w:pPr>
      <w:r>
        <w:rPr>
          <w:rFonts w:ascii="Arial" w:hAnsi="Arial"/>
          <w:color w:val="555555"/>
          <w:sz w:val="24"/>
        </w:rPr>
        <w:t>Microsoft Entra ID Groups vs. Busibox AuthZ vs. Hybrid</w:t>
      </w:r>
    </w:p>
    <w:p>
      <w:pPr>
        <w:jc w:val="center"/>
      </w:pPr>
      <w:r>
        <w:rPr>
          <w:rFonts w:ascii="Arial" w:hAnsi="Arial"/>
          <w:color w:val="555555"/>
          <w:sz w:val="22"/>
        </w:rPr>
        <w:t>Prepared for: J. Cashman  |  June 2026</w:t>
      </w:r>
    </w:p>
    <w:p>
      <w:r>
        <w:br w:type="page"/>
      </w:r>
    </w:p>
    <w:p>
      <w:pPr>
        <w:pStyle w:val="Heading1"/>
      </w:pPr>
      <w:r>
        <w:rPr>
          <w:rFonts w:ascii="Arial" w:hAnsi="Arial"/>
          <w:color w:val="1B3A5C"/>
        </w:rPr>
        <w:t>1. Executive Summary</w:t>
      </w:r>
    </w:p>
    <w:p>
      <w:pPr>
        <w:spacing w:after="120"/>
      </w:pPr>
      <w:r>
        <w:rPr>
          <w:rFonts w:ascii="Arial" w:hAnsi="Arial"/>
          <w:b w:val="0"/>
          <w:sz w:val="22"/>
        </w:rPr>
        <w:t>This document analyzes three approaches to managing user permissions in the Busibox App Builder and its generated applications. The decision affects security, usability, IT operational overhead, and the speed at which non-technical users can create and deploy apps.</w:t>
      </w:r>
    </w:p>
    <w:p>
      <w:pPr>
        <w:spacing w:after="120"/>
      </w:pPr>
      <w:r>
        <w:rPr>
          <w:rFonts w:ascii="Arial" w:hAnsi="Arial"/>
          <w:b w:val="0"/>
          <w:sz w:val="22"/>
        </w:rPr>
        <w:t>The three options under consideration are:</w:t>
      </w:r>
    </w:p>
    <w:p>
      <w:pPr>
        <w:pStyle w:val="ListBullet"/>
      </w:pPr>
      <w:r>
        <w:rPr>
          <w:rFonts w:ascii="Arial" w:hAnsi="Arial"/>
          <w:b/>
          <w:sz w:val="22"/>
        </w:rPr>
        <w:t xml:space="preserve">Option A (Entra Only): </w:t>
      </w:r>
      <w:r>
        <w:rPr>
          <w:rFonts w:ascii="Arial" w:hAnsi="Arial"/>
          <w:sz w:val="22"/>
        </w:rPr>
        <w:t>Microsoft Entra ID groups serve as the sole permission source for all Busibox apps</w:t>
      </w:r>
    </w:p>
    <w:p>
      <w:pPr>
        <w:pStyle w:val="ListBullet"/>
      </w:pPr>
      <w:r>
        <w:rPr>
          <w:rFonts w:ascii="Arial" w:hAnsi="Arial"/>
          <w:b/>
          <w:sz w:val="22"/>
        </w:rPr>
        <w:t xml:space="preserve">Option B (Busibox Only): </w:t>
      </w:r>
      <w:r>
        <w:rPr>
          <w:rFonts w:ascii="Arial" w:hAnsi="Arial"/>
          <w:sz w:val="22"/>
        </w:rPr>
        <w:t>Busibox’s built-in role system manages all app-level permissions independently</w:t>
      </w:r>
    </w:p>
    <w:p>
      <w:pPr>
        <w:pStyle w:val="ListBullet"/>
      </w:pPr>
      <w:r>
        <w:rPr>
          <w:rFonts w:ascii="Arial" w:hAnsi="Arial"/>
          <w:b/>
          <w:sz w:val="22"/>
        </w:rPr>
        <w:t xml:space="preserve">Option C (Hybrid): </w:t>
      </w:r>
      <w:r>
        <w:rPr>
          <w:rFonts w:ascii="Arial" w:hAnsi="Arial"/>
          <w:sz w:val="22"/>
        </w:rPr>
        <w:t>Entra handles identity and coarse access; Busibox AuthZ handles fine-grained per-app roles</w:t>
      </w:r>
    </w:p>
    <w:p>
      <w:r>
        <w:rPr>
          <w:rFonts w:ascii="Arial" w:hAnsi="Arial"/>
          <w:b/>
          <w:color w:val="1B3A5C"/>
          <w:sz w:val="22"/>
        </w:rPr>
        <w:t xml:space="preserve">Recommendation: </w:t>
      </w:r>
      <w:r>
        <w:rPr>
          <w:rFonts w:ascii="Arial" w:hAnsi="Arial"/>
          <w:sz w:val="22"/>
        </w:rPr>
        <w:t>Option C (Hybrid) provides the strongest security posture while preserving the self-service app-building experience. Entra controls who gets into Busibox; Busibox controls what they can do inside each app.</w:t>
      </w:r>
    </w:p>
    <w:p>
      <w:pPr>
        <w:pStyle w:val="Heading1"/>
      </w:pPr>
      <w:r>
        <w:rPr>
          <w:rFonts w:ascii="Arial" w:hAnsi="Arial"/>
          <w:color w:val="1B3A5C"/>
        </w:rPr>
        <w:t>2. The Three Options Explained</w:t>
      </w:r>
    </w:p>
    <w:p>
      <w:pPr>
        <w:pStyle w:val="Heading2"/>
      </w:pPr>
      <w:r>
        <w:rPr>
          <w:rFonts w:ascii="Arial" w:hAnsi="Arial"/>
          <w:color w:val="1B3A5C"/>
        </w:rPr>
        <w:t>2.1 Option A: Microsoft Entra ID Groups Only</w:t>
      </w:r>
    </w:p>
    <w:p>
      <w:pPr>
        <w:spacing w:after="120"/>
      </w:pPr>
      <w:r>
        <w:rPr>
          <w:rFonts w:ascii="Arial" w:hAnsi="Arial"/>
          <w:b w:val="0"/>
          <w:sz w:val="22"/>
        </w:rPr>
        <w:t>In this model, every Busibox app role maps to a Microsoft Entra ID security group. When the App Builder generates an expense tracker with a “manager” role, an Entra group called “Busibox-ExpenseTracker-Manager” is created. Users are added to groups by IT administrators in the Microsoft 365 admin center. The Busibox app reads group membership from the OIDC token claims at login.</w:t>
      </w:r>
    </w:p>
    <w:p>
      <w:pPr>
        <w:spacing w:after="120"/>
      </w:pPr>
      <w:r>
        <w:rPr>
          <w:rFonts w:ascii="Arial" w:hAnsi="Arial"/>
          <w:b w:val="0"/>
          <w:sz w:val="22"/>
        </w:rPr>
        <w:t>Permission changes, onboarding, and offboarding all happen in Entra. When someone leaves the company and their Entra account is disabled, they immediately lose access to every Busibox app.</w:t>
      </w:r>
    </w:p>
    <w:p>
      <w:pPr>
        <w:pStyle w:val="Heading2"/>
      </w:pPr>
      <w:r>
        <w:rPr>
          <w:rFonts w:ascii="Arial" w:hAnsi="Arial"/>
          <w:color w:val="1B3A5C"/>
        </w:rPr>
        <w:t>2.2 Option B: Busibox AuthZ Only</w:t>
      </w:r>
    </w:p>
    <w:p>
      <w:pPr>
        <w:spacing w:after="120"/>
      </w:pPr>
      <w:r>
        <w:rPr>
          <w:rFonts w:ascii="Arial" w:hAnsi="Arial"/>
          <w:b w:val="0"/>
          <w:sz w:val="22"/>
        </w:rPr>
        <w:t>In this model, Busibox’s built-in AuthZ service manages all roles. Authentication can still use Entra (OIDC login), but once logged in, the user’s permissions come entirely from Busibox’s role system. Roles follow the naming pattern app:{appName}:{roleName} and are created programmatically by the App Builder’s setup route.</w:t>
      </w:r>
    </w:p>
    <w:p>
      <w:pPr>
        <w:spacing w:after="120"/>
      </w:pPr>
      <w:r>
        <w:rPr>
          <w:rFonts w:ascii="Arial" w:hAnsi="Arial"/>
          <w:b w:val="0"/>
          <w:sz w:val="22"/>
        </w:rPr>
        <w:t>App creators manage their own roles directly within Busibox. No IT admin involvement is needed. This is the approach described in the current App Builder prompt.</w:t>
      </w:r>
    </w:p>
    <w:p>
      <w:pPr>
        <w:pStyle w:val="Heading2"/>
      </w:pPr>
      <w:r>
        <w:rPr>
          <w:rFonts w:ascii="Arial" w:hAnsi="Arial"/>
          <w:color w:val="1B3A5C"/>
        </w:rPr>
        <w:t>2.3 Option C: Hybrid (Recommended)</w:t>
      </w:r>
    </w:p>
    <w:p>
      <w:pPr>
        <w:spacing w:after="120"/>
      </w:pPr>
      <w:r>
        <w:rPr>
          <w:rFonts w:ascii="Arial" w:hAnsi="Arial"/>
          <w:b w:val="0"/>
          <w:sz w:val="22"/>
        </w:rPr>
        <w:t>This model layers both systems. Entra provides identity management (authentication, MFA, conditional access, lifecycle management) and controls who can access Busibox at all. Busibox AuthZ provides fine-grained, per-app role management that app creators control themselves.</w:t>
      </w:r>
    </w:p>
    <w:p>
      <w:pPr>
        <w:spacing w:after="120"/>
      </w:pPr>
      <w:r>
        <w:rPr>
          <w:rFonts w:ascii="Arial" w:hAnsi="Arial"/>
          <w:b w:val="0"/>
          <w:sz w:val="22"/>
        </w:rPr>
        <w:t>A periodic sync job checks Entra group membership to revoke Busibox sessions when users are disabled or removed from the “Busibox-Users” group. Short JWT expiry times (15 minutes) ensure stale sessions are cleaned up quickly.</w:t>
      </w:r>
    </w:p>
    <w:p>
      <w:pPr>
        <w:pStyle w:val="Heading1"/>
      </w:pPr>
      <w:r>
        <w:rPr>
          <w:rFonts w:ascii="Arial" w:hAnsi="Arial"/>
          <w:color w:val="1B3A5C"/>
        </w:rPr>
        <w:t>3. Detailed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B3A5C" w:val="clear"/>
          </w:tcPr>
          <w:p>
            <w:r/>
            <w:r>
              <w:rPr>
                <w:rFonts w:ascii="Arial" w:hAnsi="Arial"/>
                <w:b/>
                <w:color w:val="FFFFFF"/>
                <w:sz w:val="18"/>
              </w:rPr>
              <w:t>Dimension</w:t>
            </w:r>
          </w:p>
        </w:tc>
        <w:tc>
          <w:tcPr>
            <w:tcW w:type="dxa" w:w="2304"/>
            <w:shd w:fill="1B3A5C" w:val="clear"/>
          </w:tcPr>
          <w:p>
            <w:r/>
            <w:r>
              <w:rPr>
                <w:rFonts w:ascii="Arial" w:hAnsi="Arial"/>
                <w:b/>
                <w:color w:val="FFFFFF"/>
                <w:sz w:val="18"/>
              </w:rPr>
              <w:t>A: Entra Only</w:t>
            </w:r>
          </w:p>
        </w:tc>
        <w:tc>
          <w:tcPr>
            <w:tcW w:type="dxa" w:w="2304"/>
            <w:shd w:fill="1B3A5C" w:val="clear"/>
          </w:tcPr>
          <w:p>
            <w:r/>
            <w:r>
              <w:rPr>
                <w:rFonts w:ascii="Arial" w:hAnsi="Arial"/>
                <w:b/>
                <w:color w:val="FFFFFF"/>
                <w:sz w:val="18"/>
              </w:rPr>
              <w:t>B: Busibox Only</w:t>
            </w:r>
          </w:p>
        </w:tc>
        <w:tc>
          <w:tcPr>
            <w:tcW w:type="dxa" w:w="2304"/>
            <w:shd w:fill="1B3A5C" w:val="clear"/>
          </w:tcPr>
          <w:p>
            <w:r/>
            <w:r>
              <w:rPr>
                <w:rFonts w:ascii="Arial" w:hAnsi="Arial"/>
                <w:b/>
                <w:color w:val="FFFFFF"/>
                <w:sz w:val="18"/>
              </w:rPr>
              <w:t>C: Hybrid</w:t>
            </w:r>
          </w:p>
        </w:tc>
      </w:tr>
      <w:tr>
        <w:tc>
          <w:tcPr>
            <w:tcW w:type="dxa" w:w="2304"/>
          </w:tcPr>
          <w:p>
            <w:r/>
            <w:r>
              <w:rPr>
                <w:rFonts w:ascii="Arial" w:hAnsi="Arial"/>
                <w:sz w:val="18"/>
              </w:rPr>
              <w:t>Identity source</w:t>
            </w:r>
          </w:p>
        </w:tc>
        <w:tc>
          <w:tcPr>
            <w:tcW w:type="dxa" w:w="2304"/>
          </w:tcPr>
          <w:p>
            <w:r/>
            <w:r>
              <w:rPr>
                <w:rFonts w:ascii="Arial" w:hAnsi="Arial"/>
                <w:sz w:val="18"/>
              </w:rPr>
              <w:t>Entra ID (OIDC)</w:t>
            </w:r>
          </w:p>
        </w:tc>
        <w:tc>
          <w:tcPr>
            <w:tcW w:type="dxa" w:w="2304"/>
          </w:tcPr>
          <w:p>
            <w:r/>
            <w:r>
              <w:rPr>
                <w:rFonts w:ascii="Arial" w:hAnsi="Arial"/>
                <w:sz w:val="18"/>
              </w:rPr>
              <w:t>Entra or magic link</w:t>
            </w:r>
          </w:p>
        </w:tc>
        <w:tc>
          <w:tcPr>
            <w:tcW w:type="dxa" w:w="2304"/>
          </w:tcPr>
          <w:p>
            <w:r/>
            <w:r>
              <w:rPr>
                <w:rFonts w:ascii="Arial" w:hAnsi="Arial"/>
                <w:sz w:val="18"/>
              </w:rPr>
              <w:t>Entra ID (OIDC)</w:t>
            </w:r>
          </w:p>
        </w:tc>
      </w:tr>
      <w:tr>
        <w:tc>
          <w:tcPr>
            <w:tcW w:type="dxa" w:w="2304"/>
            <w:shd w:fill="F2F6FA" w:val="clear"/>
          </w:tcPr>
          <w:p>
            <w:r/>
            <w:r>
              <w:rPr>
                <w:rFonts w:ascii="Arial" w:hAnsi="Arial"/>
                <w:sz w:val="18"/>
              </w:rPr>
              <w:t>MFA enforcement</w:t>
            </w:r>
          </w:p>
        </w:tc>
        <w:tc>
          <w:tcPr>
            <w:tcW w:type="dxa" w:w="2304"/>
            <w:shd w:fill="F2F6FA" w:val="clear"/>
          </w:tcPr>
          <w:p>
            <w:r/>
            <w:r>
              <w:rPr>
                <w:rFonts w:ascii="Arial" w:hAnsi="Arial"/>
                <w:sz w:val="18"/>
              </w:rPr>
              <w:t>Built-in (Entra CA)</w:t>
            </w:r>
          </w:p>
        </w:tc>
        <w:tc>
          <w:tcPr>
            <w:tcW w:type="dxa" w:w="2304"/>
            <w:shd w:fill="F2F6FA" w:val="clear"/>
          </w:tcPr>
          <w:p>
            <w:r/>
            <w:r>
              <w:rPr>
                <w:rFonts w:ascii="Arial" w:hAnsi="Arial"/>
                <w:sz w:val="18"/>
              </w:rPr>
              <w:t>App-level TOTP/passkey</w:t>
            </w:r>
          </w:p>
        </w:tc>
        <w:tc>
          <w:tcPr>
            <w:tcW w:type="dxa" w:w="2304"/>
            <w:shd w:fill="F2F6FA" w:val="clear"/>
          </w:tcPr>
          <w:p>
            <w:r/>
            <w:r>
              <w:rPr>
                <w:rFonts w:ascii="Arial" w:hAnsi="Arial"/>
                <w:sz w:val="18"/>
              </w:rPr>
              <w:t>Entra CA policies</w:t>
            </w:r>
          </w:p>
        </w:tc>
      </w:tr>
      <w:tr>
        <w:tc>
          <w:tcPr>
            <w:tcW w:type="dxa" w:w="2304"/>
          </w:tcPr>
          <w:p>
            <w:r/>
            <w:r>
              <w:rPr>
                <w:rFonts w:ascii="Arial" w:hAnsi="Arial"/>
                <w:sz w:val="18"/>
              </w:rPr>
              <w:t>Role creation</w:t>
            </w:r>
          </w:p>
        </w:tc>
        <w:tc>
          <w:tcPr>
            <w:tcW w:type="dxa" w:w="2304"/>
          </w:tcPr>
          <w:p>
            <w:r/>
            <w:r>
              <w:rPr>
                <w:rFonts w:ascii="Arial" w:hAnsi="Arial"/>
                <w:sz w:val="18"/>
              </w:rPr>
              <w:t>IT admin creates groups</w:t>
            </w:r>
          </w:p>
        </w:tc>
        <w:tc>
          <w:tcPr>
            <w:tcW w:type="dxa" w:w="2304"/>
          </w:tcPr>
          <w:p>
            <w:r/>
            <w:r>
              <w:rPr>
                <w:rFonts w:ascii="Arial" w:hAnsi="Arial"/>
                <w:sz w:val="18"/>
              </w:rPr>
              <w:t>Self-service via API</w:t>
            </w:r>
          </w:p>
        </w:tc>
        <w:tc>
          <w:tcPr>
            <w:tcW w:type="dxa" w:w="2304"/>
          </w:tcPr>
          <w:p>
            <w:r/>
            <w:r>
              <w:rPr>
                <w:rFonts w:ascii="Arial" w:hAnsi="Arial"/>
                <w:sz w:val="18"/>
              </w:rPr>
              <w:t>Self-service via API</w:t>
            </w:r>
          </w:p>
        </w:tc>
      </w:tr>
      <w:tr>
        <w:tc>
          <w:tcPr>
            <w:tcW w:type="dxa" w:w="2304"/>
            <w:shd w:fill="F2F6FA" w:val="clear"/>
          </w:tcPr>
          <w:p>
            <w:r/>
            <w:r>
              <w:rPr>
                <w:rFonts w:ascii="Arial" w:hAnsi="Arial"/>
                <w:sz w:val="18"/>
              </w:rPr>
              <w:t>Role granularity</w:t>
            </w:r>
          </w:p>
        </w:tc>
        <w:tc>
          <w:tcPr>
            <w:tcW w:type="dxa" w:w="2304"/>
            <w:shd w:fill="F2F6FA" w:val="clear"/>
          </w:tcPr>
          <w:p>
            <w:r/>
            <w:r>
              <w:rPr>
                <w:rFonts w:ascii="Arial" w:hAnsi="Arial"/>
                <w:sz w:val="18"/>
              </w:rPr>
              <w:t>Org-wide groups</w:t>
            </w:r>
          </w:p>
        </w:tc>
        <w:tc>
          <w:tcPr>
            <w:tcW w:type="dxa" w:w="2304"/>
            <w:shd w:fill="F2F6FA" w:val="clear"/>
          </w:tcPr>
          <w:p>
            <w:r/>
            <w:r>
              <w:rPr>
                <w:rFonts w:ascii="Arial" w:hAnsi="Arial"/>
                <w:sz w:val="18"/>
              </w:rPr>
              <w:t>Per-app scoped roles</w:t>
            </w:r>
          </w:p>
        </w:tc>
        <w:tc>
          <w:tcPr>
            <w:tcW w:type="dxa" w:w="2304"/>
            <w:shd w:fill="F2F6FA" w:val="clear"/>
          </w:tcPr>
          <w:p>
            <w:r/>
            <w:r>
              <w:rPr>
                <w:rFonts w:ascii="Arial" w:hAnsi="Arial"/>
                <w:sz w:val="18"/>
              </w:rPr>
              <w:t>Per-app scoped roles</w:t>
            </w:r>
          </w:p>
        </w:tc>
      </w:tr>
      <w:tr>
        <w:tc>
          <w:tcPr>
            <w:tcW w:type="dxa" w:w="2304"/>
          </w:tcPr>
          <w:p>
            <w:r/>
            <w:r>
              <w:rPr>
                <w:rFonts w:ascii="Arial" w:hAnsi="Arial"/>
                <w:sz w:val="18"/>
              </w:rPr>
              <w:t>Deprovisioning</w:t>
            </w:r>
          </w:p>
        </w:tc>
        <w:tc>
          <w:tcPr>
            <w:tcW w:type="dxa" w:w="2304"/>
          </w:tcPr>
          <w:p>
            <w:r/>
            <w:r>
              <w:rPr>
                <w:rFonts w:ascii="Arial" w:hAnsi="Arial"/>
                <w:sz w:val="18"/>
              </w:rPr>
              <w:t>Instant on Entra disable</w:t>
            </w:r>
          </w:p>
        </w:tc>
        <w:tc>
          <w:tcPr>
            <w:tcW w:type="dxa" w:w="2304"/>
          </w:tcPr>
          <w:p>
            <w:r/>
            <w:r>
              <w:rPr>
                <w:rFonts w:ascii="Arial" w:hAnsi="Arial"/>
                <w:sz w:val="18"/>
              </w:rPr>
              <w:t>Manual removal needed</w:t>
            </w:r>
          </w:p>
        </w:tc>
        <w:tc>
          <w:tcPr>
            <w:tcW w:type="dxa" w:w="2304"/>
          </w:tcPr>
          <w:p>
            <w:r/>
            <w:r>
              <w:rPr>
                <w:rFonts w:ascii="Arial" w:hAnsi="Arial"/>
                <w:sz w:val="18"/>
              </w:rPr>
              <w:t>Auto-sync (&lt;15 min)</w:t>
            </w:r>
          </w:p>
        </w:tc>
      </w:tr>
      <w:tr>
        <w:tc>
          <w:tcPr>
            <w:tcW w:type="dxa" w:w="2304"/>
            <w:shd w:fill="F2F6FA" w:val="clear"/>
          </w:tcPr>
          <w:p>
            <w:r/>
            <w:r>
              <w:rPr>
                <w:rFonts w:ascii="Arial" w:hAnsi="Arial"/>
                <w:sz w:val="18"/>
              </w:rPr>
              <w:t>App Builder flow</w:t>
            </w:r>
          </w:p>
        </w:tc>
        <w:tc>
          <w:tcPr>
            <w:tcW w:type="dxa" w:w="2304"/>
            <w:shd w:fill="F2F6FA" w:val="clear"/>
          </w:tcPr>
          <w:p>
            <w:r/>
            <w:r>
              <w:rPr>
                <w:rFonts w:ascii="Arial" w:hAnsi="Arial"/>
                <w:sz w:val="18"/>
              </w:rPr>
              <w:t>Blocked: needs IT ticket</w:t>
            </w:r>
          </w:p>
        </w:tc>
        <w:tc>
          <w:tcPr>
            <w:tcW w:type="dxa" w:w="2304"/>
            <w:shd w:fill="F2F6FA" w:val="clear"/>
          </w:tcPr>
          <w:p>
            <w:r/>
            <w:r>
              <w:rPr>
                <w:rFonts w:ascii="Arial" w:hAnsi="Arial"/>
                <w:sz w:val="18"/>
              </w:rPr>
              <w:t>Works: automatic setup</w:t>
            </w:r>
          </w:p>
        </w:tc>
        <w:tc>
          <w:tcPr>
            <w:tcW w:type="dxa" w:w="2304"/>
            <w:shd w:fill="F2F6FA" w:val="clear"/>
          </w:tcPr>
          <w:p>
            <w:r/>
            <w:r>
              <w:rPr>
                <w:rFonts w:ascii="Arial" w:hAnsi="Arial"/>
                <w:sz w:val="18"/>
              </w:rPr>
              <w:t>Works: automatic setup</w:t>
            </w:r>
          </w:p>
        </w:tc>
      </w:tr>
      <w:tr>
        <w:tc>
          <w:tcPr>
            <w:tcW w:type="dxa" w:w="2304"/>
          </w:tcPr>
          <w:p>
            <w:r/>
            <w:r>
              <w:rPr>
                <w:rFonts w:ascii="Arial" w:hAnsi="Arial"/>
                <w:sz w:val="18"/>
              </w:rPr>
              <w:t>IT admin overhead</w:t>
            </w:r>
          </w:p>
        </w:tc>
        <w:tc>
          <w:tcPr>
            <w:tcW w:type="dxa" w:w="2304"/>
          </w:tcPr>
          <w:p>
            <w:r/>
            <w:r>
              <w:rPr>
                <w:rFonts w:ascii="Arial" w:hAnsi="Arial"/>
                <w:sz w:val="18"/>
              </w:rPr>
              <w:t>High: group per role/app</w:t>
            </w:r>
          </w:p>
        </w:tc>
        <w:tc>
          <w:tcPr>
            <w:tcW w:type="dxa" w:w="2304"/>
          </w:tcPr>
          <w:p>
            <w:r/>
            <w:r>
              <w:rPr>
                <w:rFonts w:ascii="Arial" w:hAnsi="Arial"/>
                <w:sz w:val="18"/>
              </w:rPr>
              <w:t>None</w:t>
            </w:r>
          </w:p>
        </w:tc>
        <w:tc>
          <w:tcPr>
            <w:tcW w:type="dxa" w:w="2304"/>
          </w:tcPr>
          <w:p>
            <w:r/>
            <w:r>
              <w:rPr>
                <w:rFonts w:ascii="Arial" w:hAnsi="Arial"/>
                <w:sz w:val="18"/>
              </w:rPr>
              <w:t>Low: one group to manage</w:t>
            </w:r>
          </w:p>
        </w:tc>
      </w:tr>
      <w:tr>
        <w:tc>
          <w:tcPr>
            <w:tcW w:type="dxa" w:w="2304"/>
            <w:shd w:fill="F2F6FA" w:val="clear"/>
          </w:tcPr>
          <w:p>
            <w:r/>
            <w:r>
              <w:rPr>
                <w:rFonts w:ascii="Arial" w:hAnsi="Arial"/>
                <w:sz w:val="18"/>
              </w:rPr>
              <w:t>Audit trail</w:t>
            </w:r>
          </w:p>
        </w:tc>
        <w:tc>
          <w:tcPr>
            <w:tcW w:type="dxa" w:w="2304"/>
            <w:shd w:fill="F2F6FA" w:val="clear"/>
          </w:tcPr>
          <w:p>
            <w:r/>
            <w:r>
              <w:rPr>
                <w:rFonts w:ascii="Arial" w:hAnsi="Arial"/>
                <w:sz w:val="18"/>
              </w:rPr>
              <w:t>Centralized in Azure</w:t>
            </w:r>
          </w:p>
        </w:tc>
        <w:tc>
          <w:tcPr>
            <w:tcW w:type="dxa" w:w="2304"/>
            <w:shd w:fill="F2F6FA" w:val="clear"/>
          </w:tcPr>
          <w:p>
            <w:r/>
            <w:r>
              <w:rPr>
                <w:rFonts w:ascii="Arial" w:hAnsi="Arial"/>
                <w:sz w:val="18"/>
              </w:rPr>
              <w:t>Busibox-only logs</w:t>
            </w:r>
          </w:p>
        </w:tc>
        <w:tc>
          <w:tcPr>
            <w:tcW w:type="dxa" w:w="2304"/>
            <w:shd w:fill="F2F6FA" w:val="clear"/>
          </w:tcPr>
          <w:p>
            <w:r/>
            <w:r>
              <w:rPr>
                <w:rFonts w:ascii="Arial" w:hAnsi="Arial"/>
                <w:sz w:val="18"/>
              </w:rPr>
              <w:t>Both systems log</w:t>
            </w:r>
          </w:p>
        </w:tc>
      </w:tr>
      <w:tr>
        <w:tc>
          <w:tcPr>
            <w:tcW w:type="dxa" w:w="2304"/>
          </w:tcPr>
          <w:p>
            <w:r/>
            <w:r>
              <w:rPr>
                <w:rFonts w:ascii="Arial" w:hAnsi="Arial"/>
                <w:sz w:val="18"/>
              </w:rPr>
              <w:t>Compliance (SOC2)</w:t>
            </w:r>
          </w:p>
        </w:tc>
        <w:tc>
          <w:tcPr>
            <w:tcW w:type="dxa" w:w="2304"/>
          </w:tcPr>
          <w:p>
            <w:r/>
            <w:r>
              <w:rPr>
                <w:rFonts w:ascii="Arial" w:hAnsi="Arial"/>
                <w:sz w:val="18"/>
              </w:rPr>
              <w:t>Strong: Entra certified</w:t>
            </w:r>
          </w:p>
        </w:tc>
        <w:tc>
          <w:tcPr>
            <w:tcW w:type="dxa" w:w="2304"/>
          </w:tcPr>
          <w:p>
            <w:r/>
            <w:r>
              <w:rPr>
                <w:rFonts w:ascii="Arial" w:hAnsi="Arial"/>
                <w:sz w:val="18"/>
              </w:rPr>
              <w:t>Depends on self-hosting</w:t>
            </w:r>
          </w:p>
        </w:tc>
        <w:tc>
          <w:tcPr>
            <w:tcW w:type="dxa" w:w="2304"/>
          </w:tcPr>
          <w:p>
            <w:r/>
            <w:r>
              <w:rPr>
                <w:rFonts w:ascii="Arial" w:hAnsi="Arial"/>
                <w:sz w:val="18"/>
              </w:rPr>
              <w:t>Strong: Entra covers identity</w:t>
            </w:r>
          </w:p>
        </w:tc>
      </w:tr>
      <w:tr>
        <w:tc>
          <w:tcPr>
            <w:tcW w:type="dxa" w:w="2304"/>
            <w:shd w:fill="F2F6FA" w:val="clear"/>
          </w:tcPr>
          <w:p>
            <w:r/>
            <w:r>
              <w:rPr>
                <w:rFonts w:ascii="Arial" w:hAnsi="Arial"/>
                <w:sz w:val="18"/>
              </w:rPr>
              <w:t>Conditional access</w:t>
            </w:r>
          </w:p>
        </w:tc>
        <w:tc>
          <w:tcPr>
            <w:tcW w:type="dxa" w:w="2304"/>
            <w:shd w:fill="F2F6FA" w:val="clear"/>
          </w:tcPr>
          <w:p>
            <w:r/>
            <w:r>
              <w:rPr>
                <w:rFonts w:ascii="Arial" w:hAnsi="Arial"/>
                <w:sz w:val="18"/>
              </w:rPr>
              <w:t>Full (device, location)</w:t>
            </w:r>
          </w:p>
        </w:tc>
        <w:tc>
          <w:tcPr>
            <w:tcW w:type="dxa" w:w="2304"/>
            <w:shd w:fill="F2F6FA" w:val="clear"/>
          </w:tcPr>
          <w:p>
            <w:r/>
            <w:r>
              <w:rPr>
                <w:rFonts w:ascii="Arial" w:hAnsi="Arial"/>
                <w:sz w:val="18"/>
              </w:rPr>
              <w:t>None</w:t>
            </w:r>
          </w:p>
        </w:tc>
        <w:tc>
          <w:tcPr>
            <w:tcW w:type="dxa" w:w="2304"/>
            <w:shd w:fill="F2F6FA" w:val="clear"/>
          </w:tcPr>
          <w:p>
            <w:r/>
            <w:r>
              <w:rPr>
                <w:rFonts w:ascii="Arial" w:hAnsi="Arial"/>
                <w:sz w:val="18"/>
              </w:rPr>
              <w:t>Full via Entra</w:t>
            </w:r>
          </w:p>
        </w:tc>
      </w:tr>
      <w:tr>
        <w:tc>
          <w:tcPr>
            <w:tcW w:type="dxa" w:w="2304"/>
          </w:tcPr>
          <w:p>
            <w:r/>
            <w:r>
              <w:rPr>
                <w:rFonts w:ascii="Arial" w:hAnsi="Arial"/>
                <w:sz w:val="18"/>
              </w:rPr>
              <w:t>Offline / air-gapped</w:t>
            </w:r>
          </w:p>
        </w:tc>
        <w:tc>
          <w:tcPr>
            <w:tcW w:type="dxa" w:w="2304"/>
          </w:tcPr>
          <w:p>
            <w:r/>
            <w:r>
              <w:rPr>
                <w:rFonts w:ascii="Arial" w:hAnsi="Arial"/>
                <w:sz w:val="18"/>
              </w:rPr>
              <w:t>Requires Azure</w:t>
            </w:r>
          </w:p>
        </w:tc>
        <w:tc>
          <w:tcPr>
            <w:tcW w:type="dxa" w:w="2304"/>
          </w:tcPr>
          <w:p>
            <w:r/>
            <w:r>
              <w:rPr>
                <w:rFonts w:ascii="Arial" w:hAnsi="Arial"/>
                <w:sz w:val="18"/>
              </w:rPr>
              <w:t>Fully self-contained</w:t>
            </w:r>
          </w:p>
        </w:tc>
        <w:tc>
          <w:tcPr>
            <w:tcW w:type="dxa" w:w="2304"/>
          </w:tcPr>
          <w:p>
            <w:r/>
            <w:r>
              <w:rPr>
                <w:rFonts w:ascii="Arial" w:hAnsi="Arial"/>
                <w:sz w:val="18"/>
              </w:rPr>
              <w:t>Needs Azure for auth</w:t>
            </w:r>
          </w:p>
        </w:tc>
      </w:tr>
      <w:tr>
        <w:tc>
          <w:tcPr>
            <w:tcW w:type="dxa" w:w="2304"/>
            <w:shd w:fill="F2F6FA" w:val="clear"/>
          </w:tcPr>
          <w:p>
            <w:r/>
            <w:r>
              <w:rPr>
                <w:rFonts w:ascii="Arial" w:hAnsi="Arial"/>
                <w:sz w:val="18"/>
              </w:rPr>
              <w:t>Setup complexity</w:t>
            </w:r>
          </w:p>
        </w:tc>
        <w:tc>
          <w:tcPr>
            <w:tcW w:type="dxa" w:w="2304"/>
            <w:shd w:fill="F2F6FA" w:val="clear"/>
          </w:tcPr>
          <w:p>
            <w:r/>
            <w:r>
              <w:rPr>
                <w:rFonts w:ascii="Arial" w:hAnsi="Arial"/>
                <w:b/>
                <w:color w:val="E65100"/>
                <w:sz w:val="18"/>
              </w:rPr>
              <w:t>Moderate</w:t>
            </w:r>
          </w:p>
        </w:tc>
        <w:tc>
          <w:tcPr>
            <w:tcW w:type="dxa" w:w="2304"/>
            <w:shd w:fill="F2F6FA" w:val="clear"/>
          </w:tcPr>
          <w:p>
            <w:r/>
            <w:r>
              <w:rPr>
                <w:rFonts w:ascii="Arial" w:hAnsi="Arial"/>
                <w:sz w:val="18"/>
              </w:rPr>
              <w:t>Low</w:t>
            </w:r>
          </w:p>
        </w:tc>
        <w:tc>
          <w:tcPr>
            <w:tcW w:type="dxa" w:w="2304"/>
            <w:shd w:fill="F2F6FA" w:val="clear"/>
          </w:tcPr>
          <w:p>
            <w:r/>
            <w:r>
              <w:rPr>
                <w:rFonts w:ascii="Arial" w:hAnsi="Arial"/>
                <w:b/>
                <w:color w:val="E65100"/>
                <w:sz w:val="18"/>
              </w:rPr>
              <w:t>Moderate</w:t>
            </w:r>
          </w:p>
        </w:tc>
      </w:tr>
    </w:tbl>
    <w:p/>
    <w:p>
      <w:pPr>
        <w:pStyle w:val="Heading1"/>
      </w:pPr>
      <w:r>
        <w:rPr>
          <w:rFonts w:ascii="Arial" w:hAnsi="Arial"/>
          <w:color w:val="1B3A5C"/>
        </w:rPr>
        <w:t>4. Security Analysis</w:t>
      </w:r>
    </w:p>
    <w:p>
      <w:pPr>
        <w:pStyle w:val="Heading2"/>
      </w:pPr>
      <w:r>
        <w:rPr>
          <w:rFonts w:ascii="Arial" w:hAnsi="Arial"/>
          <w:color w:val="1B3A5C"/>
        </w:rPr>
        <w:t>4.1 Security Ratings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1B3A5C" w:val="clear"/>
          </w:tcPr>
          <w:p>
            <w:r/>
            <w:r>
              <w:rPr>
                <w:rFonts w:ascii="Arial" w:hAnsi="Arial"/>
                <w:b/>
                <w:color w:val="FFFFFF"/>
                <w:sz w:val="18"/>
              </w:rPr>
              <w:t>Security Area</w:t>
            </w:r>
          </w:p>
        </w:tc>
        <w:tc>
          <w:tcPr>
            <w:tcW w:type="dxa" w:w="2160"/>
            <w:shd w:fill="1B3A5C" w:val="clear"/>
          </w:tcPr>
          <w:p>
            <w:r/>
            <w:r>
              <w:rPr>
                <w:rFonts w:ascii="Arial" w:hAnsi="Arial"/>
                <w:b/>
                <w:color w:val="FFFFFF"/>
                <w:sz w:val="18"/>
              </w:rPr>
              <w:t>A: Entra Only</w:t>
            </w:r>
          </w:p>
        </w:tc>
        <w:tc>
          <w:tcPr>
            <w:tcW w:type="dxa" w:w="2160"/>
            <w:shd w:fill="1B3A5C" w:val="clear"/>
          </w:tcPr>
          <w:p>
            <w:r/>
            <w:r>
              <w:rPr>
                <w:rFonts w:ascii="Arial" w:hAnsi="Arial"/>
                <w:b/>
                <w:color w:val="FFFFFF"/>
                <w:sz w:val="18"/>
              </w:rPr>
              <w:t>B: Busibox Only</w:t>
            </w:r>
          </w:p>
        </w:tc>
        <w:tc>
          <w:tcPr>
            <w:tcW w:type="dxa" w:w="2160"/>
            <w:shd w:fill="1B3A5C" w:val="clear"/>
          </w:tcPr>
          <w:p>
            <w:r/>
            <w:r>
              <w:rPr>
                <w:rFonts w:ascii="Arial" w:hAnsi="Arial"/>
                <w:b/>
                <w:color w:val="FFFFFF"/>
                <w:sz w:val="18"/>
              </w:rPr>
              <w:t>C: Hybrid</w:t>
            </w:r>
          </w:p>
        </w:tc>
      </w:tr>
      <w:tr>
        <w:tc>
          <w:tcPr>
            <w:tcW w:type="dxa" w:w="2880"/>
          </w:tcPr>
          <w:p>
            <w:r/>
            <w:r>
              <w:rPr>
                <w:rFonts w:ascii="Arial" w:hAnsi="Arial"/>
                <w:sz w:val="18"/>
              </w:rPr>
              <w:t>Authentication strength</w:t>
            </w:r>
          </w:p>
        </w:tc>
        <w:tc>
          <w:tcPr>
            <w:tcW w:type="dxa" w:w="2160"/>
          </w:tcPr>
          <w:p>
            <w:r/>
            <w:r>
              <w:rPr>
                <w:rFonts w:ascii="Arial" w:hAnsi="Arial"/>
                <w:b/>
                <w:color w:val="2E7D32"/>
                <w:sz w:val="18"/>
              </w:rPr>
              <w:t>Strong</w:t>
            </w:r>
          </w:p>
        </w:tc>
        <w:tc>
          <w:tcPr>
            <w:tcW w:type="dxa" w:w="2160"/>
          </w:tcPr>
          <w:p>
            <w:r/>
            <w:r>
              <w:rPr>
                <w:rFonts w:ascii="Arial" w:hAnsi="Arial"/>
                <w:b/>
                <w:color w:val="E65100"/>
                <w:sz w:val="18"/>
              </w:rPr>
              <w:t>Moderate</w:t>
            </w:r>
          </w:p>
        </w:tc>
        <w:tc>
          <w:tcPr>
            <w:tcW w:type="dxa" w:w="2160"/>
          </w:tcPr>
          <w:p>
            <w:r/>
            <w:r>
              <w:rPr>
                <w:rFonts w:ascii="Arial" w:hAnsi="Arial"/>
                <w:b/>
                <w:color w:val="2E7D32"/>
                <w:sz w:val="18"/>
              </w:rPr>
              <w:t>Strong</w:t>
            </w:r>
          </w:p>
        </w:tc>
      </w:tr>
      <w:tr>
        <w:tc>
          <w:tcPr>
            <w:tcW w:type="dxa" w:w="2880"/>
            <w:shd w:fill="F2F6FA" w:val="clear"/>
          </w:tcPr>
          <w:p>
            <w:r/>
            <w:r>
              <w:rPr>
                <w:rFonts w:ascii="Arial" w:hAnsi="Arial"/>
                <w:sz w:val="18"/>
              </w:rPr>
              <w:t>Authorization granularity</w:t>
            </w:r>
          </w:p>
        </w:tc>
        <w:tc>
          <w:tcPr>
            <w:tcW w:type="dxa" w:w="2160"/>
            <w:shd w:fill="F2F6FA" w:val="clear"/>
          </w:tcPr>
          <w:p>
            <w:r/>
            <w:r>
              <w:rPr>
                <w:rFonts w:ascii="Arial" w:hAnsi="Arial"/>
                <w:b/>
                <w:color w:val="E65100"/>
                <w:sz w:val="18"/>
              </w:rPr>
              <w:t>Moderate</w:t>
            </w:r>
          </w:p>
        </w:tc>
        <w:tc>
          <w:tcPr>
            <w:tcW w:type="dxa" w:w="2160"/>
            <w:shd w:fill="F2F6FA" w:val="clear"/>
          </w:tcPr>
          <w:p>
            <w:r/>
            <w:r>
              <w:rPr>
                <w:rFonts w:ascii="Arial" w:hAnsi="Arial"/>
                <w:b/>
                <w:color w:val="2E7D32"/>
                <w:sz w:val="18"/>
              </w:rPr>
              <w:t>Strong</w:t>
            </w:r>
          </w:p>
        </w:tc>
        <w:tc>
          <w:tcPr>
            <w:tcW w:type="dxa" w:w="2160"/>
            <w:shd w:fill="F2F6FA" w:val="clear"/>
          </w:tcPr>
          <w:p>
            <w:r/>
            <w:r>
              <w:rPr>
                <w:rFonts w:ascii="Arial" w:hAnsi="Arial"/>
                <w:b/>
                <w:color w:val="2E7D32"/>
                <w:sz w:val="18"/>
              </w:rPr>
              <w:t>Best</w:t>
            </w:r>
          </w:p>
        </w:tc>
      </w:tr>
      <w:tr>
        <w:tc>
          <w:tcPr>
            <w:tcW w:type="dxa" w:w="2880"/>
          </w:tcPr>
          <w:p>
            <w:r/>
            <w:r>
              <w:rPr>
                <w:rFonts w:ascii="Arial" w:hAnsi="Arial"/>
                <w:sz w:val="18"/>
              </w:rPr>
              <w:t>Deprovisioning speed</w:t>
            </w:r>
          </w:p>
        </w:tc>
        <w:tc>
          <w:tcPr>
            <w:tcW w:type="dxa" w:w="2160"/>
          </w:tcPr>
          <w:p>
            <w:r/>
            <w:r>
              <w:rPr>
                <w:rFonts w:ascii="Arial" w:hAnsi="Arial"/>
                <w:b/>
                <w:color w:val="2E7D32"/>
                <w:sz w:val="18"/>
              </w:rPr>
              <w:t>Strong</w:t>
            </w:r>
          </w:p>
        </w:tc>
        <w:tc>
          <w:tcPr>
            <w:tcW w:type="dxa" w:w="2160"/>
          </w:tcPr>
          <w:p>
            <w:r/>
            <w:r>
              <w:rPr>
                <w:rFonts w:ascii="Arial" w:hAnsi="Arial"/>
                <w:b/>
                <w:color w:val="C62828"/>
                <w:sz w:val="18"/>
              </w:rPr>
              <w:t>Weak</w:t>
            </w:r>
          </w:p>
        </w:tc>
        <w:tc>
          <w:tcPr>
            <w:tcW w:type="dxa" w:w="2160"/>
          </w:tcPr>
          <w:p>
            <w:r/>
            <w:r>
              <w:rPr>
                <w:rFonts w:ascii="Arial" w:hAnsi="Arial"/>
                <w:b/>
                <w:color w:val="558B2F"/>
                <w:sz w:val="18"/>
              </w:rPr>
              <w:t>Good</w:t>
            </w:r>
          </w:p>
        </w:tc>
      </w:tr>
      <w:tr>
        <w:tc>
          <w:tcPr>
            <w:tcW w:type="dxa" w:w="2880"/>
            <w:shd w:fill="F2F6FA" w:val="clear"/>
          </w:tcPr>
          <w:p>
            <w:r/>
            <w:r>
              <w:rPr>
                <w:rFonts w:ascii="Arial" w:hAnsi="Arial"/>
                <w:sz w:val="18"/>
              </w:rPr>
              <w:t>Blast radius (compromised token)</w:t>
            </w:r>
          </w:p>
        </w:tc>
        <w:tc>
          <w:tcPr>
            <w:tcW w:type="dxa" w:w="2160"/>
            <w:shd w:fill="F2F6FA" w:val="clear"/>
          </w:tcPr>
          <w:p>
            <w:r/>
            <w:r>
              <w:rPr>
                <w:rFonts w:ascii="Arial" w:hAnsi="Arial"/>
                <w:b/>
                <w:color w:val="E65100"/>
                <w:sz w:val="18"/>
              </w:rPr>
              <w:t>Moderate</w:t>
            </w:r>
          </w:p>
        </w:tc>
        <w:tc>
          <w:tcPr>
            <w:tcW w:type="dxa" w:w="2160"/>
            <w:shd w:fill="F2F6FA" w:val="clear"/>
          </w:tcPr>
          <w:p>
            <w:r/>
            <w:r>
              <w:rPr>
                <w:rFonts w:ascii="Arial" w:hAnsi="Arial"/>
                <w:b/>
                <w:color w:val="558B2F"/>
                <w:sz w:val="18"/>
              </w:rPr>
              <w:t>Good</w:t>
            </w:r>
          </w:p>
        </w:tc>
        <w:tc>
          <w:tcPr>
            <w:tcW w:type="dxa" w:w="2160"/>
            <w:shd w:fill="F2F6FA" w:val="clear"/>
          </w:tcPr>
          <w:p>
            <w:r/>
            <w:r>
              <w:rPr>
                <w:rFonts w:ascii="Arial" w:hAnsi="Arial"/>
                <w:b/>
                <w:color w:val="2E7D32"/>
                <w:sz w:val="18"/>
              </w:rPr>
              <w:t>Best</w:t>
            </w:r>
          </w:p>
        </w:tc>
      </w:tr>
      <w:tr>
        <w:tc>
          <w:tcPr>
            <w:tcW w:type="dxa" w:w="2880"/>
          </w:tcPr>
          <w:p>
            <w:r/>
            <w:r>
              <w:rPr>
                <w:rFonts w:ascii="Arial" w:hAnsi="Arial"/>
                <w:sz w:val="18"/>
              </w:rPr>
              <w:t>Defense in depth</w:t>
            </w:r>
          </w:p>
        </w:tc>
        <w:tc>
          <w:tcPr>
            <w:tcW w:type="dxa" w:w="2160"/>
          </w:tcPr>
          <w:p>
            <w:r/>
            <w:r>
              <w:rPr>
                <w:rFonts w:ascii="Arial" w:hAnsi="Arial"/>
                <w:b/>
                <w:color w:val="E65100"/>
                <w:sz w:val="18"/>
              </w:rPr>
              <w:t>Moderate</w:t>
            </w:r>
          </w:p>
        </w:tc>
        <w:tc>
          <w:tcPr>
            <w:tcW w:type="dxa" w:w="2160"/>
          </w:tcPr>
          <w:p>
            <w:r/>
            <w:r>
              <w:rPr>
                <w:rFonts w:ascii="Arial" w:hAnsi="Arial"/>
                <w:b/>
                <w:color w:val="E65100"/>
                <w:sz w:val="18"/>
              </w:rPr>
              <w:t>Moderate</w:t>
            </w:r>
          </w:p>
        </w:tc>
        <w:tc>
          <w:tcPr>
            <w:tcW w:type="dxa" w:w="2160"/>
          </w:tcPr>
          <w:p>
            <w:r/>
            <w:r>
              <w:rPr>
                <w:rFonts w:ascii="Arial" w:hAnsi="Arial"/>
                <w:b/>
                <w:color w:val="2E7D32"/>
                <w:sz w:val="18"/>
              </w:rPr>
              <w:t>Best</w:t>
            </w:r>
          </w:p>
        </w:tc>
      </w:tr>
      <w:tr>
        <w:tc>
          <w:tcPr>
            <w:tcW w:type="dxa" w:w="2880"/>
            <w:shd w:fill="F2F6FA" w:val="clear"/>
          </w:tcPr>
          <w:p>
            <w:r/>
            <w:r>
              <w:rPr>
                <w:rFonts w:ascii="Arial" w:hAnsi="Arial"/>
                <w:sz w:val="18"/>
              </w:rPr>
              <w:t>Lateral movement risk</w:t>
            </w:r>
          </w:p>
        </w:tc>
        <w:tc>
          <w:tcPr>
            <w:tcW w:type="dxa" w:w="2160"/>
            <w:shd w:fill="F2F6FA" w:val="clear"/>
          </w:tcPr>
          <w:p>
            <w:r/>
            <w:r>
              <w:rPr>
                <w:rFonts w:ascii="Arial" w:hAnsi="Arial"/>
                <w:b/>
                <w:color w:val="E65100"/>
                <w:sz w:val="18"/>
              </w:rPr>
              <w:t>Moderate</w:t>
            </w:r>
          </w:p>
        </w:tc>
        <w:tc>
          <w:tcPr>
            <w:tcW w:type="dxa" w:w="2160"/>
            <w:shd w:fill="F2F6FA" w:val="clear"/>
          </w:tcPr>
          <w:p>
            <w:r/>
            <w:r>
              <w:rPr>
                <w:rFonts w:ascii="Arial" w:hAnsi="Arial"/>
                <w:b/>
                <w:color w:val="558B2F"/>
                <w:sz w:val="18"/>
              </w:rPr>
              <w:t>Good</w:t>
            </w:r>
          </w:p>
        </w:tc>
        <w:tc>
          <w:tcPr>
            <w:tcW w:type="dxa" w:w="2160"/>
            <w:shd w:fill="F2F6FA" w:val="clear"/>
          </w:tcPr>
          <w:p>
            <w:r/>
            <w:r>
              <w:rPr>
                <w:rFonts w:ascii="Arial" w:hAnsi="Arial"/>
                <w:b/>
                <w:color w:val="2E7D32"/>
                <w:sz w:val="18"/>
              </w:rPr>
              <w:t>Best</w:t>
            </w:r>
          </w:p>
        </w:tc>
      </w:tr>
      <w:tr>
        <w:tc>
          <w:tcPr>
            <w:tcW w:type="dxa" w:w="2880"/>
          </w:tcPr>
          <w:p>
            <w:r/>
            <w:r>
              <w:rPr>
                <w:rFonts w:ascii="Arial" w:hAnsi="Arial"/>
                <w:sz w:val="18"/>
              </w:rPr>
              <w:t>Regulatory compliance</w:t>
            </w:r>
          </w:p>
        </w:tc>
        <w:tc>
          <w:tcPr>
            <w:tcW w:type="dxa" w:w="2160"/>
          </w:tcPr>
          <w:p>
            <w:r/>
            <w:r>
              <w:rPr>
                <w:rFonts w:ascii="Arial" w:hAnsi="Arial"/>
                <w:b/>
                <w:color w:val="2E7D32"/>
                <w:sz w:val="18"/>
              </w:rPr>
              <w:t>Strong</w:t>
            </w:r>
          </w:p>
        </w:tc>
        <w:tc>
          <w:tcPr>
            <w:tcW w:type="dxa" w:w="2160"/>
          </w:tcPr>
          <w:p>
            <w:r/>
            <w:r>
              <w:rPr>
                <w:rFonts w:ascii="Arial" w:hAnsi="Arial"/>
                <w:b/>
                <w:color w:val="E65100"/>
                <w:sz w:val="18"/>
              </w:rPr>
              <w:t>Moderate</w:t>
            </w:r>
          </w:p>
        </w:tc>
        <w:tc>
          <w:tcPr>
            <w:tcW w:type="dxa" w:w="2160"/>
          </w:tcPr>
          <w:p>
            <w:r/>
            <w:r>
              <w:rPr>
                <w:rFonts w:ascii="Arial" w:hAnsi="Arial"/>
                <w:b/>
                <w:color w:val="2E7D32"/>
                <w:sz w:val="18"/>
              </w:rPr>
              <w:t>Strong</w:t>
            </w:r>
          </w:p>
        </w:tc>
      </w:tr>
      <w:tr>
        <w:tc>
          <w:tcPr>
            <w:tcW w:type="dxa" w:w="2880"/>
            <w:shd w:fill="F2F6FA" w:val="clear"/>
          </w:tcPr>
          <w:p>
            <w:r/>
            <w:r>
              <w:rPr>
                <w:rFonts w:ascii="Arial" w:hAnsi="Arial"/>
                <w:sz w:val="18"/>
              </w:rPr>
              <w:t>Zero trust alignment</w:t>
            </w:r>
          </w:p>
        </w:tc>
        <w:tc>
          <w:tcPr>
            <w:tcW w:type="dxa" w:w="2160"/>
            <w:shd w:fill="F2F6FA" w:val="clear"/>
          </w:tcPr>
          <w:p>
            <w:r/>
            <w:r>
              <w:rPr>
                <w:rFonts w:ascii="Arial" w:hAnsi="Arial"/>
                <w:b/>
                <w:color w:val="558B2F"/>
                <w:sz w:val="18"/>
              </w:rPr>
              <w:t>Good</w:t>
            </w:r>
          </w:p>
        </w:tc>
        <w:tc>
          <w:tcPr>
            <w:tcW w:type="dxa" w:w="2160"/>
            <w:shd w:fill="F2F6FA" w:val="clear"/>
          </w:tcPr>
          <w:p>
            <w:r/>
            <w:r>
              <w:rPr>
                <w:rFonts w:ascii="Arial" w:hAnsi="Arial"/>
                <w:b/>
                <w:color w:val="558B2F"/>
                <w:sz w:val="18"/>
              </w:rPr>
              <w:t>Good</w:t>
            </w:r>
          </w:p>
        </w:tc>
        <w:tc>
          <w:tcPr>
            <w:tcW w:type="dxa" w:w="2160"/>
            <w:shd w:fill="F2F6FA" w:val="clear"/>
          </w:tcPr>
          <w:p>
            <w:r/>
            <w:r>
              <w:rPr>
                <w:rFonts w:ascii="Arial" w:hAnsi="Arial"/>
                <w:b/>
                <w:color w:val="2E7D32"/>
                <w:sz w:val="18"/>
              </w:rPr>
              <w:t>Best</w:t>
            </w:r>
          </w:p>
        </w:tc>
      </w:tr>
    </w:tbl>
    <w:p/>
    <w:p>
      <w:pPr>
        <w:pStyle w:val="Heading2"/>
      </w:pPr>
      <w:r>
        <w:rPr>
          <w:rFonts w:ascii="Arial" w:hAnsi="Arial"/>
          <w:color w:val="1B3A5C"/>
        </w:rPr>
        <w:t>4.2 Key Security Considerations</w:t>
      </w:r>
    </w:p>
    <w:p>
      <w:r>
        <w:rPr>
          <w:rFonts w:ascii="Arial" w:hAnsi="Arial"/>
          <w:b/>
          <w:color w:val="1B3A5C"/>
          <w:sz w:val="22"/>
        </w:rPr>
        <w:t>Deprovisioning (the biggest gap in Option B)</w:t>
      </w:r>
    </w:p>
    <w:p>
      <w:pPr>
        <w:spacing w:after="120"/>
      </w:pPr>
      <w:r>
        <w:rPr>
          <w:rFonts w:ascii="Arial" w:hAnsi="Arial"/>
          <w:b w:val="0"/>
          <w:sz w:val="22"/>
        </w:rPr>
        <w:t>When an employee is terminated, IT disables their Entra account. With Options A or C, this immediately blocks their access to Busibox. With Option B, someone must manually remove the user from every Busibox app role. In practice, this often doesn’t happen promptly, leaving orphaned access that represents a real security risk—especially for apps handling financial data (expenses, invoices) or personnel information (PTO, certifications).</w:t>
      </w:r>
    </w:p>
    <w:p>
      <w:r>
        <w:rPr>
          <w:rFonts w:ascii="Arial" w:hAnsi="Arial"/>
          <w:b/>
          <w:color w:val="1B3A5C"/>
          <w:sz w:val="22"/>
        </w:rPr>
        <w:t>Blast radius of a compromised token</w:t>
      </w:r>
    </w:p>
    <w:p>
      <w:pPr>
        <w:spacing w:after="120"/>
      </w:pPr>
      <w:r>
        <w:rPr>
          <w:rFonts w:ascii="Arial" w:hAnsi="Arial"/>
          <w:b w:val="0"/>
          <w:sz w:val="22"/>
        </w:rPr>
        <w:t>Busibox uses Zero Trust token exchange (RFC 8693), meaning each API call gets a purpose-scoped token with a 15-minute TTL. If a token is leaked, the attacker can only access the specific service that token was scoped for, and only for 15 minutes. The hybrid model adds another layer: even if a Busibox token is compromised, the attacker would also need to pass Entra’s conditional access checks to get a new session.</w:t>
      </w:r>
    </w:p>
    <w:p>
      <w:r>
        <w:rPr>
          <w:rFonts w:ascii="Arial" w:hAnsi="Arial"/>
          <w:b/>
          <w:color w:val="1B3A5C"/>
          <w:sz w:val="22"/>
        </w:rPr>
        <w:t>Conditional access policies</w:t>
      </w:r>
    </w:p>
    <w:p>
      <w:pPr>
        <w:spacing w:after="120"/>
      </w:pPr>
      <w:r>
        <w:rPr>
          <w:rFonts w:ascii="Arial" w:hAnsi="Arial"/>
          <w:b w:val="0"/>
          <w:sz w:val="22"/>
        </w:rPr>
        <w:t>Entra’s conditional access can enforce policies like: require MFA from new devices, block access from untrusted locations, require compliant devices, or block access if the user’s risk level is elevated. These policies apply at the authentication layer, before the user ever reaches Busibox. Option B has no equivalent—it relies on TOTP/passkey at the Busibox level, which is functional but lacks device and location intelligence.</w:t>
      </w:r>
    </w:p>
    <w:p>
      <w:r>
        <w:rPr>
          <w:rFonts w:ascii="Arial" w:hAnsi="Arial"/>
          <w:b/>
          <w:color w:val="1B3A5C"/>
          <w:sz w:val="22"/>
        </w:rPr>
        <w:t>Defense in depth</w:t>
      </w:r>
    </w:p>
    <w:p>
      <w:pPr>
        <w:spacing w:after="120"/>
      </w:pPr>
      <w:r>
        <w:rPr>
          <w:rFonts w:ascii="Arial" w:hAnsi="Arial"/>
          <w:b w:val="0"/>
          <w:sz w:val="22"/>
        </w:rPr>
        <w:t>The hybrid model provides two independent security layers. An attacker would need to compromise both Entra (identity) and Busibox (authorization) to gain meaningful access. Even if one layer fails, the other still protects the data.</w:t>
      </w:r>
    </w:p>
    <w:p>
      <w:pPr>
        <w:pStyle w:val="Heading1"/>
      </w:pPr>
      <w:r>
        <w:rPr>
          <w:rFonts w:ascii="Arial" w:hAnsi="Arial"/>
          <w:color w:val="1B3A5C"/>
        </w:rPr>
        <w:t>5. Operational Impact on the App Builder</w:t>
      </w:r>
    </w:p>
    <w:p>
      <w:pPr>
        <w:pStyle w:val="Heading2"/>
      </w:pPr>
      <w:r>
        <w:rPr>
          <w:rFonts w:ascii="Arial" w:hAnsi="Arial"/>
          <w:color w:val="1B3A5C"/>
        </w:rPr>
        <w:t>5.1 The Self-Service Problem with Option A</w:t>
      </w:r>
    </w:p>
    <w:p>
      <w:pPr>
        <w:spacing w:after="120"/>
      </w:pPr>
      <w:r>
        <w:rPr>
          <w:rFonts w:ascii="Arial" w:hAnsi="Arial"/>
          <w:b w:val="0"/>
          <w:sz w:val="22"/>
        </w:rPr>
        <w:t>The App Builder is designed for non-technical users to describe an app and have it deployed in minutes. The setup route programmatically creates roles like app:expense-tracker:manager via the AuthZ API. This is instant and requires no IT involvement.</w:t>
      </w:r>
    </w:p>
    <w:p>
      <w:pPr>
        <w:spacing w:after="120"/>
      </w:pPr>
      <w:r>
        <w:rPr>
          <w:rFonts w:ascii="Arial" w:hAnsi="Arial"/>
          <w:b w:val="0"/>
          <w:sz w:val="22"/>
        </w:rPr>
        <w:t>With Option A (Entra only), every generated app would require an IT administrator to manually create Entra security groups before the app can function. For a company generating 5–10 apps per month, this creates a bottleneck that defeats the purpose of the App Builder.</w:t>
      </w:r>
    </w:p>
    <w:p>
      <w:pPr>
        <w:pStyle w:val="Heading2"/>
      </w:pPr>
      <w:r>
        <w:rPr>
          <w:rFonts w:ascii="Arial" w:hAnsi="Arial"/>
          <w:color w:val="1B3A5C"/>
        </w:rPr>
        <w:t>5.2 The Deprovisioning Problem with Option B</w:t>
      </w:r>
    </w:p>
    <w:p>
      <w:pPr>
        <w:spacing w:after="120"/>
      </w:pPr>
      <w:r>
        <w:rPr>
          <w:rFonts w:ascii="Arial" w:hAnsi="Arial"/>
          <w:b w:val="0"/>
          <w:sz w:val="22"/>
        </w:rPr>
        <w:t>With Option B, role management is self-service, but IT has no centralized view of who has access to what. When someone leaves the company, there is no automated mechanism to sweep their permissions across all Busibox apps.</w:t>
      </w:r>
    </w:p>
    <w:p>
      <w:pPr>
        <w:spacing w:after="120"/>
      </w:pPr>
      <w:r>
        <w:rPr>
          <w:rFonts w:ascii="Arial" w:hAnsi="Arial"/>
          <w:b w:val="0"/>
          <w:sz w:val="22"/>
        </w:rPr>
        <w:t>For a marine contracting firm where employees handle financial data and compliance data (certifications, safety reports), this gap represents a meaningful risk.</w:t>
      </w:r>
    </w:p>
    <w:p>
      <w:pPr>
        <w:pStyle w:val="Heading2"/>
      </w:pPr>
      <w:r>
        <w:rPr>
          <w:rFonts w:ascii="Arial" w:hAnsi="Arial"/>
          <w:color w:val="1B3A5C"/>
        </w:rPr>
        <w:t>5.3 How the Hybrid Solves Both</w:t>
      </w:r>
    </w:p>
    <w:p>
      <w:pPr>
        <w:spacing w:after="120"/>
      </w:pPr>
      <w:r>
        <w:rPr>
          <w:rFonts w:ascii="Arial" w:hAnsi="Arial"/>
          <w:b w:val="0"/>
          <w:sz w:val="22"/>
        </w:rPr>
        <w:t>The hybrid model keeps self-service role creation intact while adding an automated safety net:</w:t>
      </w:r>
    </w:p>
    <w:p>
      <w:pPr>
        <w:pStyle w:val="ListBullet"/>
      </w:pPr>
      <w:r>
        <w:rPr>
          <w:rFonts w:ascii="Arial" w:hAnsi="Arial"/>
          <w:b/>
          <w:sz w:val="22"/>
        </w:rPr>
        <w:t xml:space="preserve">Entra is the gatekeeper: </w:t>
      </w:r>
      <w:r>
        <w:rPr>
          <w:rFonts w:ascii="Arial" w:hAnsi="Arial"/>
          <w:sz w:val="22"/>
        </w:rPr>
        <w:t>A “Busibox-Users” Entra group controls who can log into Busibox at all. IT manages this group.</w:t>
      </w:r>
    </w:p>
    <w:p>
      <w:pPr>
        <w:pStyle w:val="ListBullet"/>
      </w:pPr>
      <w:r>
        <w:rPr>
          <w:rFonts w:ascii="Arial" w:hAnsi="Arial"/>
          <w:b/>
          <w:sz w:val="22"/>
        </w:rPr>
        <w:t xml:space="preserve">Busibox handles app roles: </w:t>
      </w:r>
      <w:r>
        <w:rPr>
          <w:rFonts w:ascii="Arial" w:hAnsi="Arial"/>
          <w:sz w:val="22"/>
        </w:rPr>
        <w:t>App creators add users to per-app roles within Busibox. No IT ticket needed.</w:t>
      </w:r>
    </w:p>
    <w:p>
      <w:pPr>
        <w:pStyle w:val="ListBullet"/>
      </w:pPr>
      <w:r>
        <w:rPr>
          <w:rFonts w:ascii="Arial" w:hAnsi="Arial"/>
          <w:b/>
          <w:sz w:val="22"/>
        </w:rPr>
        <w:t xml:space="preserve">Sync job runs every 15 min: </w:t>
      </w:r>
      <w:r>
        <w:rPr>
          <w:rFonts w:ascii="Arial" w:hAnsi="Arial"/>
          <w:sz w:val="22"/>
        </w:rPr>
        <w:t>A background task checks whether each active Busibox user still exists and is enabled in Entra. If not, their sessions are revoked.</w:t>
      </w:r>
    </w:p>
    <w:p>
      <w:pPr>
        <w:pStyle w:val="ListBullet"/>
      </w:pPr>
      <w:r>
        <w:rPr>
          <w:rFonts w:ascii="Arial" w:hAnsi="Arial"/>
          <w:b/>
          <w:sz w:val="22"/>
        </w:rPr>
        <w:t xml:space="preserve">Short JWT TTL as backstop: </w:t>
      </w:r>
      <w:r>
        <w:rPr>
          <w:rFonts w:ascii="Arial" w:hAnsi="Arial"/>
          <w:sz w:val="22"/>
        </w:rPr>
        <w:t>With 15-minute token expiry, a disabled Entra user loses access within 15 minutes even without the sync job.</w:t>
      </w:r>
    </w:p>
    <w:p>
      <w:r>
        <w:br w:type="page"/>
      </w:r>
    </w:p>
    <w:p>
      <w:pPr>
        <w:pStyle w:val="Heading1"/>
      </w:pPr>
      <w:r>
        <w:rPr>
          <w:rFonts w:ascii="Arial" w:hAnsi="Arial"/>
          <w:color w:val="1B3A5C"/>
        </w:rPr>
        <w:t>6. Implementation Cost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B3A5C" w:val="clear"/>
          </w:tcPr>
          <w:p>
            <w:r/>
            <w:r>
              <w:rPr>
                <w:rFonts w:ascii="Arial" w:hAnsi="Arial"/>
                <w:b/>
                <w:color w:val="FFFFFF"/>
                <w:sz w:val="18"/>
              </w:rPr>
              <w:t>Work Item</w:t>
            </w:r>
          </w:p>
        </w:tc>
        <w:tc>
          <w:tcPr>
            <w:tcW w:type="dxa" w:w="2304"/>
            <w:shd w:fill="1B3A5C" w:val="clear"/>
          </w:tcPr>
          <w:p>
            <w:r/>
            <w:r>
              <w:rPr>
                <w:rFonts w:ascii="Arial" w:hAnsi="Arial"/>
                <w:b/>
                <w:color w:val="FFFFFF"/>
                <w:sz w:val="18"/>
              </w:rPr>
              <w:t>A: Entra Only</w:t>
            </w:r>
          </w:p>
        </w:tc>
        <w:tc>
          <w:tcPr>
            <w:tcW w:type="dxa" w:w="2304"/>
            <w:shd w:fill="1B3A5C" w:val="clear"/>
          </w:tcPr>
          <w:p>
            <w:r/>
            <w:r>
              <w:rPr>
                <w:rFonts w:ascii="Arial" w:hAnsi="Arial"/>
                <w:b/>
                <w:color w:val="FFFFFF"/>
                <w:sz w:val="18"/>
              </w:rPr>
              <w:t>B: Busibox Only</w:t>
            </w:r>
          </w:p>
        </w:tc>
        <w:tc>
          <w:tcPr>
            <w:tcW w:type="dxa" w:w="2304"/>
            <w:shd w:fill="1B3A5C" w:val="clear"/>
          </w:tcPr>
          <w:p>
            <w:r/>
            <w:r>
              <w:rPr>
                <w:rFonts w:ascii="Arial" w:hAnsi="Arial"/>
                <w:b/>
                <w:color w:val="FFFFFF"/>
                <w:sz w:val="18"/>
              </w:rPr>
              <w:t>C: Hybrid</w:t>
            </w:r>
          </w:p>
        </w:tc>
      </w:tr>
      <w:tr>
        <w:tc>
          <w:tcPr>
            <w:tcW w:type="dxa" w:w="2304"/>
          </w:tcPr>
          <w:p>
            <w:r/>
            <w:r>
              <w:rPr>
                <w:rFonts w:ascii="Arial" w:hAnsi="Arial"/>
                <w:sz w:val="18"/>
              </w:rPr>
              <w:t>Initial setup</w:t>
            </w:r>
          </w:p>
        </w:tc>
        <w:tc>
          <w:tcPr>
            <w:tcW w:type="dxa" w:w="2304"/>
          </w:tcPr>
          <w:p>
            <w:r/>
            <w:r>
              <w:rPr>
                <w:rFonts w:ascii="Arial" w:hAnsi="Arial"/>
                <w:sz w:val="18"/>
              </w:rPr>
              <w:t>2–3 days</w:t>
            </w:r>
          </w:p>
        </w:tc>
        <w:tc>
          <w:tcPr>
            <w:tcW w:type="dxa" w:w="2304"/>
          </w:tcPr>
          <w:p>
            <w:r/>
            <w:r>
              <w:rPr>
                <w:rFonts w:ascii="Arial" w:hAnsi="Arial"/>
                <w:sz w:val="18"/>
              </w:rPr>
              <w:t>0 days (already built)</w:t>
            </w:r>
          </w:p>
        </w:tc>
        <w:tc>
          <w:tcPr>
            <w:tcW w:type="dxa" w:w="2304"/>
          </w:tcPr>
          <w:p>
            <w:r/>
            <w:r>
              <w:rPr>
                <w:rFonts w:ascii="Arial" w:hAnsi="Arial"/>
                <w:sz w:val="18"/>
              </w:rPr>
              <w:t>2–3 days</w:t>
            </w:r>
          </w:p>
        </w:tc>
      </w:tr>
      <w:tr>
        <w:tc>
          <w:tcPr>
            <w:tcW w:type="dxa" w:w="2304"/>
            <w:shd w:fill="F2F6FA" w:val="clear"/>
          </w:tcPr>
          <w:p>
            <w:r/>
            <w:r>
              <w:rPr>
                <w:rFonts w:ascii="Arial" w:hAnsi="Arial"/>
                <w:sz w:val="18"/>
              </w:rPr>
              <w:t>Per-app overhead</w:t>
            </w:r>
          </w:p>
        </w:tc>
        <w:tc>
          <w:tcPr>
            <w:tcW w:type="dxa" w:w="2304"/>
            <w:shd w:fill="F2F6FA" w:val="clear"/>
          </w:tcPr>
          <w:p>
            <w:r/>
            <w:r>
              <w:rPr>
                <w:rFonts w:ascii="Arial" w:hAnsi="Arial"/>
                <w:sz w:val="18"/>
              </w:rPr>
              <w:t>30 min IT work per app</w:t>
            </w:r>
          </w:p>
        </w:tc>
        <w:tc>
          <w:tcPr>
            <w:tcW w:type="dxa" w:w="2304"/>
            <w:shd w:fill="F2F6FA" w:val="clear"/>
          </w:tcPr>
          <w:p>
            <w:r/>
            <w:r>
              <w:rPr>
                <w:rFonts w:ascii="Arial" w:hAnsi="Arial"/>
                <w:sz w:val="18"/>
              </w:rPr>
              <w:t>Zero</w:t>
            </w:r>
          </w:p>
        </w:tc>
        <w:tc>
          <w:tcPr>
            <w:tcW w:type="dxa" w:w="2304"/>
            <w:shd w:fill="F2F6FA" w:val="clear"/>
          </w:tcPr>
          <w:p>
            <w:r/>
            <w:r>
              <w:rPr>
                <w:rFonts w:ascii="Arial" w:hAnsi="Arial"/>
                <w:sz w:val="18"/>
              </w:rPr>
              <w:t>Zero</w:t>
            </w:r>
          </w:p>
        </w:tc>
      </w:tr>
      <w:tr>
        <w:tc>
          <w:tcPr>
            <w:tcW w:type="dxa" w:w="2304"/>
          </w:tcPr>
          <w:p>
            <w:r/>
            <w:r>
              <w:rPr>
                <w:rFonts w:ascii="Arial" w:hAnsi="Arial"/>
                <w:sz w:val="18"/>
              </w:rPr>
              <w:t>Ongoing maintenance</w:t>
            </w:r>
          </w:p>
        </w:tc>
        <w:tc>
          <w:tcPr>
            <w:tcW w:type="dxa" w:w="2304"/>
          </w:tcPr>
          <w:p>
            <w:r/>
            <w:r>
              <w:rPr>
                <w:rFonts w:ascii="Arial" w:hAnsi="Arial"/>
                <w:sz w:val="18"/>
              </w:rPr>
              <w:t>Group lifecycle mgmt</w:t>
            </w:r>
          </w:p>
        </w:tc>
        <w:tc>
          <w:tcPr>
            <w:tcW w:type="dxa" w:w="2304"/>
          </w:tcPr>
          <w:p>
            <w:r/>
            <w:r>
              <w:rPr>
                <w:rFonts w:ascii="Arial" w:hAnsi="Arial"/>
                <w:sz w:val="18"/>
              </w:rPr>
              <w:t>Manual user cleanup</w:t>
            </w:r>
          </w:p>
        </w:tc>
        <w:tc>
          <w:tcPr>
            <w:tcW w:type="dxa" w:w="2304"/>
          </w:tcPr>
          <w:p>
            <w:r/>
            <w:r>
              <w:rPr>
                <w:rFonts w:ascii="Arial" w:hAnsi="Arial"/>
                <w:sz w:val="18"/>
              </w:rPr>
              <w:t>Monitor sync job</w:t>
            </w:r>
          </w:p>
        </w:tc>
      </w:tr>
      <w:tr>
        <w:tc>
          <w:tcPr>
            <w:tcW w:type="dxa" w:w="2304"/>
            <w:shd w:fill="F2F6FA" w:val="clear"/>
          </w:tcPr>
          <w:p>
            <w:r/>
            <w:r>
              <w:rPr>
                <w:rFonts w:ascii="Arial" w:hAnsi="Arial"/>
                <w:sz w:val="18"/>
              </w:rPr>
              <w:t>App Builder changes</w:t>
            </w:r>
          </w:p>
        </w:tc>
        <w:tc>
          <w:tcPr>
            <w:tcW w:type="dxa" w:w="2304"/>
            <w:shd w:fill="F2F6FA" w:val="clear"/>
          </w:tcPr>
          <w:p>
            <w:r/>
            <w:r>
              <w:rPr>
                <w:rFonts w:ascii="Arial" w:hAnsi="Arial"/>
                <w:sz w:val="18"/>
              </w:rPr>
              <w:t>Major: rewrite role flow</w:t>
            </w:r>
          </w:p>
        </w:tc>
        <w:tc>
          <w:tcPr>
            <w:tcW w:type="dxa" w:w="2304"/>
            <w:shd w:fill="F2F6FA" w:val="clear"/>
          </w:tcPr>
          <w:p>
            <w:r/>
            <w:r>
              <w:rPr>
                <w:rFonts w:ascii="Arial" w:hAnsi="Arial"/>
                <w:sz w:val="18"/>
              </w:rPr>
              <w:t>None</w:t>
            </w:r>
          </w:p>
        </w:tc>
        <w:tc>
          <w:tcPr>
            <w:tcW w:type="dxa" w:w="2304"/>
            <w:shd w:fill="F2F6FA" w:val="clear"/>
          </w:tcPr>
          <w:p>
            <w:r/>
            <w:r>
              <w:rPr>
                <w:rFonts w:ascii="Arial" w:hAnsi="Arial"/>
                <w:sz w:val="18"/>
              </w:rPr>
              <w:t>Minor: add OIDC + sync</w:t>
            </w:r>
          </w:p>
        </w:tc>
      </w:tr>
      <w:tr>
        <w:tc>
          <w:tcPr>
            <w:tcW w:type="dxa" w:w="2304"/>
          </w:tcPr>
          <w:p>
            <w:r/>
            <w:r>
              <w:rPr>
                <w:rFonts w:ascii="Arial" w:hAnsi="Arial"/>
                <w:sz w:val="18"/>
              </w:rPr>
              <w:t>Total dev effort</w:t>
            </w:r>
          </w:p>
        </w:tc>
        <w:tc>
          <w:tcPr>
            <w:tcW w:type="dxa" w:w="2304"/>
          </w:tcPr>
          <w:p>
            <w:r/>
            <w:r>
              <w:rPr>
                <w:rFonts w:ascii="Arial" w:hAnsi="Arial"/>
                <w:sz w:val="18"/>
              </w:rPr>
              <w:t>3–4 weeks</w:t>
            </w:r>
          </w:p>
        </w:tc>
        <w:tc>
          <w:tcPr>
            <w:tcW w:type="dxa" w:w="2304"/>
          </w:tcPr>
          <w:p>
            <w:r/>
            <w:r>
              <w:rPr>
                <w:rFonts w:ascii="Arial" w:hAnsi="Arial"/>
                <w:sz w:val="18"/>
              </w:rPr>
              <w:t>0 (current state)</w:t>
            </w:r>
          </w:p>
        </w:tc>
        <w:tc>
          <w:tcPr>
            <w:tcW w:type="dxa" w:w="2304"/>
          </w:tcPr>
          <w:p>
            <w:r/>
            <w:r>
              <w:rPr>
                <w:rFonts w:ascii="Arial" w:hAnsi="Arial"/>
                <w:sz w:val="18"/>
              </w:rPr>
              <w:t>1–2 weeks</w:t>
            </w:r>
          </w:p>
        </w:tc>
      </w:tr>
    </w:tbl>
    <w:p/>
    <w:p>
      <w:pPr>
        <w:pStyle w:val="Heading1"/>
      </w:pPr>
      <w:r>
        <w:rPr>
          <w:rFonts w:ascii="Arial" w:hAnsi="Arial"/>
          <w:color w:val="1B3A5C"/>
        </w:rPr>
        <w:t>7. Risk Assessment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fill="1B3A5C" w:val="clear"/>
          </w:tcPr>
          <w:p>
            <w:r/>
            <w:r>
              <w:rPr>
                <w:rFonts w:ascii="Arial" w:hAnsi="Arial"/>
                <w:b/>
                <w:color w:val="FFFFFF"/>
                <w:sz w:val="18"/>
              </w:rPr>
              <w:t>Risk</w:t>
            </w:r>
          </w:p>
        </w:tc>
        <w:tc>
          <w:tcPr>
            <w:tcW w:type="dxa" w:w="1440"/>
            <w:shd w:fill="1B3A5C" w:val="clear"/>
          </w:tcPr>
          <w:p>
            <w:r/>
            <w:r>
              <w:rPr>
                <w:rFonts w:ascii="Arial" w:hAnsi="Arial"/>
                <w:b/>
                <w:color w:val="FFFFFF"/>
                <w:sz w:val="18"/>
              </w:rPr>
              <w:t>Likelihood</w:t>
            </w:r>
          </w:p>
        </w:tc>
        <w:tc>
          <w:tcPr>
            <w:tcW w:type="dxa" w:w="1584"/>
            <w:shd w:fill="1B3A5C" w:val="clear"/>
          </w:tcPr>
          <w:p>
            <w:r/>
            <w:r>
              <w:rPr>
                <w:rFonts w:ascii="Arial" w:hAnsi="Arial"/>
                <w:b/>
                <w:color w:val="FFFFFF"/>
                <w:sz w:val="18"/>
              </w:rPr>
              <w:t>A: Entra</w:t>
            </w:r>
          </w:p>
        </w:tc>
        <w:tc>
          <w:tcPr>
            <w:tcW w:type="dxa" w:w="1584"/>
            <w:shd w:fill="1B3A5C" w:val="clear"/>
          </w:tcPr>
          <w:p>
            <w:r/>
            <w:r>
              <w:rPr>
                <w:rFonts w:ascii="Arial" w:hAnsi="Arial"/>
                <w:b/>
                <w:color w:val="FFFFFF"/>
                <w:sz w:val="18"/>
              </w:rPr>
              <w:t>B: Busibox</w:t>
            </w:r>
          </w:p>
        </w:tc>
        <w:tc>
          <w:tcPr>
            <w:tcW w:type="dxa" w:w="1584"/>
            <w:shd w:fill="1B3A5C" w:val="clear"/>
          </w:tcPr>
          <w:p>
            <w:r/>
            <w:r>
              <w:rPr>
                <w:rFonts w:ascii="Arial" w:hAnsi="Arial"/>
                <w:b/>
                <w:color w:val="FFFFFF"/>
                <w:sz w:val="18"/>
              </w:rPr>
              <w:t>C: Hybrid</w:t>
            </w:r>
          </w:p>
        </w:tc>
      </w:tr>
      <w:tr>
        <w:tc>
          <w:tcPr>
            <w:tcW w:type="dxa" w:w="2880"/>
          </w:tcPr>
          <w:p>
            <w:r/>
            <w:r>
              <w:rPr>
                <w:rFonts w:ascii="Arial" w:hAnsi="Arial"/>
                <w:sz w:val="18"/>
              </w:rPr>
              <w:t>Former employee retains access</w:t>
            </w:r>
          </w:p>
        </w:tc>
        <w:tc>
          <w:tcPr>
            <w:tcW w:type="dxa" w:w="1440"/>
          </w:tcPr>
          <w:p>
            <w:r/>
            <w:r>
              <w:rPr>
                <w:rFonts w:ascii="Arial" w:hAnsi="Arial"/>
                <w:sz w:val="18"/>
              </w:rPr>
              <w:t>Medium</w:t>
            </w:r>
          </w:p>
        </w:tc>
        <w:tc>
          <w:tcPr>
            <w:tcW w:type="dxa" w:w="1584"/>
          </w:tcPr>
          <w:p>
            <w:r/>
            <w:r>
              <w:rPr>
                <w:rFonts w:ascii="Arial" w:hAnsi="Arial"/>
                <w:b/>
                <w:color w:val="2E7D32"/>
                <w:sz w:val="18"/>
              </w:rPr>
              <w:t>Mitigated</w:t>
            </w:r>
          </w:p>
        </w:tc>
        <w:tc>
          <w:tcPr>
            <w:tcW w:type="dxa" w:w="1584"/>
          </w:tcPr>
          <w:p>
            <w:r/>
            <w:r>
              <w:rPr>
                <w:rFonts w:ascii="Arial" w:hAnsi="Arial"/>
                <w:b/>
                <w:color w:val="C62828"/>
                <w:sz w:val="18"/>
              </w:rPr>
              <w:t>Exposed</w:t>
            </w:r>
          </w:p>
        </w:tc>
        <w:tc>
          <w:tcPr>
            <w:tcW w:type="dxa" w:w="1584"/>
          </w:tcPr>
          <w:p>
            <w:r/>
            <w:r>
              <w:rPr>
                <w:rFonts w:ascii="Arial" w:hAnsi="Arial"/>
                <w:b/>
                <w:color w:val="2E7D32"/>
                <w:sz w:val="18"/>
              </w:rPr>
              <w:t>Mitigated</w:t>
            </w:r>
          </w:p>
        </w:tc>
      </w:tr>
      <w:tr>
        <w:tc>
          <w:tcPr>
            <w:tcW w:type="dxa" w:w="2880"/>
            <w:shd w:fill="F2F6FA" w:val="clear"/>
          </w:tcPr>
          <w:p>
            <w:r/>
            <w:r>
              <w:rPr>
                <w:rFonts w:ascii="Arial" w:hAnsi="Arial"/>
                <w:sz w:val="18"/>
              </w:rPr>
              <w:t>IT bottleneck delays deployment</w:t>
            </w:r>
          </w:p>
        </w:tc>
        <w:tc>
          <w:tcPr>
            <w:tcW w:type="dxa" w:w="1440"/>
            <w:shd w:fill="F2F6FA" w:val="clear"/>
          </w:tcPr>
          <w:p>
            <w:r/>
            <w:r>
              <w:rPr>
                <w:rFonts w:ascii="Arial" w:hAnsi="Arial"/>
                <w:sz w:val="18"/>
              </w:rPr>
              <w:t>High</w:t>
            </w:r>
          </w:p>
        </w:tc>
        <w:tc>
          <w:tcPr>
            <w:tcW w:type="dxa" w:w="1584"/>
            <w:shd w:fill="F2F6FA" w:val="clear"/>
          </w:tcPr>
          <w:p>
            <w:r/>
            <w:r>
              <w:rPr>
                <w:rFonts w:ascii="Arial" w:hAnsi="Arial"/>
                <w:b/>
                <w:color w:val="C62828"/>
                <w:sz w:val="18"/>
              </w:rPr>
              <w:t>Exposed</w:t>
            </w:r>
          </w:p>
        </w:tc>
        <w:tc>
          <w:tcPr>
            <w:tcW w:type="dxa" w:w="1584"/>
            <w:shd w:fill="F2F6FA" w:val="clear"/>
          </w:tcPr>
          <w:p>
            <w:r/>
            <w:r>
              <w:rPr>
                <w:rFonts w:ascii="Arial" w:hAnsi="Arial"/>
                <w:b/>
                <w:color w:val="2E7D32"/>
                <w:sz w:val="18"/>
              </w:rPr>
              <w:t>Mitigated</w:t>
            </w:r>
          </w:p>
        </w:tc>
        <w:tc>
          <w:tcPr>
            <w:tcW w:type="dxa" w:w="1584"/>
            <w:shd w:fill="F2F6FA" w:val="clear"/>
          </w:tcPr>
          <w:p>
            <w:r/>
            <w:r>
              <w:rPr>
                <w:rFonts w:ascii="Arial" w:hAnsi="Arial"/>
                <w:b/>
                <w:color w:val="2E7D32"/>
                <w:sz w:val="18"/>
              </w:rPr>
              <w:t>Mitigated</w:t>
            </w:r>
          </w:p>
        </w:tc>
      </w:tr>
      <w:tr>
        <w:tc>
          <w:tcPr>
            <w:tcW w:type="dxa" w:w="2880"/>
          </w:tcPr>
          <w:p>
            <w:r/>
            <w:r>
              <w:rPr>
                <w:rFonts w:ascii="Arial" w:hAnsi="Arial"/>
                <w:sz w:val="18"/>
              </w:rPr>
              <w:t>Compromised device accesses data</w:t>
            </w:r>
          </w:p>
        </w:tc>
        <w:tc>
          <w:tcPr>
            <w:tcW w:type="dxa" w:w="1440"/>
          </w:tcPr>
          <w:p>
            <w:r/>
            <w:r>
              <w:rPr>
                <w:rFonts w:ascii="Arial" w:hAnsi="Arial"/>
                <w:sz w:val="18"/>
              </w:rPr>
              <w:t>Low</w:t>
            </w:r>
          </w:p>
        </w:tc>
        <w:tc>
          <w:tcPr>
            <w:tcW w:type="dxa" w:w="1584"/>
          </w:tcPr>
          <w:p>
            <w:r/>
            <w:r>
              <w:rPr>
                <w:rFonts w:ascii="Arial" w:hAnsi="Arial"/>
                <w:b/>
                <w:color w:val="2E7D32"/>
                <w:sz w:val="18"/>
              </w:rPr>
              <w:t>Mitigated</w:t>
            </w:r>
          </w:p>
        </w:tc>
        <w:tc>
          <w:tcPr>
            <w:tcW w:type="dxa" w:w="1584"/>
          </w:tcPr>
          <w:p>
            <w:r/>
            <w:r>
              <w:rPr>
                <w:rFonts w:ascii="Arial" w:hAnsi="Arial"/>
                <w:b/>
                <w:color w:val="C62828"/>
                <w:sz w:val="18"/>
              </w:rPr>
              <w:t>Exposed</w:t>
            </w:r>
          </w:p>
        </w:tc>
        <w:tc>
          <w:tcPr>
            <w:tcW w:type="dxa" w:w="1584"/>
          </w:tcPr>
          <w:p>
            <w:r/>
            <w:r>
              <w:rPr>
                <w:rFonts w:ascii="Arial" w:hAnsi="Arial"/>
                <w:b/>
                <w:color w:val="2E7D32"/>
                <w:sz w:val="18"/>
              </w:rPr>
              <w:t>Mitigated</w:t>
            </w:r>
          </w:p>
        </w:tc>
      </w:tr>
      <w:tr>
        <w:tc>
          <w:tcPr>
            <w:tcW w:type="dxa" w:w="2880"/>
            <w:shd w:fill="F2F6FA" w:val="clear"/>
          </w:tcPr>
          <w:p>
            <w:r/>
            <w:r>
              <w:rPr>
                <w:rFonts w:ascii="Arial" w:hAnsi="Arial"/>
                <w:sz w:val="18"/>
              </w:rPr>
              <w:t>Role sprawl / orphaned permissions</w:t>
            </w:r>
          </w:p>
        </w:tc>
        <w:tc>
          <w:tcPr>
            <w:tcW w:type="dxa" w:w="1440"/>
            <w:shd w:fill="F2F6FA" w:val="clear"/>
          </w:tcPr>
          <w:p>
            <w:r/>
            <w:r>
              <w:rPr>
                <w:rFonts w:ascii="Arial" w:hAnsi="Arial"/>
                <w:sz w:val="18"/>
              </w:rPr>
              <w:t>Medium</w:t>
            </w:r>
          </w:p>
        </w:tc>
        <w:tc>
          <w:tcPr>
            <w:tcW w:type="dxa" w:w="1584"/>
            <w:shd w:fill="F2F6FA" w:val="clear"/>
          </w:tcPr>
          <w:p>
            <w:r/>
            <w:r>
              <w:rPr>
                <w:rFonts w:ascii="Arial" w:hAnsi="Arial"/>
                <w:b/>
                <w:color w:val="2E7D32"/>
                <w:sz w:val="18"/>
              </w:rPr>
              <w:t>Mitigated</w:t>
            </w:r>
          </w:p>
        </w:tc>
        <w:tc>
          <w:tcPr>
            <w:tcW w:type="dxa" w:w="1584"/>
            <w:shd w:fill="F2F6FA" w:val="clear"/>
          </w:tcPr>
          <w:p>
            <w:r/>
            <w:r>
              <w:rPr>
                <w:rFonts w:ascii="Arial" w:hAnsi="Arial"/>
                <w:b/>
                <w:color w:val="C62828"/>
                <w:sz w:val="18"/>
              </w:rPr>
              <w:t>Exposed</w:t>
            </w:r>
          </w:p>
        </w:tc>
        <w:tc>
          <w:tcPr>
            <w:tcW w:type="dxa" w:w="1584"/>
            <w:shd w:fill="F2F6FA" w:val="clear"/>
          </w:tcPr>
          <w:p>
            <w:r/>
            <w:r>
              <w:rPr>
                <w:rFonts w:ascii="Arial" w:hAnsi="Arial"/>
                <w:b/>
                <w:color w:val="E65100"/>
                <w:sz w:val="18"/>
              </w:rPr>
              <w:t>Partially mitigated</w:t>
            </w:r>
          </w:p>
        </w:tc>
      </w:tr>
      <w:tr>
        <w:tc>
          <w:tcPr>
            <w:tcW w:type="dxa" w:w="2880"/>
          </w:tcPr>
          <w:p>
            <w:r/>
            <w:r>
              <w:rPr>
                <w:rFonts w:ascii="Arial" w:hAnsi="Arial"/>
                <w:sz w:val="18"/>
              </w:rPr>
              <w:t>Azure outage blocks all access</w:t>
            </w:r>
          </w:p>
        </w:tc>
        <w:tc>
          <w:tcPr>
            <w:tcW w:type="dxa" w:w="1440"/>
          </w:tcPr>
          <w:p>
            <w:r/>
            <w:r>
              <w:rPr>
                <w:rFonts w:ascii="Arial" w:hAnsi="Arial"/>
                <w:sz w:val="18"/>
              </w:rPr>
              <w:t>Low</w:t>
            </w:r>
          </w:p>
        </w:tc>
        <w:tc>
          <w:tcPr>
            <w:tcW w:type="dxa" w:w="1584"/>
          </w:tcPr>
          <w:p>
            <w:r/>
            <w:r>
              <w:rPr>
                <w:rFonts w:ascii="Arial" w:hAnsi="Arial"/>
                <w:b/>
                <w:color w:val="C62828"/>
                <w:sz w:val="18"/>
              </w:rPr>
              <w:t>Exposed</w:t>
            </w:r>
          </w:p>
        </w:tc>
        <w:tc>
          <w:tcPr>
            <w:tcW w:type="dxa" w:w="1584"/>
          </w:tcPr>
          <w:p>
            <w:r/>
            <w:r>
              <w:rPr>
                <w:rFonts w:ascii="Arial" w:hAnsi="Arial"/>
                <w:b/>
                <w:color w:val="2E7D32"/>
                <w:sz w:val="18"/>
              </w:rPr>
              <w:t>Mitigated</w:t>
            </w:r>
          </w:p>
        </w:tc>
        <w:tc>
          <w:tcPr>
            <w:tcW w:type="dxa" w:w="1584"/>
          </w:tcPr>
          <w:p>
            <w:r/>
            <w:r>
              <w:rPr>
                <w:rFonts w:ascii="Arial" w:hAnsi="Arial"/>
                <w:b/>
                <w:color w:val="E65100"/>
                <w:sz w:val="18"/>
              </w:rPr>
              <w:t>Partially exposed</w:t>
            </w:r>
          </w:p>
        </w:tc>
      </w:tr>
      <w:tr>
        <w:tc>
          <w:tcPr>
            <w:tcW w:type="dxa" w:w="2880"/>
            <w:shd w:fill="F2F6FA" w:val="clear"/>
          </w:tcPr>
          <w:p>
            <w:r/>
            <w:r>
              <w:rPr>
                <w:rFonts w:ascii="Arial" w:hAnsi="Arial"/>
                <w:sz w:val="18"/>
              </w:rPr>
              <w:t>User creates app with wrong visibility</w:t>
            </w:r>
          </w:p>
        </w:tc>
        <w:tc>
          <w:tcPr>
            <w:tcW w:type="dxa" w:w="1440"/>
            <w:shd w:fill="F2F6FA" w:val="clear"/>
          </w:tcPr>
          <w:p>
            <w:r/>
            <w:r>
              <w:rPr>
                <w:rFonts w:ascii="Arial" w:hAnsi="Arial"/>
                <w:sz w:val="18"/>
              </w:rPr>
              <w:t>Medium</w:t>
            </w:r>
          </w:p>
        </w:tc>
        <w:tc>
          <w:tcPr>
            <w:tcW w:type="dxa" w:w="1584"/>
            <w:shd w:fill="F2F6FA" w:val="clear"/>
          </w:tcPr>
          <w:p>
            <w:r/>
            <w:r>
              <w:rPr>
                <w:rFonts w:ascii="Arial" w:hAnsi="Arial"/>
                <w:b/>
                <w:color w:val="C62828"/>
                <w:sz w:val="18"/>
              </w:rPr>
              <w:t>Exposed</w:t>
            </w:r>
          </w:p>
        </w:tc>
        <w:tc>
          <w:tcPr>
            <w:tcW w:type="dxa" w:w="1584"/>
            <w:shd w:fill="F2F6FA" w:val="clear"/>
          </w:tcPr>
          <w:p>
            <w:r/>
            <w:r>
              <w:rPr>
                <w:rFonts w:ascii="Arial" w:hAnsi="Arial"/>
                <w:b/>
                <w:color w:val="C62828"/>
                <w:sz w:val="18"/>
              </w:rPr>
              <w:t>Exposed</w:t>
            </w:r>
          </w:p>
        </w:tc>
        <w:tc>
          <w:tcPr>
            <w:tcW w:type="dxa" w:w="1584"/>
            <w:shd w:fill="F2F6FA" w:val="clear"/>
          </w:tcPr>
          <w:p>
            <w:r/>
            <w:r>
              <w:rPr>
                <w:rFonts w:ascii="Arial" w:hAnsi="Arial"/>
                <w:b/>
                <w:color w:val="C62828"/>
                <w:sz w:val="18"/>
              </w:rPr>
              <w:t>Exposed</w:t>
            </w:r>
          </w:p>
        </w:tc>
      </w:tr>
      <w:tr>
        <w:tc>
          <w:tcPr>
            <w:tcW w:type="dxa" w:w="2880"/>
          </w:tcPr>
          <w:p>
            <w:r/>
            <w:r>
              <w:rPr>
                <w:rFonts w:ascii="Arial" w:hAnsi="Arial"/>
                <w:sz w:val="18"/>
              </w:rPr>
              <w:t>Audit gap during compliance review</w:t>
            </w:r>
          </w:p>
        </w:tc>
        <w:tc>
          <w:tcPr>
            <w:tcW w:type="dxa" w:w="1440"/>
          </w:tcPr>
          <w:p>
            <w:r/>
            <w:r>
              <w:rPr>
                <w:rFonts w:ascii="Arial" w:hAnsi="Arial"/>
                <w:sz w:val="18"/>
              </w:rPr>
              <w:t>Medium</w:t>
            </w:r>
          </w:p>
        </w:tc>
        <w:tc>
          <w:tcPr>
            <w:tcW w:type="dxa" w:w="1584"/>
          </w:tcPr>
          <w:p>
            <w:r/>
            <w:r>
              <w:rPr>
                <w:rFonts w:ascii="Arial" w:hAnsi="Arial"/>
                <w:b/>
                <w:color w:val="2E7D32"/>
                <w:sz w:val="18"/>
              </w:rPr>
              <w:t>Mitigated</w:t>
            </w:r>
          </w:p>
        </w:tc>
        <w:tc>
          <w:tcPr>
            <w:tcW w:type="dxa" w:w="1584"/>
          </w:tcPr>
          <w:p>
            <w:r/>
            <w:r>
              <w:rPr>
                <w:rFonts w:ascii="Arial" w:hAnsi="Arial"/>
                <w:b/>
                <w:color w:val="C62828"/>
                <w:sz w:val="18"/>
              </w:rPr>
              <w:t>Exposed</w:t>
            </w:r>
          </w:p>
        </w:tc>
        <w:tc>
          <w:tcPr>
            <w:tcW w:type="dxa" w:w="1584"/>
          </w:tcPr>
          <w:p>
            <w:r/>
            <w:r>
              <w:rPr>
                <w:rFonts w:ascii="Arial" w:hAnsi="Arial"/>
                <w:b/>
                <w:color w:val="2E7D32"/>
                <w:sz w:val="18"/>
              </w:rPr>
              <w:t>Mitigated</w:t>
            </w:r>
          </w:p>
        </w:tc>
      </w:tr>
    </w:tbl>
    <w:p/>
    <w:p>
      <w:pPr>
        <w:pStyle w:val="Heading1"/>
      </w:pPr>
      <w:r>
        <w:rPr>
          <w:rFonts w:ascii="Arial" w:hAnsi="Arial"/>
          <w:color w:val="1B3A5C"/>
        </w:rPr>
        <w:t>8. Recommendation</w:t>
      </w:r>
    </w:p>
    <w:p>
      <w:r>
        <w:rPr>
          <w:rFonts w:ascii="Arial" w:hAnsi="Arial"/>
          <w:b/>
          <w:color w:val="1B3A5C"/>
          <w:sz w:val="22"/>
        </w:rPr>
        <w:t xml:space="preserve">We recommend Option C (Hybrid) </w:t>
      </w:r>
      <w:r>
        <w:rPr>
          <w:rFonts w:ascii="Arial" w:hAnsi="Arial"/>
          <w:sz w:val="22"/>
        </w:rPr>
        <w:t>for the following reasons:</w:t>
      </w:r>
    </w:p>
    <w:p>
      <w:pPr>
        <w:pStyle w:val="ListNumber"/>
      </w:pPr>
      <w:r>
        <w:rPr>
          <w:rFonts w:ascii="Arial" w:hAnsi="Arial"/>
          <w:b/>
          <w:sz w:val="22"/>
        </w:rPr>
        <w:t xml:space="preserve">Security: </w:t>
      </w:r>
      <w:r>
        <w:rPr>
          <w:rFonts w:ascii="Arial" w:hAnsi="Arial"/>
          <w:sz w:val="22"/>
        </w:rPr>
        <w:t>Two independent layers (Entra + Busibox) provide defense in depth. Automated deprovisioning closes the biggest gap in Option B.</w:t>
      </w:r>
    </w:p>
    <w:p>
      <w:pPr>
        <w:pStyle w:val="ListNumber"/>
      </w:pPr>
      <w:r>
        <w:rPr>
          <w:rFonts w:ascii="Arial" w:hAnsi="Arial"/>
          <w:b/>
          <w:sz w:val="22"/>
        </w:rPr>
        <w:t xml:space="preserve">Usability: </w:t>
      </w:r>
      <w:r>
        <w:rPr>
          <w:rFonts w:ascii="Arial" w:hAnsi="Arial"/>
          <w:sz w:val="22"/>
        </w:rPr>
        <w:t>The App Builder continues to work as designed. No IT tickets needed. Non-technical users can still build and deploy apps in minutes.</w:t>
      </w:r>
    </w:p>
    <w:p>
      <w:pPr>
        <w:pStyle w:val="ListNumber"/>
      </w:pPr>
      <w:r>
        <w:rPr>
          <w:rFonts w:ascii="Arial" w:hAnsi="Arial"/>
          <w:b/>
          <w:sz w:val="22"/>
        </w:rPr>
        <w:t xml:space="preserve">IT operations: </w:t>
      </w:r>
      <w:r>
        <w:rPr>
          <w:rFonts w:ascii="Arial" w:hAnsi="Arial"/>
          <w:sz w:val="22"/>
        </w:rPr>
        <w:t>IT manages one Entra group (Busibox-Users) instead of dozens of per-app groups. Offboarding is handled by existing Entra lifecycle workflows.</w:t>
      </w:r>
    </w:p>
    <w:p>
      <w:pPr>
        <w:pStyle w:val="ListNumber"/>
      </w:pPr>
      <w:r>
        <w:rPr>
          <w:rFonts w:ascii="Arial" w:hAnsi="Arial"/>
          <w:b/>
          <w:sz w:val="22"/>
        </w:rPr>
        <w:t xml:space="preserve">Compliance: </w:t>
      </w:r>
      <w:r>
        <w:rPr>
          <w:rFonts w:ascii="Arial" w:hAnsi="Arial"/>
          <w:sz w:val="22"/>
        </w:rPr>
        <w:t>Entra’s SOC2/ISO 27001 certifications cover the identity layer. Audit logs exist in both systems for complete coverage.</w:t>
      </w:r>
    </w:p>
    <w:p>
      <w:pPr>
        <w:pStyle w:val="ListNumber"/>
      </w:pPr>
      <w:r>
        <w:rPr>
          <w:rFonts w:ascii="Arial" w:hAnsi="Arial"/>
          <w:b/>
          <w:sz w:val="22"/>
        </w:rPr>
        <w:t xml:space="preserve">Cost: </w:t>
      </w:r>
      <w:r>
        <w:rPr>
          <w:rFonts w:ascii="Arial" w:hAnsi="Arial"/>
          <w:sz w:val="22"/>
        </w:rPr>
        <w:t>1–2 weeks of development to add Entra OIDC login and the sync job. Zero ongoing per-app overhead.</w:t>
      </w:r>
    </w:p>
    <w:p>
      <w:pPr>
        <w:pStyle w:val="Heading2"/>
      </w:pPr>
      <w:r>
        <w:rPr>
          <w:rFonts w:ascii="Arial" w:hAnsi="Arial"/>
          <w:color w:val="1B3A5C"/>
        </w:rPr>
        <w:t>8.1 Implementation Steps</w:t>
      </w:r>
    </w:p>
    <w:p>
      <w:pPr>
        <w:pStyle w:val="ListBullet"/>
      </w:pPr>
      <w:r>
        <w:rPr>
          <w:rFonts w:ascii="Arial" w:hAnsi="Arial"/>
          <w:sz w:val="22"/>
        </w:rPr>
        <w:t>Configure Entra as OIDC provider in Busibox AuthZ (Busibox already supports this)</w:t>
      </w:r>
    </w:p>
    <w:p>
      <w:pPr>
        <w:pStyle w:val="ListBullet"/>
      </w:pPr>
      <w:r>
        <w:rPr>
          <w:rFonts w:ascii="Arial" w:hAnsi="Arial"/>
          <w:sz w:val="22"/>
        </w:rPr>
        <w:t>Create a “Busibox-Users” security group in Entra for platform access control</w:t>
      </w:r>
    </w:p>
    <w:p>
      <w:pPr>
        <w:pStyle w:val="ListBullet"/>
      </w:pPr>
      <w:r>
        <w:rPr>
          <w:rFonts w:ascii="Arial" w:hAnsi="Arial"/>
          <w:sz w:val="22"/>
        </w:rPr>
        <w:t>Build a sync job that checks Entra group membership every 15 minutes and revokes sessions for removed/disabled users</w:t>
      </w:r>
    </w:p>
    <w:p>
      <w:pPr>
        <w:pStyle w:val="ListBullet"/>
      </w:pPr>
      <w:r>
        <w:rPr>
          <w:rFonts w:ascii="Arial" w:hAnsi="Arial"/>
          <w:sz w:val="22"/>
        </w:rPr>
        <w:t>Keep Busibox AuthZ self-service roles for per-app permissions (no changes needed)</w:t>
      </w:r>
    </w:p>
    <w:p>
      <w:pPr>
        <w:pStyle w:val="ListBullet"/>
      </w:pPr>
      <w:r>
        <w:rPr>
          <w:rFonts w:ascii="Arial" w:hAnsi="Arial"/>
          <w:sz w:val="22"/>
        </w:rPr>
        <w:t>Set JWT access token TTL to 15 minutes (already the default) as a backstop</w:t>
      </w:r>
    </w:p>
    <w:p>
      <w:pPr>
        <w:pStyle w:val="ListBullet"/>
      </w:pPr>
      <w:r>
        <w:rPr>
          <w:rFonts w:ascii="Arial" w:hAnsi="Arial"/>
          <w:sz w:val="22"/>
        </w:rPr>
        <w:t>Optionally: map specific Entra groups to Busibox admin roles for elevated platform access</w:t>
      </w:r>
    </w:p>
    <w:p>
      <w:pPr>
        <w:pStyle w:val="Heading2"/>
      </w:pPr>
      <w:r>
        <w:rPr>
          <w:rFonts w:ascii="Arial" w:hAnsi="Arial"/>
          <w:color w:val="1B3A5C"/>
        </w:rPr>
        <w:t>8.2 What Not To Do</w:t>
      </w:r>
    </w:p>
    <w:p>
      <w:pPr>
        <w:pStyle w:val="ListBullet"/>
      </w:pPr>
      <w:r>
        <w:rPr>
          <w:rFonts w:ascii="Arial" w:hAnsi="Arial"/>
          <w:sz w:val="22"/>
        </w:rPr>
        <w:t>Do not create per-app Entra groups. This creates IT overhead that scales linearly with the number of generated apps.</w:t>
      </w:r>
    </w:p>
    <w:p>
      <w:pPr>
        <w:pStyle w:val="ListBullet"/>
      </w:pPr>
      <w:r>
        <w:rPr>
          <w:rFonts w:ascii="Arial" w:hAnsi="Arial"/>
          <w:sz w:val="22"/>
        </w:rPr>
        <w:t>Do not rely solely on Busibox for deprovisioning. The offboarding gap is a real risk for apps handling financial and HR data.</w:t>
      </w:r>
    </w:p>
    <w:p>
      <w:pPr>
        <w:pStyle w:val="ListBullet"/>
      </w:pPr>
      <w:r>
        <w:rPr>
          <w:rFonts w:ascii="Arial" w:hAnsi="Arial"/>
          <w:sz w:val="22"/>
        </w:rPr>
        <w:t>Do not disable Busibox’s self-service role system. It’s essential to the App Builder’s self-service flow and provides fine-grained access that Entra groups cannot match.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