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Hiragino Sans" w:hAnsi="Hiragino Sans" w:eastAsia="Hiragino Sans"/>
          <w:b/>
          <w:color w:val="1A1A1A"/>
          <w:sz w:val="27"/>
        </w:rPr>
        <w:t>キーエンス / 基恩士  (6861)</w:t>
      </w:r>
    </w:p>
    <w:p>
      <w:pPr>
        <w:spacing w:before="0" w:after="100"/>
      </w:pPr>
      <w:r>
        <w:rPr>
          <w:rFonts w:ascii="Hiragino Sans" w:hAnsi="Hiragino Sans" w:eastAsia="Hiragino Sans"/>
          <w:b w:val="0"/>
          <w:color w:val="666666"/>
          <w:sz w:val="15"/>
        </w:rPr>
        <w:t>公司速览 · 2026-08-31 撰写（股价 2026-08-28 收盘 ¥82,960，时价总额 ¥20.1 兆）</w:t>
      </w:r>
    </w:p>
    <w:p>
      <w:pPr>
        <w:spacing w:before="0" w:after="80"/>
      </w:pPr>
      <w:r>
        <w:rPr>
          <w:rFonts w:ascii="Hiragino Sans" w:hAnsi="Hiragino Sans" w:eastAsia="Hiragino Sans"/>
          <w:b/>
          <w:color w:val="1A1A1A"/>
          <w:sz w:val="18"/>
        </w:rPr>
        <w:t>一句话：</w:t>
      </w:r>
      <w:r>
        <w:rPr>
          <w:rFonts w:ascii="Hiragino Sans" w:hAnsi="Hiragino Sans" w:eastAsia="Hiragino Sans"/>
          <w:b w:val="0"/>
          <w:color w:val="1A1A1A"/>
          <w:sz w:val="18"/>
        </w:rPr>
        <w:t>工厂自动化（FA）用传感器与检测设备的 B2B 厂商。</w:t>
      </w:r>
      <w:r>
        <w:rPr>
          <w:rFonts w:ascii="Hiragino Sans" w:hAnsi="Hiragino Sans" w:eastAsia="Hiragino Sans"/>
          <w:b/>
          <w:color w:val="1D427A"/>
          <w:sz w:val="18"/>
        </w:rPr>
        <w:t>不建工厂（ファブレス）、不用代理商（直販）、不发业绩预想</w:t>
      </w:r>
      <w:r>
        <w:rPr>
          <w:rFonts w:ascii="Hiragino Sans" w:hAnsi="Hiragino Sans" w:eastAsia="Hiragino Sans"/>
          <w:b w:val="0"/>
          <w:color w:val="1A1A1A"/>
          <w:sz w:val="18"/>
        </w:rPr>
        <w:t>——靠这三件事做到毛利率 83%、营业利润率 51%，是日本盈利能力最高的制造业公司之一。</w:t>
      </w:r>
    </w:p>
    <w:p>
      <w:pPr>
        <w:spacing w:before="100" w:after="40"/>
      </w:pPr>
      <w:r>
        <w:rPr>
          <w:rFonts w:ascii="Hiragino Sans" w:hAnsi="Hiragino Sans" w:eastAsia="Hiragino Sans"/>
          <w:b/>
          <w:color w:val="1D427A"/>
          <w:sz w:val="19"/>
        </w:rPr>
        <w:t>主营业务与产品</w:t>
      </w:r>
    </w:p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/>
          <w:color w:val="1A1A1A"/>
          <w:sz w:val="17"/>
        </w:rPr>
        <w:t>单一报告分部「電子応用機器」。</w:t>
      </w:r>
      <w:r>
        <w:rPr>
          <w:rFonts w:ascii="Hiragino Sans" w:hAnsi="Hiragino Sans" w:eastAsia="Hiragino Sans"/>
          <w:b w:val="0"/>
          <w:color w:val="1A1A1A"/>
          <w:sz w:val="17"/>
        </w:rPr>
        <w:t>主力产品四类：</w:t>
      </w:r>
      <w:r>
        <w:rPr>
          <w:rFonts w:ascii="Hiragino Sans" w:hAnsi="Hiragino Sans" w:eastAsia="Hiragino Sans"/>
          <w:b/>
          <w:color w:val="1A1A1A"/>
          <w:sz w:val="17"/>
        </w:rPr>
        <w:t>传感器</w:t>
      </w:r>
      <w:r>
        <w:rPr>
          <w:rFonts w:ascii="Hiragino Sans" w:hAnsi="Hiragino Sans" w:eastAsia="Hiragino Sans"/>
          <w:b w:val="0"/>
          <w:color w:val="1A1A1A"/>
          <w:sz w:val="17"/>
        </w:rPr>
        <w:t>（光电/接近/位移）、</w:t>
      </w:r>
      <w:r>
        <w:rPr>
          <w:rFonts w:ascii="Hiragino Sans" w:hAnsi="Hiragino Sans" w:eastAsia="Hiragino Sans"/>
          <w:b/>
          <w:color w:val="1A1A1A"/>
          <w:sz w:val="17"/>
        </w:rPr>
        <w:t>测量仪器</w:t>
      </w:r>
      <w:r>
        <w:rPr>
          <w:rFonts w:ascii="Hiragino Sans" w:hAnsi="Hiragino Sans" w:eastAsia="Hiragino Sans"/>
          <w:b w:val="0"/>
          <w:color w:val="1A1A1A"/>
          <w:sz w:val="17"/>
        </w:rPr>
        <w:t>（尺寸测量、三坐标）、</w:t>
      </w:r>
      <w:r>
        <w:rPr>
          <w:rFonts w:ascii="Hiragino Sans" w:hAnsi="Hiragino Sans" w:eastAsia="Hiragino Sans"/>
          <w:b/>
          <w:color w:val="1A1A1A"/>
          <w:sz w:val="17"/>
        </w:rPr>
        <w:t>图像处理设备</w:t>
      </w:r>
      <w:r>
        <w:rPr>
          <w:rFonts w:ascii="Hiragino Sans" w:hAnsi="Hiragino Sans" w:eastAsia="Hiragino Sans"/>
          <w:b w:val="0"/>
          <w:color w:val="1A1A1A"/>
          <w:sz w:val="17"/>
        </w:rPr>
        <w:t>（机器视觉、外观检查）、</w:t>
      </w:r>
      <w:r>
        <w:rPr>
          <w:rFonts w:ascii="Hiragino Sans" w:hAnsi="Hiragino Sans" w:eastAsia="Hiragino Sans"/>
          <w:b/>
          <w:color w:val="1A1A1A"/>
          <w:sz w:val="17"/>
        </w:rPr>
        <w:t>激光打标机</w:t>
      </w:r>
      <w:r>
        <w:rPr>
          <w:rFonts w:ascii="Hiragino Sans" w:hAnsi="Hiragino Sans" w:eastAsia="Hiragino Sans"/>
          <w:b w:val="0"/>
          <w:color w:val="1A1A1A"/>
          <w:sz w:val="17"/>
        </w:rPr>
        <w:t>。另有显微镜、PLC、静电消除器等。1974 年创业。</w:t>
      </w:r>
    </w:p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 w:val="0"/>
          <w:color w:val="1A1A1A"/>
          <w:sz w:val="17"/>
        </w:rPr>
        <w:t xml:space="preserve">客户 </w:t>
      </w:r>
      <w:r>
        <w:rPr>
          <w:rFonts w:ascii="Hiragino Sans" w:hAnsi="Hiragino Sans" w:eastAsia="Hiragino Sans"/>
          <w:b/>
          <w:color w:val="1A1A1A"/>
          <w:sz w:val="17"/>
        </w:rPr>
        <w:t>35 万社以上</w:t>
      </w:r>
      <w:r>
        <w:rPr>
          <w:rFonts w:ascii="Hiragino Sans" w:hAnsi="Hiragino Sans" w:eastAsia="Hiragino Sans"/>
          <w:b w:val="0"/>
          <w:color w:val="1A1A1A"/>
          <w:sz w:val="17"/>
        </w:rPr>
        <w:t>，覆盖汽车、半导体、液晶、电子、通信、金属、食品、医药、物流——</w:t>
      </w:r>
      <w:r>
        <w:rPr>
          <w:rFonts w:ascii="Hiragino Sans" w:hAnsi="Hiragino Sans" w:eastAsia="Hiragino Sans"/>
          <w:b/>
          <w:color w:val="1A1A1A"/>
          <w:sz w:val="17"/>
        </w:rPr>
        <w:t>没有单一客户或单一行业依赖</w:t>
      </w:r>
      <w:r>
        <w:rPr>
          <w:rFonts w:ascii="Hiragino Sans" w:hAnsi="Hiragino Sans" w:eastAsia="Hiragino Sans"/>
          <w:b w:val="0"/>
          <w:color w:val="1A1A1A"/>
          <w:sz w:val="17"/>
        </w:rPr>
        <w:t>，这是它周期性远低于同业的结构性原因。</w:t>
      </w:r>
    </w:p>
    <w:p>
      <w:pPr>
        <w:spacing w:before="100" w:after="40"/>
      </w:pPr>
      <w:r>
        <w:rPr>
          <w:rFonts w:ascii="Hiragino Sans" w:hAnsi="Hiragino Sans" w:eastAsia="Hiragino Sans"/>
          <w:b/>
          <w:color w:val="1D427A"/>
          <w:sz w:val="19"/>
        </w:rPr>
        <w:t>财务数据（億円、3 月期。FY 按年度开始年，FY25 = FYE 2026 年 3 月）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96"/>
        <w:gridCol w:w="1196"/>
        <w:gridCol w:w="1196"/>
        <w:gridCol w:w="1196"/>
        <w:gridCol w:w="1196"/>
        <w:gridCol w:w="1196"/>
        <w:gridCol w:w="1196"/>
        <w:gridCol w:w="1196"/>
        <w:gridCol w:w="1196"/>
      </w:tblGrid>
      <w:tr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FY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売上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YoY</w:t>
            </w:r>
          </w:p>
        </w:tc>
        <w:tc>
          <w:tcPr>
            <w:tcW w:type="dxa" w:w="113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営業利益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OPM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純利益</w:t>
            </w:r>
          </w:p>
        </w:tc>
        <w:tc>
          <w:tcPr>
            <w:tcW w:type="dxa" w:w="102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EPS(¥)</w:t>
            </w:r>
          </w:p>
        </w:tc>
        <w:tc>
          <w:tcPr>
            <w:tcW w:type="dxa" w:w="124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自己資本比率</w:t>
            </w:r>
          </w:p>
        </w:tc>
        <w:tc>
          <w:tcPr>
            <w:tcW w:type="dxa" w:w="130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年間配当(¥)</w:t>
            </w:r>
          </w:p>
        </w:tc>
      </w:tr>
      <w:tr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FY21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7,552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+40.3%</w:t>
            </w:r>
          </w:p>
        </w:tc>
        <w:tc>
          <w:tcPr>
            <w:tcW w:type="dxa" w:w="113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4,180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55.4%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3,034</w:t>
            </w:r>
          </w:p>
        </w:tc>
        <w:tc>
          <w:tcPr>
            <w:tcW w:type="dxa" w:w="102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1,251</w:t>
            </w:r>
          </w:p>
        </w:tc>
        <w:tc>
          <w:tcPr>
            <w:tcW w:type="dxa" w:w="124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93.5%</w:t>
            </w:r>
          </w:p>
        </w:tc>
        <w:tc>
          <w:tcPr>
            <w:tcW w:type="dxa" w:w="130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200</w:t>
            </w:r>
          </w:p>
        </w:tc>
      </w:tr>
      <w:tr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FY22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9,224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+22.1%</w:t>
            </w:r>
          </w:p>
        </w:tc>
        <w:tc>
          <w:tcPr>
            <w:tcW w:type="dxa" w:w="113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4,989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54.1%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3,630</w:t>
            </w:r>
          </w:p>
        </w:tc>
        <w:tc>
          <w:tcPr>
            <w:tcW w:type="dxa" w:w="102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1,497</w:t>
            </w:r>
          </w:p>
        </w:tc>
        <w:tc>
          <w:tcPr>
            <w:tcW w:type="dxa" w:w="124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94.0%</w:t>
            </w:r>
          </w:p>
        </w:tc>
        <w:tc>
          <w:tcPr>
            <w:tcW w:type="dxa" w:w="130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300</w:t>
            </w:r>
          </w:p>
        </w:tc>
      </w:tr>
      <w:tr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FY23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9,673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+4.9%</w:t>
            </w:r>
          </w:p>
        </w:tc>
        <w:tc>
          <w:tcPr>
            <w:tcW w:type="dxa" w:w="113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4,950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51.2%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3,696</w:t>
            </w:r>
          </w:p>
        </w:tc>
        <w:tc>
          <w:tcPr>
            <w:tcW w:type="dxa" w:w="102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1,524</w:t>
            </w:r>
          </w:p>
        </w:tc>
        <w:tc>
          <w:tcPr>
            <w:tcW w:type="dxa" w:w="124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94.7%</w:t>
            </w:r>
          </w:p>
        </w:tc>
        <w:tc>
          <w:tcPr>
            <w:tcW w:type="dxa" w:w="130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300</w:t>
            </w:r>
          </w:p>
        </w:tc>
      </w:tr>
      <w:tr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FY24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10,591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+9.5%</w:t>
            </w:r>
          </w:p>
        </w:tc>
        <w:tc>
          <w:tcPr>
            <w:tcW w:type="dxa" w:w="113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5,498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51.9%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3,987</w:t>
            </w:r>
          </w:p>
        </w:tc>
        <w:tc>
          <w:tcPr>
            <w:tcW w:type="dxa" w:w="102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1,644</w:t>
            </w:r>
          </w:p>
        </w:tc>
        <w:tc>
          <w:tcPr>
            <w:tcW w:type="dxa" w:w="124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94.5%</w:t>
            </w:r>
          </w:p>
        </w:tc>
        <w:tc>
          <w:tcPr>
            <w:tcW w:type="dxa" w:w="130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350</w:t>
            </w:r>
          </w:p>
        </w:tc>
      </w:tr>
      <w:tr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FY25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11,693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+10.4%</w:t>
            </w:r>
          </w:p>
        </w:tc>
        <w:tc>
          <w:tcPr>
            <w:tcW w:type="dxa" w:w="113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5,958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51.0%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4,452</w:t>
            </w:r>
          </w:p>
        </w:tc>
        <w:tc>
          <w:tcPr>
            <w:tcW w:type="dxa" w:w="102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1,836</w:t>
            </w:r>
          </w:p>
        </w:tc>
        <w:tc>
          <w:tcPr>
            <w:tcW w:type="dxa" w:w="124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94.6%</w:t>
            </w:r>
          </w:p>
        </w:tc>
        <w:tc>
          <w:tcPr>
            <w:tcW w:type="dxa" w:w="130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550</w:t>
            </w:r>
          </w:p>
        </w:tc>
      </w:tr>
      <w:tr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FY26Q1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3,466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+32.8%</w:t>
            </w:r>
          </w:p>
        </w:tc>
        <w:tc>
          <w:tcPr>
            <w:tcW w:type="dxa" w:w="113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1,871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54.0%</w:t>
            </w:r>
          </w:p>
        </w:tc>
        <w:tc>
          <w:tcPr>
            <w:tcW w:type="dxa" w:w="107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1,391</w:t>
            </w:r>
          </w:p>
        </w:tc>
        <w:tc>
          <w:tcPr>
            <w:tcW w:type="dxa" w:w="102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130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—</w:t>
            </w:r>
          </w:p>
        </w:tc>
      </w:tr>
    </w:tbl>
    <w:p>
      <w:pPr>
        <w:spacing w:before="0" w:after="60"/>
      </w:pPr>
      <w:r>
        <w:rPr>
          <w:rFonts w:ascii="Hiragino Sans" w:hAnsi="Hiragino Sans" w:eastAsia="Hiragino Sans"/>
          <w:b w:val="0"/>
          <w:color w:val="666666"/>
          <w:sz w:val="15"/>
        </w:rPr>
        <w:t>FY17 以降 9 年の CAGR：売上 +10.5% / 営業利益 +8.2%。</w:t>
      </w:r>
      <w:r>
        <w:rPr>
          <w:rFonts w:ascii="Hiragino Sans" w:hAnsi="Hiragino Sans" w:eastAsia="Hiragino Sans"/>
          <w:b/>
          <w:color w:val="666666"/>
          <w:sz w:val="15"/>
        </w:rPr>
        <w:t>営業利益率は 9 年間一度も 50% を割っていない</w:t>
      </w:r>
      <w:r>
        <w:rPr>
          <w:rFonts w:ascii="Hiragino Sans" w:hAnsi="Hiragino Sans" w:eastAsia="Hiragino Sans"/>
          <w:b w:val="0"/>
          <w:color w:val="666666"/>
          <w:sz w:val="15"/>
        </w:rPr>
        <w:t>（レンジ 50.3–55.6%）。FY19-20 の 2 年連続減収でも 50% 台を維持——これが最も重要な一行。</w:t>
      </w:r>
    </w:p>
    <w:p>
      <w:pPr>
        <w:spacing w:before="100" w:after="40"/>
      </w:pPr>
      <w:r>
        <w:rPr>
          <w:rFonts w:ascii="Hiragino Sans" w:hAnsi="Hiragino Sans" w:eastAsia="Hiragino Sans"/>
          <w:b/>
          <w:color w:val="1D427A"/>
          <w:sz w:val="19"/>
        </w:rPr>
        <w:t>収益の地域別内訳（億円）— 会社は事業セグメントを開示しない（単一セグメント）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c>
          <w:tcPr>
            <w:tcW w:type="dxa" w:w="907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FY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売上計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日本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%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北中南米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%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アジア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%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欧州・他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%</w:t>
            </w:r>
          </w:p>
        </w:tc>
        <w:tc>
          <w:tcPr>
            <w:tcW w:type="dxa" w:w="79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海外%</w:t>
            </w:r>
          </w:p>
        </w:tc>
      </w:tr>
      <w:tr>
        <w:tc>
          <w:tcPr>
            <w:tcW w:type="dxa" w:w="907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FY15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3,790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1,890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49.8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680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17.8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810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21.5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410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10.9</w:t>
            </w:r>
          </w:p>
        </w:tc>
        <w:tc>
          <w:tcPr>
            <w:tcW w:type="dxa" w:w="79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50.2</w:t>
            </w:r>
          </w:p>
        </w:tc>
      </w:tr>
      <w:tr>
        <w:tc>
          <w:tcPr>
            <w:tcW w:type="dxa" w:w="907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FY21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7,550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3,100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41.1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1,370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18.1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2,100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27.8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990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13.1</w:t>
            </w:r>
          </w:p>
        </w:tc>
        <w:tc>
          <w:tcPr>
            <w:tcW w:type="dxa" w:w="79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58.9</w:t>
            </w:r>
          </w:p>
        </w:tc>
      </w:tr>
      <w:tr>
        <w:tc>
          <w:tcPr>
            <w:tcW w:type="dxa" w:w="907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FY23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9,670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3,450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35.6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2,200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22.8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2,460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25.4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1,540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15.9</w:t>
            </w:r>
          </w:p>
        </w:tc>
        <w:tc>
          <w:tcPr>
            <w:tcW w:type="dxa" w:w="79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64.4</w:t>
            </w:r>
          </w:p>
        </w:tc>
      </w:tr>
      <w:tr>
        <w:tc>
          <w:tcPr>
            <w:tcW w:type="dxa" w:w="907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FY25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11,690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3,900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33.4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2,800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24.0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3,170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27.1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1,690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14.4</w:t>
            </w:r>
          </w:p>
        </w:tc>
        <w:tc>
          <w:tcPr>
            <w:tcW w:type="dxa" w:w="79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66.6</w:t>
            </w:r>
          </w:p>
        </w:tc>
      </w:tr>
      <w:tr>
        <w:tc>
          <w:tcPr>
            <w:tcW w:type="dxa" w:w="907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9年CAGR</w:t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+12.3%</w:t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+7.3%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</w:r>
          </w:p>
        </w:tc>
        <w:tc>
          <w:tcPr>
            <w:tcW w:type="dxa" w:w="96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+16.1%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+15.6%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</w:r>
          </w:p>
        </w:tc>
        <w:tc>
          <w:tcPr>
            <w:tcW w:type="dxa" w:w="850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+15.1%</w:t>
            </w:r>
          </w:p>
        </w:tc>
        <w:tc>
          <w:tcPr>
            <w:tcW w:type="dxa" w:w="62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</w:r>
          </w:p>
        </w:tc>
        <w:tc>
          <w:tcPr>
            <w:tcW w:type="dxa" w:w="794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+15.9%</w:t>
            </w:r>
          </w:p>
        </w:tc>
      </w:tr>
    </w:tbl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/>
          <w:color w:val="1A1A1A"/>
          <w:sz w:val="17"/>
        </w:rPr>
        <w:t>成長はほぼ全て海外。</w:t>
      </w:r>
      <w:r>
        <w:rPr>
          <w:rFonts w:ascii="Hiragino Sans" w:hAnsi="Hiragino Sans" w:eastAsia="Hiragino Sans"/>
          <w:b w:val="0"/>
          <w:color w:val="1A1A1A"/>
          <w:sz w:val="17"/>
        </w:rPr>
        <w:t>日本の構成比は 9 年で 49.8% → 33.4% に低下したが、日本自体も +89%(CAGR 7.3%) 伸びている——縮んだのではなく、海外が 3.8 倍になった。直近 FY25 は 日本 +4.6% に対し アジア +15.1% / 北中南米 +12.2%。</w:t>
      </w:r>
    </w:p>
    <w:p>
      <w:pPr>
        <w:spacing w:before="100" w:after="40"/>
      </w:pPr>
      <w:r>
        <w:rPr>
          <w:rFonts w:ascii="Hiragino Sans" w:hAnsi="Hiragino Sans" w:eastAsia="Hiragino Sans"/>
          <w:b/>
          <w:color w:val="1D427A"/>
          <w:sz w:val="19"/>
        </w:rPr>
        <w:t>关键指标 — 为什么它和别的制造业不是一类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指标</w:t>
            </w:r>
          </w:p>
        </w:tc>
        <w:tc>
          <w:tcPr>
            <w:tcW w:type="dxa" w:w="2608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キーエンス</w:t>
            </w:r>
          </w:p>
        </w:tc>
        <w:tc>
          <w:tcPr>
            <w:tcW w:type="dxa" w:w="3061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/>
                <w:color w:val="1A1A1A"/>
                <w:sz w:val="15"/>
              </w:rPr>
              <w:t>对照（安川電機 6506）</w:t>
            </w:r>
          </w:p>
        </w:tc>
      </w:tr>
      <w:tr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営業利益率 (FY25)</w:t>
            </w:r>
          </w:p>
        </w:tc>
        <w:tc>
          <w:tcPr>
            <w:tcW w:type="dxa" w:w="2608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51.0%</w:t>
            </w:r>
          </w:p>
        </w:tc>
        <w:tc>
          <w:tcPr>
            <w:tcW w:type="dxa" w:w="3061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8.7%</w:t>
            </w:r>
          </w:p>
        </w:tc>
      </w:tr>
      <w:tr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設備投資 / 売上</w:t>
            </w:r>
          </w:p>
        </w:tc>
        <w:tc>
          <w:tcPr>
            <w:tcW w:type="dxa" w:w="2608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约 1.3%（ファブレス）</w:t>
            </w:r>
          </w:p>
        </w:tc>
        <w:tc>
          <w:tcPr>
            <w:tcW w:type="dxa" w:w="3061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8.2% 実績 → 10% 計画</w:t>
            </w:r>
          </w:p>
        </w:tc>
      </w:tr>
      <w:tr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従業員 1 人あたり売上</w:t>
            </w:r>
          </w:p>
        </w:tc>
        <w:tc>
          <w:tcPr>
            <w:tcW w:type="dxa" w:w="2608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約 1.17億円（連結 約 1 万人）</w:t>
            </w:r>
          </w:p>
        </w:tc>
        <w:tc>
          <w:tcPr>
            <w:tcW w:type="dxa" w:w="3061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約 0.35億円</w:t>
            </w:r>
          </w:p>
        </w:tc>
      </w:tr>
      <w:tr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事業に使っている資本</w:t>
            </w:r>
          </w:p>
        </w:tc>
        <w:tc>
          <w:tcPr>
            <w:tcW w:type="dxa" w:w="2608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5,986億（自己資本の 17%）</w:t>
            </w:r>
          </w:p>
        </w:tc>
        <w:tc>
          <w:tcPr>
            <w:tcW w:type="dxa" w:w="3061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事業ベース ROE</w:t>
            </w:r>
          </w:p>
        </w:tc>
        <w:tc>
          <w:tcPr>
            <w:tcW w:type="dxa" w:w="2608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約 77%</w:t>
            </w:r>
          </w:p>
        </w:tc>
        <w:tc>
          <w:tcPr>
            <w:tcW w:type="dxa" w:w="3061"/>
          </w:tcPr>
          <w:p>
            <w:pPr>
              <w:spacing w:before="10" w:after="10"/>
              <w:jc w:val="right"/>
            </w:pPr>
            <w:r>
              <w:rPr>
                <w:rFonts w:ascii="Hiragino Sans" w:hAnsi="Hiragino Sans" w:eastAsia="Hiragino Sans"/>
                <w:b w:val="0"/>
                <w:color w:val="1A1A1A"/>
                <w:sz w:val="15"/>
              </w:rPr>
              <w:t>—</w:t>
            </w:r>
          </w:p>
        </w:tc>
      </w:tr>
    </w:tbl>
    <w:p>
      <w:pPr>
        <w:spacing w:before="0" w:after="60"/>
      </w:pPr>
      <w:r>
        <w:rPr>
          <w:rFonts w:ascii="Hiragino Sans" w:hAnsi="Hiragino Sans" w:eastAsia="Hiragino Sans"/>
          <w:b w:val="0"/>
          <w:color w:val="666666"/>
          <w:sz w:val="15"/>
        </w:rPr>
        <w:t>※「事業に使っている資本」= 自己資本 35,498億 − 純金融資産 29,512億。公表 ROE 約 13% は、自己資本の 83% を占める金融資産に希釈された数字であって、事業の実力ではない。</w:t>
      </w:r>
    </w:p>
    <w:p>
      <w:pPr>
        <w:spacing w:before="100" w:after="40"/>
      </w:pPr>
      <w:r>
        <w:rPr>
          <w:rFonts w:ascii="Hiragino Sans" w:hAnsi="Hiragino Sans" w:eastAsia="Hiragino Sans"/>
          <w:b/>
          <w:color w:val="1D427A"/>
          <w:sz w:val="19"/>
        </w:rPr>
        <w:t>差异化在哪 — 公司自己列的五条，加一条我们的解读</w:t>
      </w:r>
    </w:p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/>
          <w:color w:val="1A1A1A"/>
          <w:sz w:val="17"/>
        </w:rPr>
        <w:t>① 企画・開発力／研究開発：</w:t>
      </w:r>
      <w:r>
        <w:rPr>
          <w:rFonts w:ascii="Hiragino Sans" w:hAnsi="Hiragino Sans" w:eastAsia="Hiragino Sans"/>
          <w:b w:val="0"/>
          <w:color w:val="1A1A1A"/>
          <w:sz w:val="17"/>
        </w:rPr>
        <w:t>新製品の約 7 割が発売時点で「世界初」または「業界初」。基礎科学ではなく客の問題解決が起点。価格競争に入る前に次の製品へ移る構造。</w:t>
      </w:r>
    </w:p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/>
          <w:color w:val="1A1A1A"/>
          <w:sz w:val="17"/>
        </w:rPr>
        <w:t>② 直販営業：</w:t>
      </w:r>
      <w:r>
        <w:rPr>
          <w:rFonts w:ascii="Hiragino Sans" w:hAnsi="Hiragino Sans" w:eastAsia="Hiragino Sans"/>
          <w:b w:val="0"/>
          <w:color w:val="1A1A1A"/>
          <w:sz w:val="17"/>
        </w:rPr>
        <w:t>代理店を通さない。中間マージンが乗らないだけでなく、</w:t>
      </w:r>
      <w:r>
        <w:rPr>
          <w:rFonts w:ascii="Hiragino Sans" w:hAnsi="Hiragino Sans" w:eastAsia="Hiragino Sans"/>
          <w:b/>
          <w:color w:val="1A1A1A"/>
          <w:sz w:val="17"/>
        </w:rPr>
        <w:t>営業が客先の生産ラインを直接見る＝潜在ニーズが開発に直結する</w:t>
      </w:r>
      <w:r>
        <w:rPr>
          <w:rFonts w:ascii="Hiragino Sans" w:hAnsi="Hiragino Sans" w:eastAsia="Hiragino Sans"/>
          <w:b w:val="0"/>
          <w:color w:val="1A1A1A"/>
          <w:sz w:val="17"/>
        </w:rPr>
        <w:t>。この情報回路が①の源泉で、代理店モデルでは複製できない。</w:t>
      </w:r>
    </w:p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/>
          <w:color w:val="1A1A1A"/>
          <w:sz w:val="17"/>
        </w:rPr>
        <w:t>③ 全商品当日出荷：</w:t>
      </w:r>
      <w:r>
        <w:rPr>
          <w:rFonts w:ascii="Hiragino Sans" w:hAnsi="Hiragino Sans" w:eastAsia="Hiragino Sans"/>
          <w:b w:val="0"/>
          <w:color w:val="1A1A1A"/>
          <w:sz w:val="17"/>
        </w:rPr>
        <w:t>客の生産ライン停止を防ぐ。「安いから買う」ではなく「止まらないから買う」——値引き圧力が構造的にかからない。</w:t>
      </w:r>
    </w:p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/>
          <w:color w:val="1A1A1A"/>
          <w:sz w:val="17"/>
        </w:rPr>
        <w:t>④ ファブレス経営：</w:t>
      </w:r>
      <w:r>
        <w:rPr>
          <w:rFonts w:ascii="Hiragino Sans" w:hAnsi="Hiragino Sans" w:eastAsia="Hiragino Sans"/>
          <w:b w:val="0"/>
          <w:color w:val="1A1A1A"/>
          <w:sz w:val="17"/>
        </w:rPr>
        <w:t>生産設備を持たず、企画・開発・営業に資源集中。設備投資 1.3% の正体。</w:t>
      </w:r>
    </w:p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/>
          <w:color w:val="1D427A"/>
          <w:sz w:val="17"/>
        </w:rPr>
        <w:t>⑥ 我们的解读：</w:t>
      </w:r>
      <w:r>
        <w:rPr>
          <w:rFonts w:ascii="Hiragino Sans" w:hAnsi="Hiragino Sans" w:eastAsia="Hiragino Sans"/>
          <w:b w:val="0"/>
          <w:color w:val="1A1A1A"/>
          <w:sz w:val="17"/>
        </w:rPr>
        <w:t>上の五条は相互に依存した一つの回路であって、単品では真似できない。その結果が「事業資本 5,986億 で 4,589億 稼ぐ」という異常値。</w:t>
      </w:r>
      <w:r>
        <w:rPr>
          <w:rFonts w:ascii="Hiragino Sans" w:hAnsi="Hiragino Sans" w:eastAsia="Hiragino Sans"/>
          <w:b/>
          <w:color w:val="1D427A"/>
          <w:sz w:val="17"/>
        </w:rPr>
        <w:t>同じ FA セクターの安川は、これから 3,126億 を投じて増分 ROIC 0.5% を狙う。資本効率で三桁の差がある。</w:t>
      </w:r>
    </w:p>
    <w:p>
      <w:pPr>
        <w:spacing w:before="100" w:after="40"/>
      </w:pPr>
      <w:r>
        <w:rPr>
          <w:rFonts w:ascii="Hiragino Sans" w:hAnsi="Hiragino Sans" w:eastAsia="Hiragino Sans"/>
          <w:b/>
          <w:color w:val="1D427A"/>
          <w:sz w:val="19"/>
        </w:rPr>
        <w:t>估值と留意点</w:t>
      </w:r>
    </w:p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 w:val="0"/>
          <w:color w:val="1A1A1A"/>
          <w:sz w:val="17"/>
        </w:rPr>
        <w:t>予想 P/E（彭博 1FY）</w:t>
      </w:r>
      <w:r>
        <w:rPr>
          <w:rFonts w:ascii="Hiragino Sans" w:hAnsi="Hiragino Sans" w:eastAsia="Hiragino Sans"/>
          <w:b/>
          <w:color w:val="1A1A1A"/>
          <w:sz w:val="17"/>
        </w:rPr>
        <w:t xml:space="preserve"> 35.7x = 20 年分位の 67 パーセンタイル</w:t>
      </w:r>
      <w:r>
        <w:rPr>
          <w:rFonts w:ascii="Hiragino Sans" w:hAnsi="Hiragino Sans" w:eastAsia="Hiragino Sans"/>
          <w:b w:val="0"/>
          <w:color w:val="1A1A1A"/>
          <w:sz w:val="17"/>
        </w:rPr>
        <w:t>（中位 31.4x）。</w:t>
      </w:r>
      <w:r>
        <w:rPr>
          <w:rFonts w:ascii="Hiragino Sans" w:hAnsi="Hiragino Sans" w:eastAsia="Hiragino Sans"/>
          <w:b w:val="0"/>
          <w:color w:val="1A1A1A"/>
          <w:sz w:val="17"/>
        </w:rPr>
        <w:t xml:space="preserve">純金融資産 29,512億（時価総額の 14.7%、1 株 ¥12,170）を控除した ex-cash ベースでも </w:t>
      </w:r>
      <w:r>
        <w:rPr>
          <w:rFonts w:ascii="Hiragino Sans" w:hAnsi="Hiragino Sans" w:eastAsia="Hiragino Sans"/>
          <w:b/>
          <w:color w:val="1A1A1A"/>
          <w:sz w:val="17"/>
        </w:rPr>
        <w:t>32.4x</w:t>
      </w:r>
      <w:r>
        <w:rPr>
          <w:rFonts w:ascii="Hiragino Sans" w:hAnsi="Hiragino Sans" w:eastAsia="Hiragino Sans"/>
          <w:b w:val="0"/>
          <w:color w:val="1A1A1A"/>
          <w:sz w:val="17"/>
        </w:rPr>
        <w:t>——「現金を除けば割安」は成立しない。</w:t>
      </w:r>
    </w:p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/>
          <w:color w:val="A31D1D"/>
          <w:sz w:val="17"/>
        </w:rPr>
        <w:t>会社は売上・利益の予想を出さない</w:t>
      </w:r>
      <w:r>
        <w:rPr>
          <w:rFonts w:ascii="Hiragino Sans" w:hAnsi="Hiragino Sans" w:eastAsia="Hiragino Sans"/>
          <w:b w:val="0"/>
          <w:color w:val="1A1A1A"/>
          <w:sz w:val="17"/>
        </w:rPr>
        <w:t>（直近 12 開示すべてで会社予想欄が空欄、配当予想のみ）。街の数字は全て consensus であり、「ガイダンス比」という議論自体が存在しない銘柄。</w:t>
      </w:r>
    </w:p>
    <w:p>
      <w:pPr>
        <w:spacing w:before="0" w:after="30"/>
        <w:ind w:left="227" w:hanging="227"/>
      </w:pPr>
      <w:r>
        <w:rPr>
          <w:rFonts w:ascii="Hiragino Sans" w:hAnsi="Hiragino Sans" w:eastAsia="Hiragino Sans"/>
          <w:b w:val="0"/>
          <w:color w:val="666666"/>
          <w:sz w:val="17"/>
        </w:rPr>
        <w:t xml:space="preserve">▪ </w:t>
      </w:r>
      <w:r>
        <w:rPr>
          <w:rFonts w:ascii="Hiragino Sans" w:hAnsi="Hiragino Sans" w:eastAsia="Hiragino Sans"/>
          <w:b/>
          <w:color w:val="1A1A1A"/>
          <w:sz w:val="17"/>
        </w:rPr>
        <w:t>留意：</w:t>
      </w:r>
      <w:r>
        <w:rPr>
          <w:rFonts w:ascii="Hiragino Sans" w:hAnsi="Hiragino Sans" w:eastAsia="Hiragino Sans"/>
          <w:b w:val="0"/>
          <w:color w:val="1A1A1A"/>
          <w:sz w:val="17"/>
        </w:rPr>
        <w:t>① FY26Q1 の OPM 54.0% は円安の追い風込み（ex-FX 約 52.5%）。② 高 PER・高 β(1.19) で市場全体の調整に弱い。③ 海外 67% で為替感応度が高い。</w:t>
      </w:r>
    </w:p>
    <w:p>
      <w:pPr>
        <w:spacing w:before="60" w:after="40"/>
      </w:pPr>
      <w:r>
        <w:rPr>
          <w:rFonts w:ascii="Hiragino Sans" w:hAnsi="Hiragino Sans" w:eastAsia="Hiragino Sans"/>
          <w:b/>
          <w:color w:val="666666"/>
          <w:sz w:val="14"/>
        </w:rPr>
        <w:t>出所：</w:t>
      </w:r>
      <w:r>
        <w:rPr>
          <w:rFonts w:ascii="Hiragino Sans" w:hAnsi="Hiragino Sans" w:eastAsia="Hiragino Sans"/>
          <w:b w:val="0"/>
          <w:color w:val="666666"/>
          <w:sz w:val="14"/>
        </w:rPr>
        <w:t>J-Quants fins_summary（FY 実績・16 年）／キーエンス IR「ビジネスモデルと強み」（五つの強み・35 万社・7 割）／決算説明資料の地域別構成比（自社モデル 68610 で三重検証済み）／彭博 1FY 予想 P/E（20 年 242 点）／地域別売上は有報「関連情報」（TKS セルサイドモデル経由、19 年分）。従業員数・粗利率は公開情報。株価 2026-08-28 終値。</w:t>
      </w:r>
    </w:p>
    <w:sectPr w:rsidR="00FC693F" w:rsidRPr="0006063C" w:rsidSect="00034616"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Hiragino Sans" w:hAnsi="Hiragino Sans" w:eastAsia="Hiragino Sans"/>
      <w:color w:val="1A1A1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