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00F60" w14:textId="5AB9A395" w:rsidR="00F326B7" w:rsidRPr="00F326B7" w:rsidRDefault="00F326B7" w:rsidP="00F326B7">
      <w:pPr>
        <w:jc w:val="center"/>
        <w:rPr>
          <w:b/>
          <w:bCs/>
          <w:sz w:val="36"/>
          <w:szCs w:val="36"/>
        </w:rPr>
      </w:pPr>
      <w:r>
        <w:rPr>
          <w:b/>
          <w:bCs/>
          <w:sz w:val="36"/>
          <w:szCs w:val="36"/>
        </w:rPr>
        <w:t xml:space="preserve">La semaine en 7 graphiques</w:t>
      </w:r>
    </w:p>
    <w:p w14:paraId="1EEBBE7A" w14:textId="0C36CF34" w:rsidR="00F326B7" w:rsidRPr="00F326B7" w:rsidRDefault="00F326B7" w:rsidP="00F326B7">
      <w:pPr>
        <w:jc w:val="center"/>
        <w:rPr>
          <w:sz w:val="36"/>
          <w:szCs w:val="36"/>
        </w:rPr>
      </w:pPr>
      <w:r>
        <w:rPr>
          <w:sz w:val="36"/>
          <w:szCs w:val="36"/>
        </w:rPr>
        <w:t xml:space="preserve">26 octobre 2026</w:t>
      </w:r>
    </w:p>
    <w:p w14:paraId="68FDBE3B" w14:textId="77777777" w:rsidR="00F326B7" w:rsidRDefault="00F326B7" w:rsidP="00F96FA4">
      <w:pPr>
        <w:rPr>
          <w:sz w:val="24"/>
          <w:szCs w:val="24"/>
        </w:rPr>
      </w:pPr>
    </w:p>
    <w:p w14:paraId="34EEF9DD" w14:textId="24F1F241" w:rsidR="00F326B7" w:rsidRPr="00F72526" w:rsidRDefault="00F326B7" w:rsidP="00F96FA4">
      <w:pPr>
        <w:rPr>
          <w:sz w:val="24"/>
          <w:szCs w:val="24"/>
        </w:rPr>
      </w:pPr>
      <w:r>
        <w:rPr>
          <w:sz w:val="24"/>
          <w:szCs w:val="24"/>
        </w:rPr>
        <w:t>----------------------------------------------------------------------------------------------</w:t>
      </w:r>
    </w:p>
    <w:p w14:paraId="188CBF82" w14:textId="77777777" w:rsidR="00F72526" w:rsidRDefault="00F72526" w:rsidP="00F96FA4">
      <w:pPr>
        <w:rPr>
          <w:sz w:val="24"/>
          <w:szCs w:val="24"/>
        </w:rPr>
      </w:pPr>
    </w:p>
    <w:p w14:paraId="4ACDDF94" w14:textId="3BD06EAD" w:rsidR="00074438" w:rsidRPr="00074438" w:rsidRDefault="00074438" w:rsidP="00074438">
      <w:pPr>
        <w:rPr>
          <w:b/>
          <w:bCs/>
          <w:sz w:val="24"/>
          <w:szCs w:val="24"/>
        </w:rPr>
      </w:pPr>
      <w:r>
        <w:rPr>
          <w:b/>
          <w:bCs/>
          <w:sz w:val="24"/>
          <w:szCs w:val="24"/>
        </w:rPr>
        <w:t xml:space="preserve">Graphique n° 1 : La facture de la dette de l’IA devient un problème pour les valeurs technologiques</w:t>
      </w:r>
    </w:p>
    <w:p w14:paraId="57070270" w14:textId="77777777" w:rsidR="00074438" w:rsidRPr="00074438" w:rsidRDefault="00074438" w:rsidP="00074438">
      <w:pPr>
        <w:rPr>
          <w:b/>
          <w:bCs/>
          <w:sz w:val="24"/>
          <w:szCs w:val="24"/>
        </w:rPr>
      </w:pPr>
    </w:p>
    <w:p w14:paraId="42F55C14" w14:textId="77777777" w:rsidR="00074438" w:rsidRPr="00074438" w:rsidRDefault="00074438" w:rsidP="00074438">
      <w:pPr>
        <w:rPr>
          <w:sz w:val="24"/>
          <w:szCs w:val="24"/>
        </w:rPr>
      </w:pPr>
      <w:r>
        <w:rPr>
          <w:sz w:val="24"/>
          <w:szCs w:val="24"/>
        </w:rPr>
        <w:t xml:space="preserve">Ce graphique suit les credit default swaps (CDS) à cinq ans : le coût de l’assurance contre le défaut de paiement de la dette des entreprises. Des courbes en hausse traduisent une inquiétude croissante quant à leur solvabilité.</w:t>
      </w:r>
    </w:p>
    <w:p w14:paraId="59DA397D" w14:textId="77777777" w:rsidR="00074438" w:rsidRPr="00074438" w:rsidRDefault="00074438" w:rsidP="00074438">
      <w:pPr>
        <w:rPr>
          <w:sz w:val="24"/>
          <w:szCs w:val="24"/>
        </w:rPr>
      </w:pPr>
    </w:p>
    <w:p w14:paraId="23DC6287" w14:textId="77777777" w:rsidR="00074438" w:rsidRPr="00074438" w:rsidRDefault="00074438" w:rsidP="00074438">
      <w:pPr>
        <w:rPr>
          <w:sz w:val="24"/>
          <w:szCs w:val="24"/>
        </w:rPr>
      </w:pPr>
      <w:r>
        <w:rPr>
          <w:sz w:val="24"/>
          <w:szCs w:val="24"/>
        </w:rPr>
        <w:t xml:space="preserve">Le spread d’Oracle approche les 300 points de base, soit environ 300 000 $ par an pour assurer 10 millions de dollars de dette. SpaceX et Broadcom affichent également de fortes hausses.</w:t>
      </w:r>
    </w:p>
    <w:p w14:paraId="58BCA105" w14:textId="77777777" w:rsidR="00074438" w:rsidRPr="00074438" w:rsidRDefault="00074438" w:rsidP="00074438">
      <w:pPr>
        <w:rPr>
          <w:sz w:val="24"/>
          <w:szCs w:val="24"/>
        </w:rPr>
      </w:pPr>
    </w:p>
    <w:p w14:paraId="577A1DB3" w14:textId="29C3FFF7" w:rsidR="00074438" w:rsidRPr="00074438" w:rsidRDefault="00074438" w:rsidP="00074438">
      <w:pPr>
        <w:rPr>
          <w:sz w:val="24"/>
          <w:szCs w:val="24"/>
        </w:rPr>
      </w:pPr>
      <w:r>
        <w:rPr>
          <w:sz w:val="24"/>
          <w:szCs w:val="24"/>
        </w:rPr>
        <w:t xml:space="preserve">Les investisseurs se demandent si les revenus futurs de l’IA justifieront les dépenses colossales engagées aujourd’hui dans les puces, les centres de données et l’énergie.</w:t>
      </w:r>
    </w:p>
    <w:p w14:paraId="02D2308D" w14:textId="77777777" w:rsidR="00074438" w:rsidRPr="00074438" w:rsidRDefault="00074438" w:rsidP="00074438">
      <w:pPr>
        <w:rPr>
          <w:sz w:val="24"/>
          <w:szCs w:val="24"/>
        </w:rPr>
      </w:pPr>
    </w:p>
    <w:p w14:paraId="549D4080" w14:textId="77777777" w:rsidR="00074438" w:rsidRPr="00074438" w:rsidRDefault="00074438" w:rsidP="00074438">
      <w:pPr>
        <w:rPr>
          <w:sz w:val="24"/>
          <w:szCs w:val="24"/>
        </w:rPr>
      </w:pPr>
      <w:r>
        <w:rPr>
          <w:sz w:val="24"/>
          <w:szCs w:val="24"/>
        </w:rPr>
        <w:t xml:space="preserve">Cette incertitude pèse sur les actions par trois canaux :</w:t>
      </w:r>
    </w:p>
    <w:p w14:paraId="400613C0" w14:textId="77777777" w:rsidR="00074438" w:rsidRDefault="00074438" w:rsidP="00074438">
      <w:pPr>
        <w:pStyle w:val="ListParagraph"/>
        <w:numPr>
          <w:ilvl w:val="0"/>
          <w:numId w:val="38"/>
        </w:numPr>
        <w:rPr>
          <w:sz w:val="24"/>
          <w:szCs w:val="24"/>
        </w:rPr>
      </w:pPr>
      <w:r>
        <w:rPr>
          <w:sz w:val="24"/>
          <w:szCs w:val="24"/>
        </w:rPr>
        <w:t xml:space="preserve">Financement : la hausse des coûts d’emprunt réduit le rendement potentiel des investissements.</w:t>
      </w:r>
    </w:p>
    <w:p w14:paraId="2248875F" w14:textId="77777777" w:rsidR="00074438" w:rsidRDefault="00074438" w:rsidP="00074438">
      <w:pPr>
        <w:pStyle w:val="ListParagraph"/>
        <w:numPr>
          <w:ilvl w:val="0"/>
          <w:numId w:val="38"/>
        </w:numPr>
        <w:rPr>
          <w:sz w:val="24"/>
          <w:szCs w:val="24"/>
        </w:rPr>
      </w:pPr>
      <w:r>
        <w:rPr>
          <w:sz w:val="24"/>
          <w:szCs w:val="24"/>
        </w:rPr>
        <w:t xml:space="preserve">Valorisations : les dépenses massives absorbent la trésorerie, tandis que l’incertitude sur les bénéfices incite les investisseurs à appliquer des multiples de résultats plus faibles.</w:t>
      </w:r>
    </w:p>
    <w:p w14:paraId="7E7F499A" w14:textId="5DE7D7A4" w:rsidR="00074438" w:rsidRPr="00074438" w:rsidRDefault="00074438" w:rsidP="00074438">
      <w:pPr>
        <w:pStyle w:val="ListParagraph"/>
        <w:numPr>
          <w:ilvl w:val="0"/>
          <w:numId w:val="38"/>
        </w:numPr>
        <w:rPr>
          <w:sz w:val="24"/>
          <w:szCs w:val="24"/>
        </w:rPr>
      </w:pPr>
      <w:r>
        <w:rPr>
          <w:sz w:val="24"/>
          <w:szCs w:val="24"/>
        </w:rPr>
        <w:t xml:space="preserve">Contagion : les tensions financières chez les opérateurs de cloud pourraient ralentir les commandes adressées aux fabricants de puces et aux fournisseurs d’infrastructures.</w:t>
      </w:r>
    </w:p>
    <w:p w14:paraId="7437A535" w14:textId="77777777" w:rsidR="00074438" w:rsidRPr="00074438" w:rsidRDefault="00074438" w:rsidP="00074438">
      <w:pPr>
        <w:rPr>
          <w:sz w:val="24"/>
          <w:szCs w:val="24"/>
        </w:rPr>
      </w:pPr>
    </w:p>
    <w:p w14:paraId="15C9E3A8" w14:textId="537E045A" w:rsidR="00074438" w:rsidRPr="00074438" w:rsidRDefault="00074438" w:rsidP="00074438">
      <w:pPr>
        <w:rPr>
          <w:sz w:val="24"/>
          <w:szCs w:val="24"/>
        </w:rPr>
      </w:pPr>
      <w:r>
        <w:rPr>
          <w:sz w:val="24"/>
          <w:szCs w:val="24"/>
        </w:rPr>
        <w:t xml:space="preserve">Les leaders de l’IA pesant lourd dans l’indice Nasdaq, ces inquiétudes amplifient les baisses de l’indice.</w:t>
      </w:r>
    </w:p>
    <w:p w14:paraId="7D2F722E" w14:textId="77777777" w:rsidR="00074438" w:rsidRPr="00074438" w:rsidRDefault="00074438" w:rsidP="00074438">
      <w:pPr>
        <w:rPr>
          <w:sz w:val="24"/>
          <w:szCs w:val="24"/>
        </w:rPr>
      </w:pPr>
    </w:p>
    <w:p w14:paraId="239C6C0E" w14:textId="203C39DC" w:rsidR="0076292D" w:rsidRPr="00074438" w:rsidRDefault="00074438" w:rsidP="00074438">
      <w:pPr>
        <w:rPr>
          <w:sz w:val="24"/>
          <w:szCs w:val="24"/>
        </w:rPr>
      </w:pPr>
      <w:r>
        <w:rPr>
          <w:sz w:val="24"/>
          <w:szCs w:val="24"/>
        </w:rPr>
        <w:t xml:space="preserve">La hausse des spreads de CDS reflète l’anxiété du marché et peut la renforcer. Elle ne signifie pas pour autant que des défauts sont imminents et n’explique pas à elle seule la récente vague de ventes.</w:t>
      </w:r>
    </w:p>
    <w:p w14:paraId="70729695" w14:textId="77777777" w:rsidR="00F326B7" w:rsidRDefault="00F326B7" w:rsidP="00F96FA4">
      <w:pPr>
        <w:rPr>
          <w:sz w:val="24"/>
          <w:szCs w:val="24"/>
        </w:rPr>
      </w:pPr>
    </w:p>
    <w:p w14:paraId="16AB052A" w14:textId="25A8D69A" w:rsidR="00F326B7" w:rsidRDefault="0076292D" w:rsidP="00F96FA4">
      <w:pPr>
        <w:rPr>
          <w:sz w:val="24"/>
          <w:szCs w:val="24"/>
        </w:rPr>
      </w:pPr>
      <w:r>
        <w:rPr>
          <w:noProof/>
          <w:sz w:val="24"/>
          <w:szCs w:val="24"/>
        </w:rPr>
        <w:lastRenderedPageBreak/>
        <w:drawing>
          <wp:inline distT="0" distB="0" distL="0" distR="0" wp14:anchorId="5E37917D" wp14:editId="64314393">
            <wp:extent cx="5250180" cy="3956166"/>
            <wp:effectExtent l="0" t="0" r="7620" b="6350"/>
            <wp:docPr id="14014377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1082"/>
                    <a:stretch>
                      <a:fillRect/>
                    </a:stretch>
                  </pic:blipFill>
                  <pic:spPr bwMode="auto">
                    <a:xfrm>
                      <a:off x="0" y="0"/>
                      <a:ext cx="5261110" cy="3964402"/>
                    </a:xfrm>
                    <a:prstGeom prst="rect">
                      <a:avLst/>
                    </a:prstGeom>
                    <a:noFill/>
                    <a:ln>
                      <a:noFill/>
                    </a:ln>
                    <a:extLst>
                      <a:ext uri="{53640926-AAD7-44D8-BBD7-CCE9431645EC}">
                        <a14:shadowObscured xmlns:a14="http://schemas.microsoft.com/office/drawing/2010/main"/>
                      </a:ext>
                    </a:extLst>
                  </pic:spPr>
                </pic:pic>
              </a:graphicData>
            </a:graphic>
          </wp:inline>
        </w:drawing>
      </w:r>
    </w:p>
    <w:p w14:paraId="4F751E84" w14:textId="77777777" w:rsidR="00F326B7" w:rsidRDefault="00F326B7" w:rsidP="00F96FA4">
      <w:pPr>
        <w:rPr>
          <w:sz w:val="24"/>
          <w:szCs w:val="24"/>
        </w:rPr>
      </w:pPr>
    </w:p>
    <w:p w14:paraId="28A18CFE" w14:textId="3C3AD36B" w:rsidR="0076292D" w:rsidRDefault="0076292D" w:rsidP="00F96FA4">
      <w:pPr>
        <w:rPr>
          <w:sz w:val="24"/>
          <w:szCs w:val="24"/>
        </w:rPr>
      </w:pPr>
      <w:r>
        <w:rPr>
          <w:sz w:val="24"/>
          <w:szCs w:val="24"/>
        </w:rPr>
        <w:t xml:space="preserve">Source : Bloomberg</w:t>
      </w:r>
    </w:p>
    <w:p w14:paraId="29F51E6B" w14:textId="77777777" w:rsidR="0076292D" w:rsidRDefault="0076292D" w:rsidP="00F96FA4">
      <w:pPr>
        <w:rPr>
          <w:sz w:val="24"/>
          <w:szCs w:val="24"/>
        </w:rPr>
      </w:pPr>
    </w:p>
    <w:p w14:paraId="626B8122" w14:textId="77777777" w:rsidR="00F326B7" w:rsidRDefault="00F326B7" w:rsidP="00F96FA4">
      <w:pPr>
        <w:rPr>
          <w:sz w:val="24"/>
          <w:szCs w:val="24"/>
        </w:rPr>
      </w:pPr>
    </w:p>
    <w:p w14:paraId="7F4CAF68" w14:textId="77777777" w:rsidR="00F326B7" w:rsidRDefault="00F326B7" w:rsidP="00F96FA4">
      <w:pPr>
        <w:rPr>
          <w:sz w:val="24"/>
          <w:szCs w:val="24"/>
        </w:rPr>
      </w:pPr>
    </w:p>
    <w:p w14:paraId="75B09912" w14:textId="4632B57E" w:rsidR="00F72526" w:rsidRPr="00F72526" w:rsidRDefault="00F72526" w:rsidP="00F96FA4">
      <w:pPr>
        <w:rPr>
          <w:b/>
          <w:bCs/>
          <w:sz w:val="24"/>
          <w:szCs w:val="24"/>
        </w:rPr>
      </w:pPr>
      <w:r>
        <w:rPr>
          <w:b/>
          <w:bCs/>
          <w:sz w:val="24"/>
          <w:szCs w:val="24"/>
        </w:rPr>
        <w:t xml:space="preserve">Graphique n° 2 : Le plus grand fonds souverain du monde enregistre une perte de 30 milliards de dollars après les turbulences sur le marché obligataire</w:t>
      </w:r>
    </w:p>
    <w:p w14:paraId="3253A7E1" w14:textId="77777777" w:rsidR="00F72526" w:rsidRDefault="00F72526" w:rsidP="00F96FA4">
      <w:pPr>
        <w:rPr>
          <w:sz w:val="24"/>
          <w:szCs w:val="24"/>
        </w:rPr>
      </w:pPr>
    </w:p>
    <w:p w14:paraId="2F5E1215" w14:textId="77777777" w:rsidR="00F72526" w:rsidRPr="00F72526" w:rsidRDefault="00F72526" w:rsidP="00F72526">
      <w:pPr>
        <w:rPr>
          <w:sz w:val="24"/>
          <w:szCs w:val="24"/>
        </w:rPr>
      </w:pPr>
      <w:r>
        <w:rPr>
          <w:sz w:val="24"/>
          <w:szCs w:val="24"/>
        </w:rPr>
        <w:t xml:space="preserve">Malgré des gains sur les actions, </w:t>
      </w:r>
      <w:r>
        <w:rPr>
          <w:b/>
          <w:bCs/>
          <w:sz w:val="24"/>
          <w:szCs w:val="24"/>
        </w:rPr>
        <w:t xml:space="preserve">le fonds souverain norvégien a enregistré une perte de 30 milliards de dollars</w:t>
      </w:r>
      <w:r>
        <w:rPr>
          <w:sz w:val="24"/>
          <w:szCs w:val="24"/>
        </w:rPr>
        <w:t xml:space="preserve"> au troisième trimestre, en raison du repli des obligations et de la vigueur de la couronne norvégienne.</w:t>
      </w:r>
    </w:p>
    <w:p w14:paraId="46E88CD7" w14:textId="77777777" w:rsidR="00F72526" w:rsidRPr="00F72526" w:rsidRDefault="00F72526" w:rsidP="00F72526">
      <w:pPr>
        <w:rPr>
          <w:sz w:val="24"/>
          <w:szCs w:val="24"/>
        </w:rPr>
      </w:pPr>
    </w:p>
    <w:p w14:paraId="666FC411" w14:textId="77777777" w:rsidR="00F72526" w:rsidRPr="00F72526" w:rsidRDefault="00F72526" w:rsidP="00F72526">
      <w:pPr>
        <w:rPr>
          <w:sz w:val="24"/>
          <w:szCs w:val="24"/>
        </w:rPr>
      </w:pPr>
      <w:r>
        <w:rPr>
          <w:rFonts w:ascii="Segoe UI Emoji" w:hAnsi="Segoe UI Emoji" w:cs="Segoe UI Emoji"/>
          <w:sz w:val="24"/>
          <w:szCs w:val="24"/>
        </w:rPr>
        <w:t>📉</w:t>
      </w:r>
      <w:r>
        <w:rPr>
          <w:sz w:val="24"/>
          <w:szCs w:val="24"/>
        </w:rPr>
        <w:t xml:space="preserve"> Le plus grand fonds souverain du monde a annoncé une perte de 278 milliards de couronnes norvégiennes au troisième trimestre, la hausse des taux d’intérêt ayant pesé sur ses placements obligataires.</w:t>
      </w:r>
    </w:p>
    <w:p w14:paraId="68C1AD58" w14:textId="77777777" w:rsidR="00F72526" w:rsidRPr="00F72526" w:rsidRDefault="00F72526" w:rsidP="00F72526">
      <w:pPr>
        <w:rPr>
          <w:sz w:val="24"/>
          <w:szCs w:val="24"/>
        </w:rPr>
      </w:pPr>
    </w:p>
    <w:p w14:paraId="167D31FF" w14:textId="77777777" w:rsidR="00F72526" w:rsidRPr="00F72526" w:rsidRDefault="00F72526" w:rsidP="00F72526">
      <w:pPr>
        <w:rPr>
          <w:sz w:val="24"/>
          <w:szCs w:val="24"/>
        </w:rPr>
      </w:pPr>
      <w:r>
        <w:rPr>
          <w:sz w:val="24"/>
          <w:szCs w:val="24"/>
        </w:rPr>
        <w:t xml:space="preserve">Avec un portefeuille évalué à environ 2 300 milliards de dollars, ces résultats montrent à quel point les mouvements du marché obligataire peuvent ébranler même les plus grands investisseurs institutionnels du monde.</w:t>
      </w:r>
    </w:p>
    <w:p w14:paraId="5BF3B52A" w14:textId="77777777" w:rsidR="00F72526" w:rsidRPr="00F72526" w:rsidRDefault="00F72526" w:rsidP="00F72526">
      <w:pPr>
        <w:rPr>
          <w:sz w:val="24"/>
          <w:szCs w:val="24"/>
        </w:rPr>
      </w:pPr>
    </w:p>
    <w:p w14:paraId="2F79E892" w14:textId="5D8B20B7" w:rsidR="00F72526" w:rsidRDefault="00EA6ED3" w:rsidP="00F72526">
      <w:pPr>
        <w:rPr>
          <w:sz w:val="24"/>
          <w:szCs w:val="24"/>
        </w:rPr>
      </w:pPr>
      <w:r>
        <w:lastRenderedPageBreak/>
        <w:drawing>
          <wp:inline distT="0" distB="0" distL="0" distR="0" wp14:anchorId="3D72F681" wp14:editId="1E3C8505">
            <wp:extent cx="5036820" cy="3002338"/>
            <wp:effectExtent l="0" t="0" r="0" b="7620"/>
            <wp:docPr id="93261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10187" name=""/>
                    <pic:cNvPicPr/>
                  </pic:nvPicPr>
                  <pic:blipFill>
                    <a:blip r:embed="rId13"/>
                    <a:stretch>
                      <a:fillRect/>
                    </a:stretch>
                  </pic:blipFill>
                  <pic:spPr>
                    <a:xfrm>
                      <a:off x="0" y="0"/>
                      <a:ext cx="5038764" cy="3003497"/>
                    </a:xfrm>
                    <a:prstGeom prst="rect">
                      <a:avLst/>
                    </a:prstGeom>
                  </pic:spPr>
                </pic:pic>
              </a:graphicData>
            </a:graphic>
          </wp:inline>
        </w:drawing>
      </w:r>
    </w:p>
    <w:p w14:paraId="01A72756" w14:textId="77777777" w:rsidR="00F72526" w:rsidRDefault="00F72526" w:rsidP="00F72526">
      <w:pPr>
        <w:rPr>
          <w:sz w:val="24"/>
          <w:szCs w:val="24"/>
        </w:rPr>
      </w:pPr>
    </w:p>
    <w:p w14:paraId="368BCBC5" w14:textId="664EE7B3" w:rsidR="00F72526" w:rsidRDefault="00F72526" w:rsidP="00F72526">
      <w:pPr>
        <w:rPr>
          <w:sz w:val="24"/>
          <w:szCs w:val="24"/>
        </w:rPr>
      </w:pPr>
      <w:r>
        <w:rPr>
          <w:sz w:val="24"/>
          <w:szCs w:val="24"/>
        </w:rPr>
        <w:t xml:space="preserve">Source : AInvest Wire</w:t>
      </w:r>
    </w:p>
    <w:p w14:paraId="3E81CCE1" w14:textId="77777777" w:rsidR="00F72526" w:rsidRDefault="00F72526" w:rsidP="00F96FA4">
      <w:pPr>
        <w:rPr>
          <w:sz w:val="24"/>
          <w:szCs w:val="24"/>
        </w:rPr>
      </w:pPr>
    </w:p>
    <w:p w14:paraId="7101ACC4" w14:textId="77777777" w:rsidR="00EA6ED3" w:rsidRDefault="00EA6ED3" w:rsidP="005D64BB">
      <w:pPr>
        <w:rPr>
          <w:b/>
          <w:bCs/>
          <w:sz w:val="24"/>
          <w:szCs w:val="24"/>
        </w:rPr>
      </w:pPr>
    </w:p>
    <w:p w14:paraId="0F526644" w14:textId="12C7E51D" w:rsidR="005D64BB" w:rsidRPr="002B6F98" w:rsidRDefault="002B6F98" w:rsidP="005D64BB">
      <w:pPr>
        <w:rPr>
          <w:b/>
          <w:bCs/>
          <w:sz w:val="24"/>
          <w:szCs w:val="24"/>
        </w:rPr>
      </w:pPr>
      <w:r>
        <w:rPr>
          <w:b/>
          <w:bCs/>
          <w:sz w:val="24"/>
          <w:szCs w:val="24"/>
        </w:rPr>
        <w:t xml:space="preserve">Graphique n° 3 : Le problème de la dette française n’a pas de responsable politique unique</w:t>
      </w:r>
    </w:p>
    <w:p w14:paraId="6729F001" w14:textId="77777777" w:rsidR="005D64BB" w:rsidRPr="005D64BB" w:rsidRDefault="005D64BB" w:rsidP="005D64BB">
      <w:pPr>
        <w:rPr>
          <w:sz w:val="24"/>
          <w:szCs w:val="24"/>
        </w:rPr>
      </w:pPr>
    </w:p>
    <w:p w14:paraId="4EE94422" w14:textId="77777777" w:rsidR="005D64BB" w:rsidRPr="005D64BB" w:rsidRDefault="005D64BB" w:rsidP="005D64BB">
      <w:pPr>
        <w:rPr>
          <w:sz w:val="24"/>
          <w:szCs w:val="24"/>
        </w:rPr>
      </w:pPr>
      <w:r>
        <w:rPr>
          <w:sz w:val="24"/>
          <w:szCs w:val="24"/>
        </w:rPr>
        <w:t xml:space="preserve">Des décennies de dérapages budgétaires ont poussé la dette vers 120 % du PIB.</w:t>
      </w:r>
    </w:p>
    <w:p w14:paraId="65E7AA29" w14:textId="77777777" w:rsidR="005D64BB" w:rsidRPr="005D64BB" w:rsidRDefault="005D64BB" w:rsidP="005D64BB">
      <w:pPr>
        <w:rPr>
          <w:sz w:val="24"/>
          <w:szCs w:val="24"/>
        </w:rPr>
      </w:pPr>
    </w:p>
    <w:p w14:paraId="42B95D4E" w14:textId="1B6E4EB5" w:rsidR="005D64BB" w:rsidRPr="005D64BB" w:rsidRDefault="005D64BB" w:rsidP="0076292D">
      <w:pPr>
        <w:rPr>
          <w:rFonts w:hint="eastAsia"/>
          <w:sz w:val="24"/>
          <w:szCs w:val="24"/>
        </w:rPr>
      </w:pPr>
      <w:r>
        <w:rPr>
          <w:sz w:val="24"/>
          <w:szCs w:val="24"/>
        </w:rPr>
        <w:t xml:space="preserve">Désormais, l’arithmétique se resserre : </w:t>
      </w:r>
      <w:r>
        <w:rPr>
          <w:rFonts w:hint="eastAsia"/>
          <w:sz w:val="24"/>
          <w:szCs w:val="24"/>
        </w:rPr>
        <w:t xml:space="preserve">hausse des taux → hausse de la charge d’intérêts → creusement des déficits → alourdissement de la dette.</w:t>
      </w:r>
    </w:p>
    <w:p w14:paraId="5C3D4A42" w14:textId="77777777" w:rsidR="005D64BB" w:rsidRPr="005D64BB" w:rsidRDefault="005D64BB" w:rsidP="005D64BB">
      <w:pPr>
        <w:rPr>
          <w:sz w:val="24"/>
          <w:szCs w:val="24"/>
        </w:rPr>
      </w:pPr>
    </w:p>
    <w:p w14:paraId="2DF8BB5A" w14:textId="75AC913B" w:rsidR="005D64BB" w:rsidRPr="005D64BB" w:rsidRDefault="005D64BB" w:rsidP="0076292D">
      <w:pPr>
        <w:rPr>
          <w:sz w:val="24"/>
          <w:szCs w:val="24"/>
        </w:rPr>
      </w:pPr>
      <w:r>
        <w:rPr>
          <w:sz w:val="24"/>
          <w:szCs w:val="24"/>
        </w:rPr>
        <w:t xml:space="preserve">Une croissance modeste rend ce cercle plus difficile à briser. Les réformes se heurtent à une résistance farouche. L’instabilité politique complique tout assainissement durable.</w:t>
      </w:r>
    </w:p>
    <w:p w14:paraId="3A383487" w14:textId="77777777" w:rsidR="005D64BB" w:rsidRPr="005D64BB" w:rsidRDefault="005D64BB" w:rsidP="005D64BB">
      <w:pPr>
        <w:rPr>
          <w:sz w:val="24"/>
          <w:szCs w:val="24"/>
        </w:rPr>
      </w:pPr>
    </w:p>
    <w:p w14:paraId="1943E7CD" w14:textId="77777777" w:rsidR="005D64BB" w:rsidRPr="005D64BB" w:rsidRDefault="005D64BB" w:rsidP="005D64BB">
      <w:pPr>
        <w:rPr>
          <w:sz w:val="24"/>
          <w:szCs w:val="24"/>
        </w:rPr>
      </w:pPr>
      <w:r>
        <w:rPr>
          <w:sz w:val="24"/>
          <w:szCs w:val="24"/>
        </w:rPr>
        <w:t xml:space="preserve">Le modèle économique français est soumis à une épreuve plus rude à mesure que les coûts d’emprunt augmentent et que la dette s’accumule.</w:t>
      </w:r>
    </w:p>
    <w:p w14:paraId="5D206542" w14:textId="77777777" w:rsidR="005D64BB" w:rsidRPr="005D64BB" w:rsidRDefault="005D64BB" w:rsidP="005D64BB">
      <w:pPr>
        <w:rPr>
          <w:sz w:val="24"/>
          <w:szCs w:val="24"/>
        </w:rPr>
      </w:pPr>
    </w:p>
    <w:p w14:paraId="009FF25D" w14:textId="0D1A2FC1" w:rsidR="00F72526" w:rsidRDefault="005D64BB" w:rsidP="002B6F98">
      <w:pPr>
        <w:rPr>
          <w:sz w:val="24"/>
          <w:szCs w:val="24"/>
        </w:rPr>
      </w:pPr>
      <w:r>
        <w:rPr>
          <w:sz w:val="24"/>
          <w:szCs w:val="24"/>
        </w:rPr>
        <w:t xml:space="preserve">La question dépasse Paris : la France peut-elle assainir ses finances avant que la pression des marchés ne transforme un problème budgétaire national en crise de la zone euro ?</w:t>
      </w:r>
    </w:p>
    <w:p w14:paraId="243A865B" w14:textId="77777777" w:rsidR="005D64BB" w:rsidRDefault="005D64BB" w:rsidP="004933F9">
      <w:pPr>
        <w:rPr>
          <w:b/>
          <w:bCs/>
          <w:sz w:val="24"/>
          <w:szCs w:val="24"/>
        </w:rPr>
      </w:pPr>
    </w:p>
    <w:p w14:paraId="5893A034" w14:textId="14E288BF" w:rsidR="002B6F98" w:rsidRDefault="00C44611" w:rsidP="004933F9">
      <w:pPr>
        <w:rPr>
          <w:b/>
          <w:bCs/>
          <w:sz w:val="24"/>
          <w:szCs w:val="24"/>
        </w:rPr>
      </w:pPr>
      <w:r>
        <w:rPr>
          <w:noProof/>
        </w:rPr>
        <w:lastRenderedPageBreak/>
        <w:drawing>
          <wp:inline distT="0" distB="0" distL="0" distR="0" wp14:anchorId="3EBFE447" wp14:editId="6B530038">
            <wp:extent cx="6120130" cy="3370580"/>
            <wp:effectExtent l="0" t="0" r="0" b="1270"/>
            <wp:docPr id="284770361" name="Picture 4"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iew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3370580"/>
                    </a:xfrm>
                    <a:prstGeom prst="rect">
                      <a:avLst/>
                    </a:prstGeom>
                    <a:noFill/>
                    <a:ln>
                      <a:noFill/>
                    </a:ln>
                  </pic:spPr>
                </pic:pic>
              </a:graphicData>
            </a:graphic>
          </wp:inline>
        </w:drawing>
      </w:r>
    </w:p>
    <w:p w14:paraId="6DB24CF4" w14:textId="77777777" w:rsidR="002B6F98" w:rsidRDefault="002B6F98" w:rsidP="004933F9">
      <w:pPr>
        <w:rPr>
          <w:b/>
          <w:bCs/>
          <w:sz w:val="24"/>
          <w:szCs w:val="24"/>
        </w:rPr>
      </w:pPr>
    </w:p>
    <w:p w14:paraId="66F71A4D" w14:textId="4256822C" w:rsidR="002B6F98" w:rsidRPr="00C44611" w:rsidRDefault="002B6F98" w:rsidP="004933F9">
      <w:pPr>
        <w:rPr>
          <w:sz w:val="24"/>
          <w:szCs w:val="24"/>
          <w:lang w:val="fr-FR"/>
        </w:rPr>
      </w:pPr>
      <w:r>
        <w:rPr>
          <w:sz w:val="24"/>
          <w:szCs w:val="24"/>
          <w:lang w:val="fr-FR"/>
        </w:rPr>
        <w:t xml:space="preserve">Source : Michel A. Arouet, INSEE</w:t>
      </w:r>
    </w:p>
    <w:p w14:paraId="00B066E8" w14:textId="77777777" w:rsidR="005D64BB" w:rsidRPr="00C44611" w:rsidRDefault="005D64BB" w:rsidP="004933F9">
      <w:pPr>
        <w:rPr>
          <w:b/>
          <w:bCs/>
          <w:sz w:val="24"/>
          <w:szCs w:val="24"/>
          <w:lang w:val="fr-FR"/>
        </w:rPr>
      </w:pPr>
    </w:p>
    <w:p w14:paraId="4CBA4037" w14:textId="77777777" w:rsidR="00C44611" w:rsidRPr="00C44611" w:rsidRDefault="00C44611" w:rsidP="004933F9">
      <w:pPr>
        <w:rPr>
          <w:b/>
          <w:bCs/>
          <w:sz w:val="24"/>
          <w:szCs w:val="24"/>
          <w:lang w:val="fr-FR"/>
        </w:rPr>
      </w:pPr>
    </w:p>
    <w:p w14:paraId="66BDB6B3" w14:textId="77777777" w:rsidR="005D64BB" w:rsidRPr="00C44611" w:rsidRDefault="005D64BB" w:rsidP="004933F9">
      <w:pPr>
        <w:rPr>
          <w:b/>
          <w:bCs/>
          <w:sz w:val="24"/>
          <w:szCs w:val="24"/>
          <w:lang w:val="fr-FR"/>
        </w:rPr>
      </w:pPr>
    </w:p>
    <w:p w14:paraId="7911E463" w14:textId="19AD4A47" w:rsidR="004933F9" w:rsidRPr="004933F9" w:rsidRDefault="00F326B7" w:rsidP="004933F9">
      <w:pPr>
        <w:rPr>
          <w:b/>
          <w:bCs/>
          <w:sz w:val="24"/>
          <w:szCs w:val="24"/>
        </w:rPr>
      </w:pPr>
      <w:r>
        <w:rPr>
          <w:b/>
          <w:bCs/>
          <w:sz w:val="24"/>
          <w:szCs w:val="24"/>
        </w:rPr>
        <w:t xml:space="preserve">Graphique n° 4 : Le problème budgétaire de la France devient un problème de bénéfices pour les entreprises</w:t>
      </w:r>
    </w:p>
    <w:p w14:paraId="3E73A8AB" w14:textId="77777777" w:rsidR="004933F9" w:rsidRPr="004933F9" w:rsidRDefault="004933F9" w:rsidP="004933F9">
      <w:pPr>
        <w:rPr>
          <w:sz w:val="24"/>
          <w:szCs w:val="24"/>
        </w:rPr>
      </w:pPr>
    </w:p>
    <w:p w14:paraId="761A87F4" w14:textId="0AFECDAE" w:rsidR="004933F9" w:rsidRPr="004933F9" w:rsidRDefault="004933F9" w:rsidP="004933F9">
      <w:pPr>
        <w:rPr>
          <w:sz w:val="24"/>
          <w:szCs w:val="24"/>
        </w:rPr>
      </w:pPr>
      <w:r>
        <w:rPr>
          <w:sz w:val="24"/>
          <w:szCs w:val="24"/>
        </w:rPr>
        <w:t xml:space="preserve">Mercredi, l’action Carrefour aurait chuté de plus de 13 % après une révision à la baisse de ses prévisions, le groupe avertissant que les pillages et les perturbations dans ses magasins pourraient lui coûter entre 80 et 200 millions d’euros de résultat opérationnel.</w:t>
      </w:r>
    </w:p>
    <w:p w14:paraId="72DE81B1" w14:textId="77777777" w:rsidR="004933F9" w:rsidRPr="004933F9" w:rsidRDefault="004933F9" w:rsidP="004933F9">
      <w:pPr>
        <w:rPr>
          <w:sz w:val="24"/>
          <w:szCs w:val="24"/>
        </w:rPr>
      </w:pPr>
    </w:p>
    <w:p w14:paraId="5D224C6C" w14:textId="77777777" w:rsidR="004933F9" w:rsidRPr="004933F9" w:rsidRDefault="004933F9" w:rsidP="004933F9">
      <w:pPr>
        <w:rPr>
          <w:sz w:val="24"/>
          <w:szCs w:val="24"/>
        </w:rPr>
      </w:pPr>
      <w:r>
        <w:rPr>
          <w:sz w:val="24"/>
          <w:szCs w:val="24"/>
        </w:rPr>
        <w:t xml:space="preserve">Mais les dégâts ne se limitent pas aux supermarchés.</w:t>
      </w:r>
    </w:p>
    <w:p w14:paraId="07DAC572" w14:textId="77777777" w:rsidR="004933F9" w:rsidRPr="004933F9" w:rsidRDefault="004933F9" w:rsidP="004933F9">
      <w:pPr>
        <w:rPr>
          <w:sz w:val="24"/>
          <w:szCs w:val="24"/>
        </w:rPr>
      </w:pPr>
      <w:r>
        <w:rPr>
          <w:sz w:val="24"/>
          <w:szCs w:val="24"/>
        </w:rPr>
        <w:t xml:space="preserve">Une dette proche de 119 % du PIB.</w:t>
      </w:r>
    </w:p>
    <w:p w14:paraId="6ED563B4" w14:textId="77777777" w:rsidR="004933F9" w:rsidRPr="004933F9" w:rsidRDefault="004933F9" w:rsidP="004933F9">
      <w:pPr>
        <w:rPr>
          <w:sz w:val="24"/>
          <w:szCs w:val="24"/>
        </w:rPr>
      </w:pPr>
      <w:r>
        <w:rPr>
          <w:sz w:val="24"/>
          <w:szCs w:val="24"/>
        </w:rPr>
        <w:t xml:space="preserve">Un déficit supérieur à 5 %.</w:t>
      </w:r>
    </w:p>
    <w:p w14:paraId="0B5EE090" w14:textId="77777777" w:rsidR="004933F9" w:rsidRPr="004933F9" w:rsidRDefault="004933F9" w:rsidP="004933F9">
      <w:pPr>
        <w:rPr>
          <w:sz w:val="24"/>
          <w:szCs w:val="24"/>
        </w:rPr>
      </w:pPr>
      <w:r>
        <w:rPr>
          <w:sz w:val="24"/>
          <w:szCs w:val="24"/>
        </w:rPr>
        <w:t xml:space="preserve">Des dépenses publiques d’environ 57 % du PIB.</w:t>
      </w:r>
    </w:p>
    <w:p w14:paraId="51D9A4A4" w14:textId="77777777" w:rsidR="004933F9" w:rsidRPr="004933F9" w:rsidRDefault="004933F9" w:rsidP="004933F9">
      <w:pPr>
        <w:rPr>
          <w:sz w:val="24"/>
          <w:szCs w:val="24"/>
        </w:rPr>
      </w:pPr>
    </w:p>
    <w:p w14:paraId="258E077D" w14:textId="77777777" w:rsidR="004933F9" w:rsidRPr="004933F9" w:rsidRDefault="004933F9" w:rsidP="004933F9">
      <w:pPr>
        <w:rPr>
          <w:sz w:val="24"/>
          <w:szCs w:val="24"/>
        </w:rPr>
      </w:pPr>
      <w:r>
        <w:rPr>
          <w:sz w:val="24"/>
          <w:szCs w:val="24"/>
        </w:rPr>
        <w:t xml:space="preserve">Ajoutez à cela des troubles qui entament la confiance, perturbent les entreprises et menacent les recettes fiscales.</w:t>
      </w:r>
    </w:p>
    <w:p w14:paraId="54C20D11" w14:textId="77777777" w:rsidR="004933F9" w:rsidRPr="004933F9" w:rsidRDefault="004933F9" w:rsidP="004933F9">
      <w:pPr>
        <w:rPr>
          <w:sz w:val="24"/>
          <w:szCs w:val="24"/>
        </w:rPr>
      </w:pPr>
    </w:p>
    <w:p w14:paraId="337C2A08" w14:textId="77777777" w:rsidR="004933F9" w:rsidRPr="004933F9" w:rsidRDefault="004933F9" w:rsidP="004933F9">
      <w:pPr>
        <w:rPr>
          <w:sz w:val="24"/>
          <w:szCs w:val="24"/>
        </w:rPr>
      </w:pPr>
      <w:r>
        <w:rPr>
          <w:sz w:val="24"/>
          <w:szCs w:val="24"/>
        </w:rPr>
        <w:t xml:space="preserve">Le cercle vicieux se resserre :</w:t>
      </w:r>
    </w:p>
    <w:p w14:paraId="3D653B1D" w14:textId="77777777" w:rsidR="004933F9" w:rsidRPr="004933F9" w:rsidRDefault="004933F9" w:rsidP="004933F9">
      <w:pPr>
        <w:rPr>
          <w:rFonts w:hint="eastAsia"/>
          <w:sz w:val="24"/>
          <w:szCs w:val="24"/>
        </w:rPr>
      </w:pPr>
      <w:r>
        <w:rPr>
          <w:rFonts w:hint="eastAsia"/>
          <w:sz w:val="24"/>
          <w:szCs w:val="24"/>
        </w:rPr>
        <w:t xml:space="preserve">→ Des déficits persistants exigent davantage d’emprunts.</w:t>
      </w:r>
    </w:p>
    <w:p w14:paraId="6F99A8F0" w14:textId="77777777" w:rsidR="004933F9" w:rsidRPr="004933F9" w:rsidRDefault="004933F9" w:rsidP="004933F9">
      <w:pPr>
        <w:rPr>
          <w:rFonts w:hint="eastAsia"/>
          <w:sz w:val="24"/>
          <w:szCs w:val="24"/>
        </w:rPr>
      </w:pPr>
      <w:r>
        <w:rPr>
          <w:rFonts w:hint="eastAsia"/>
          <w:sz w:val="24"/>
          <w:szCs w:val="24"/>
        </w:rPr>
        <w:t xml:space="preserve">→ La hausse des taux alourdit la charge d’intérêts.</w:t>
      </w:r>
    </w:p>
    <w:p w14:paraId="74F3047B" w14:textId="77777777" w:rsidR="004933F9" w:rsidRPr="004933F9" w:rsidRDefault="004933F9" w:rsidP="004933F9">
      <w:pPr>
        <w:rPr>
          <w:rFonts w:hint="eastAsia"/>
          <w:sz w:val="24"/>
          <w:szCs w:val="24"/>
        </w:rPr>
      </w:pPr>
      <w:r>
        <w:rPr>
          <w:rFonts w:hint="eastAsia"/>
          <w:sz w:val="24"/>
          <w:szCs w:val="24"/>
        </w:rPr>
        <w:t xml:space="preserve">→ La faiblesse de la croissance complique l’assainissement.</w:t>
      </w:r>
    </w:p>
    <w:p w14:paraId="29FFE848" w14:textId="77777777" w:rsidR="004933F9" w:rsidRPr="004933F9" w:rsidRDefault="004933F9" w:rsidP="004933F9">
      <w:pPr>
        <w:rPr>
          <w:rFonts w:hint="eastAsia"/>
          <w:sz w:val="24"/>
          <w:szCs w:val="24"/>
        </w:rPr>
      </w:pPr>
      <w:r>
        <w:rPr>
          <w:rFonts w:hint="eastAsia"/>
          <w:sz w:val="24"/>
          <w:szCs w:val="24"/>
        </w:rPr>
        <w:t xml:space="preserve">→ Les résistances politiques rendent les réformes plus difficiles.</w:t>
      </w:r>
    </w:p>
    <w:p w14:paraId="597EE6E6" w14:textId="77777777" w:rsidR="004933F9" w:rsidRPr="004933F9" w:rsidRDefault="004933F9" w:rsidP="004933F9">
      <w:pPr>
        <w:rPr>
          <w:sz w:val="24"/>
          <w:szCs w:val="24"/>
        </w:rPr>
      </w:pPr>
    </w:p>
    <w:p w14:paraId="746CF01A" w14:textId="77777777" w:rsidR="004933F9" w:rsidRPr="004933F9" w:rsidRDefault="004933F9" w:rsidP="004933F9">
      <w:pPr>
        <w:rPr>
          <w:sz w:val="24"/>
          <w:szCs w:val="24"/>
        </w:rPr>
      </w:pPr>
      <w:r>
        <w:rPr>
          <w:sz w:val="24"/>
          <w:szCs w:val="24"/>
        </w:rPr>
        <w:t xml:space="preserve">La France ne se dirige pas inévitablement vers une crise de la dette. Mais repousser les décisions difficiles ne fait qu’en alourdir le coût final.</w:t>
      </w:r>
    </w:p>
    <w:p w14:paraId="1243FA87" w14:textId="77777777" w:rsidR="004933F9" w:rsidRPr="004933F9" w:rsidRDefault="004933F9" w:rsidP="004933F9">
      <w:pPr>
        <w:rPr>
          <w:sz w:val="24"/>
          <w:szCs w:val="24"/>
        </w:rPr>
      </w:pPr>
    </w:p>
    <w:p w14:paraId="54EEC1DE" w14:textId="77777777" w:rsidR="004933F9" w:rsidRDefault="004933F9" w:rsidP="004933F9">
      <w:pPr>
        <w:rPr>
          <w:sz w:val="24"/>
          <w:szCs w:val="24"/>
        </w:rPr>
      </w:pPr>
      <w:r>
        <w:rPr>
          <w:sz w:val="24"/>
          <w:szCs w:val="24"/>
        </w:rPr>
        <w:t xml:space="preserve">Le risque pour l’Europe ? Un choc budgétaire français mettrait la zone euro à l’épreuve à une échelle que la Grèce n’a jamais pu atteindre.</w:t>
      </w:r>
    </w:p>
    <w:p w14:paraId="6D6D8492" w14:textId="77777777" w:rsidR="004933F9" w:rsidRDefault="004933F9" w:rsidP="004933F9">
      <w:pPr>
        <w:rPr>
          <w:sz w:val="24"/>
          <w:szCs w:val="24"/>
        </w:rPr>
      </w:pPr>
    </w:p>
    <w:p w14:paraId="63B592FF" w14:textId="7AEA6DDD" w:rsidR="004933F9" w:rsidRPr="004933F9" w:rsidRDefault="002A1C9A" w:rsidP="004933F9">
      <w:pPr>
        <w:rPr>
          <w:sz w:val="24"/>
          <w:szCs w:val="24"/>
        </w:rPr>
      </w:pPr>
      <w:r>
        <w:rPr>
          <w:sz w:val="24"/>
          <w:szCs w:val="24"/>
        </w:rPr>
        <w:lastRenderedPageBreak/>
        <w:drawing>
          <wp:inline distT="0" distB="0" distL="0" distR="0" wp14:anchorId="0E85A3B6" wp14:editId="69FC7064">
            <wp:extent cx="5067300" cy="3212544"/>
            <wp:effectExtent l="0" t="0" r="0" b="6985"/>
            <wp:docPr id="164563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39029" name=""/>
                    <pic:cNvPicPr/>
                  </pic:nvPicPr>
                  <pic:blipFill>
                    <a:blip r:embed="rId15"/>
                    <a:stretch>
                      <a:fillRect/>
                    </a:stretch>
                  </pic:blipFill>
                  <pic:spPr>
                    <a:xfrm>
                      <a:off x="0" y="0"/>
                      <a:ext cx="5071109" cy="3214959"/>
                    </a:xfrm>
                    <a:prstGeom prst="rect">
                      <a:avLst/>
                    </a:prstGeom>
                  </pic:spPr>
                </pic:pic>
              </a:graphicData>
            </a:graphic>
          </wp:inline>
        </w:drawing>
      </w:r>
    </w:p>
    <w:p w14:paraId="66903DA9" w14:textId="77777777" w:rsidR="004933F9" w:rsidRPr="004933F9" w:rsidRDefault="004933F9" w:rsidP="004933F9">
      <w:pPr>
        <w:rPr>
          <w:sz w:val="24"/>
          <w:szCs w:val="24"/>
        </w:rPr>
      </w:pPr>
    </w:p>
    <w:p w14:paraId="16764EBD" w14:textId="469A5855" w:rsidR="00F326B7" w:rsidRDefault="004933F9" w:rsidP="004933F9">
      <w:pPr>
        <w:rPr>
          <w:sz w:val="24"/>
          <w:szCs w:val="24"/>
        </w:rPr>
      </w:pPr>
      <w:r>
        <w:rPr>
          <w:sz w:val="24"/>
          <w:szCs w:val="24"/>
        </w:rPr>
        <w:t xml:space="preserve">Source : Michel A. Arouet</w:t>
      </w:r>
    </w:p>
    <w:p w14:paraId="08DBF907" w14:textId="77777777" w:rsidR="00F72526" w:rsidRDefault="00F72526" w:rsidP="00F96FA4">
      <w:pPr>
        <w:rPr>
          <w:sz w:val="24"/>
          <w:szCs w:val="24"/>
        </w:rPr>
      </w:pPr>
    </w:p>
    <w:p w14:paraId="3F009FD1" w14:textId="77777777" w:rsidR="00F72526" w:rsidRDefault="00F72526" w:rsidP="00F96FA4">
      <w:pPr>
        <w:rPr>
          <w:sz w:val="24"/>
          <w:szCs w:val="24"/>
        </w:rPr>
      </w:pPr>
    </w:p>
    <w:p w14:paraId="6E04C259" w14:textId="280736DF" w:rsidR="00F72526" w:rsidRPr="00F72526" w:rsidRDefault="00F72526" w:rsidP="00F72526">
      <w:pPr>
        <w:rPr>
          <w:b/>
          <w:bCs/>
          <w:sz w:val="24"/>
          <w:szCs w:val="24"/>
        </w:rPr>
      </w:pPr>
      <w:r>
        <w:rPr>
          <w:b/>
          <w:bCs/>
          <w:sz w:val="24"/>
          <w:szCs w:val="24"/>
        </w:rPr>
        <w:t xml:space="preserve">Graphique n° 5 : L’univers Musk</w:t>
      </w:r>
    </w:p>
    <w:p w14:paraId="7E72D4B0" w14:textId="77777777" w:rsidR="00F72526" w:rsidRDefault="00F72526" w:rsidP="00F72526">
      <w:pPr>
        <w:rPr>
          <w:sz w:val="24"/>
          <w:szCs w:val="24"/>
        </w:rPr>
      </w:pPr>
    </w:p>
    <w:p w14:paraId="57C6A26A" w14:textId="3A441209" w:rsidR="00F72526" w:rsidRDefault="00F72526" w:rsidP="00F72526">
      <w:pPr>
        <w:rPr>
          <w:sz w:val="24"/>
          <w:szCs w:val="24"/>
        </w:rPr>
      </w:pPr>
      <w:r>
        <w:rPr>
          <w:sz w:val="24"/>
          <w:szCs w:val="24"/>
        </w:rPr>
        <w:t xml:space="preserve">Un graphique inspiré de Bloomberg qui montre à quel point les entreprises d’Elon Musk sont imbriquées.</w:t>
      </w:r>
    </w:p>
    <w:p w14:paraId="2F84969B" w14:textId="77777777" w:rsidR="00F72526" w:rsidRDefault="00F72526" w:rsidP="00F72526">
      <w:pPr>
        <w:rPr>
          <w:sz w:val="24"/>
          <w:szCs w:val="24"/>
        </w:rPr>
      </w:pPr>
    </w:p>
    <w:p w14:paraId="6AAAB3C1" w14:textId="53F48F9B" w:rsidR="00F72526" w:rsidRDefault="00F72526" w:rsidP="00F72526">
      <w:pPr>
        <w:rPr>
          <w:sz w:val="24"/>
          <w:szCs w:val="24"/>
        </w:rPr>
      </w:pPr>
      <w:r>
        <w:rPr>
          <w:noProof/>
        </w:rPr>
        <w:drawing>
          <wp:inline distT="0" distB="0" distL="0" distR="0" wp14:anchorId="2A76BB44" wp14:editId="3AC0DC40">
            <wp:extent cx="6120130" cy="4063365"/>
            <wp:effectExtent l="0" t="0" r="0" b="0"/>
            <wp:docPr id="164337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0130" cy="4063365"/>
                    </a:xfrm>
                    <a:prstGeom prst="rect">
                      <a:avLst/>
                    </a:prstGeom>
                    <a:noFill/>
                    <a:ln>
                      <a:noFill/>
                    </a:ln>
                  </pic:spPr>
                </pic:pic>
              </a:graphicData>
            </a:graphic>
          </wp:inline>
        </w:drawing>
      </w:r>
    </w:p>
    <w:p w14:paraId="044D0A54" w14:textId="77777777" w:rsidR="00F72526" w:rsidRDefault="00F72526" w:rsidP="00F72526">
      <w:pPr>
        <w:rPr>
          <w:sz w:val="24"/>
          <w:szCs w:val="24"/>
        </w:rPr>
      </w:pPr>
    </w:p>
    <w:p w14:paraId="3C73D496" w14:textId="5BE96702" w:rsidR="00F72526" w:rsidRDefault="00F72526" w:rsidP="00F72526">
      <w:pPr>
        <w:rPr>
          <w:sz w:val="24"/>
          <w:szCs w:val="24"/>
        </w:rPr>
      </w:pPr>
      <w:r>
        <w:rPr>
          <w:sz w:val="24"/>
          <w:szCs w:val="24"/>
        </w:rPr>
        <w:t xml:space="preserve">Source : Banque Syz</w:t>
      </w:r>
    </w:p>
    <w:p w14:paraId="46A13CCC" w14:textId="77777777" w:rsidR="00F72526" w:rsidRDefault="00F72526" w:rsidP="00F72526">
      <w:pPr>
        <w:rPr>
          <w:sz w:val="24"/>
          <w:szCs w:val="24"/>
        </w:rPr>
      </w:pPr>
    </w:p>
    <w:p w14:paraId="683060FD" w14:textId="77777777" w:rsidR="002A1C9A" w:rsidRDefault="002A1C9A" w:rsidP="002A1C9A">
      <w:pPr>
        <w:rPr>
          <w:sz w:val="24"/>
          <w:szCs w:val="24"/>
        </w:rPr>
      </w:pPr>
    </w:p>
    <w:p w14:paraId="1C347E8F" w14:textId="73CC1CE0" w:rsidR="005B1F6F" w:rsidRPr="005B1F6F" w:rsidRDefault="002A1C9A" w:rsidP="005B1F6F">
      <w:pPr>
        <w:rPr>
          <w:b/>
          <w:bCs/>
          <w:sz w:val="24"/>
          <w:szCs w:val="24"/>
        </w:rPr>
      </w:pPr>
      <w:r>
        <w:rPr>
          <w:b/>
          <w:bCs/>
          <w:sz w:val="24"/>
          <w:szCs w:val="24"/>
        </w:rPr>
        <w:t xml:space="preserve">Graphique n° 6 : Le marché immobilier européen s’est inversé</w:t>
      </w:r>
    </w:p>
    <w:p w14:paraId="24E7F9C9" w14:textId="77777777" w:rsidR="005B1F6F" w:rsidRPr="005B1F6F" w:rsidRDefault="005B1F6F" w:rsidP="005B1F6F">
      <w:pPr>
        <w:rPr>
          <w:sz w:val="24"/>
          <w:szCs w:val="24"/>
        </w:rPr>
      </w:pPr>
    </w:p>
    <w:p w14:paraId="72665295" w14:textId="0EB3EE58" w:rsidR="005B1F6F" w:rsidRPr="005B1F6F" w:rsidRDefault="005B1F6F" w:rsidP="005B1F6F">
      <w:pPr>
        <w:rPr>
          <w:sz w:val="24"/>
          <w:szCs w:val="24"/>
        </w:rPr>
      </w:pPr>
      <w:r>
        <w:rPr>
          <w:sz w:val="24"/>
          <w:szCs w:val="24"/>
        </w:rPr>
        <w:t xml:space="preserve">Voici l’évolution sur 3 ans, en €/m², pour une sélection de villes du nord et du sud de l’Europe.</w:t>
      </w:r>
    </w:p>
    <w:p w14:paraId="5A7B11AB" w14:textId="77777777" w:rsidR="005B1F6F" w:rsidRPr="005B1F6F" w:rsidRDefault="005B1F6F" w:rsidP="005B1F6F">
      <w:pPr>
        <w:rPr>
          <w:sz w:val="24"/>
          <w:szCs w:val="24"/>
        </w:rPr>
      </w:pPr>
    </w:p>
    <w:p w14:paraId="3E61AA8F" w14:textId="77777777" w:rsidR="005B1F6F" w:rsidRPr="005B1F6F" w:rsidRDefault="005B1F6F" w:rsidP="005B1F6F">
      <w:pPr>
        <w:rPr>
          <w:sz w:val="24"/>
          <w:szCs w:val="24"/>
        </w:rPr>
      </w:pPr>
      <w:r>
        <w:rPr>
          <w:sz w:val="24"/>
          <w:szCs w:val="24"/>
        </w:rPr>
        <w:t xml:space="preserve">Luxembourg −11 %</w:t>
      </w:r>
    </w:p>
    <w:p w14:paraId="43D8F6D5" w14:textId="77777777" w:rsidR="005B1F6F" w:rsidRPr="005B1F6F" w:rsidRDefault="005B1F6F" w:rsidP="005B1F6F">
      <w:pPr>
        <w:rPr>
          <w:sz w:val="24"/>
          <w:szCs w:val="24"/>
        </w:rPr>
      </w:pPr>
      <w:r>
        <w:rPr>
          <w:sz w:val="24"/>
          <w:szCs w:val="24"/>
        </w:rPr>
        <w:t xml:space="preserve">Paris −4 %</w:t>
      </w:r>
    </w:p>
    <w:p w14:paraId="75821CC5" w14:textId="77777777" w:rsidR="005B1F6F" w:rsidRPr="005B1F6F" w:rsidRDefault="005B1F6F" w:rsidP="005B1F6F">
      <w:pPr>
        <w:rPr>
          <w:sz w:val="24"/>
          <w:szCs w:val="24"/>
        </w:rPr>
      </w:pPr>
      <w:r>
        <w:rPr>
          <w:sz w:val="24"/>
          <w:szCs w:val="24"/>
        </w:rPr>
        <w:t xml:space="preserve">Londres −2 %</w:t>
      </w:r>
    </w:p>
    <w:p w14:paraId="1B96B824" w14:textId="77777777" w:rsidR="005B1F6F" w:rsidRPr="005B1F6F" w:rsidRDefault="005B1F6F" w:rsidP="005B1F6F">
      <w:pPr>
        <w:rPr>
          <w:sz w:val="24"/>
          <w:szCs w:val="24"/>
        </w:rPr>
      </w:pPr>
      <w:r>
        <w:rPr>
          <w:sz w:val="24"/>
          <w:szCs w:val="24"/>
        </w:rPr>
        <w:t xml:space="preserve">Vienne −2 %</w:t>
      </w:r>
    </w:p>
    <w:p w14:paraId="0022F940" w14:textId="77777777" w:rsidR="005B1F6F" w:rsidRPr="005B1F6F" w:rsidRDefault="005B1F6F" w:rsidP="005B1F6F">
      <w:pPr>
        <w:rPr>
          <w:sz w:val="24"/>
          <w:szCs w:val="24"/>
        </w:rPr>
      </w:pPr>
    </w:p>
    <w:p w14:paraId="58C0BA41" w14:textId="77777777" w:rsidR="005B1F6F" w:rsidRPr="005B1F6F" w:rsidRDefault="005B1F6F" w:rsidP="005B1F6F">
      <w:pPr>
        <w:rPr>
          <w:sz w:val="24"/>
          <w:szCs w:val="24"/>
        </w:rPr>
      </w:pPr>
      <w:r>
        <w:rPr>
          <w:sz w:val="24"/>
          <w:szCs w:val="24"/>
        </w:rPr>
        <w:t xml:space="preserve">Côte monténégrine +79 %</w:t>
      </w:r>
    </w:p>
    <w:p w14:paraId="74B63DAE" w14:textId="77777777" w:rsidR="005B1F6F" w:rsidRPr="005B1F6F" w:rsidRDefault="005B1F6F" w:rsidP="005B1F6F">
      <w:pPr>
        <w:rPr>
          <w:sz w:val="24"/>
          <w:szCs w:val="24"/>
        </w:rPr>
      </w:pPr>
      <w:r>
        <w:rPr>
          <w:sz w:val="24"/>
          <w:szCs w:val="24"/>
        </w:rPr>
        <w:t xml:space="preserve">Sofia +64 %</w:t>
      </w:r>
    </w:p>
    <w:p w14:paraId="0E694449" w14:textId="77777777" w:rsidR="005B1F6F" w:rsidRPr="005B1F6F" w:rsidRDefault="005B1F6F" w:rsidP="005B1F6F">
      <w:pPr>
        <w:rPr>
          <w:sz w:val="24"/>
          <w:szCs w:val="24"/>
        </w:rPr>
      </w:pPr>
      <w:r>
        <w:rPr>
          <w:sz w:val="24"/>
          <w:szCs w:val="24"/>
        </w:rPr>
        <w:t xml:space="preserve">Malaga +59 %</w:t>
      </w:r>
    </w:p>
    <w:p w14:paraId="776D5299" w14:textId="77777777" w:rsidR="005B1F6F" w:rsidRPr="005B1F6F" w:rsidRDefault="005B1F6F" w:rsidP="005B1F6F">
      <w:pPr>
        <w:rPr>
          <w:sz w:val="24"/>
          <w:szCs w:val="24"/>
        </w:rPr>
      </w:pPr>
      <w:r>
        <w:rPr>
          <w:sz w:val="24"/>
          <w:szCs w:val="24"/>
        </w:rPr>
        <w:t xml:space="preserve">Alicante +48 %</w:t>
      </w:r>
    </w:p>
    <w:p w14:paraId="3806AC9F" w14:textId="77777777" w:rsidR="005B1F6F" w:rsidRPr="005B1F6F" w:rsidRDefault="005B1F6F" w:rsidP="005B1F6F">
      <w:pPr>
        <w:rPr>
          <w:sz w:val="24"/>
          <w:szCs w:val="24"/>
        </w:rPr>
      </w:pPr>
      <w:r>
        <w:rPr>
          <w:sz w:val="24"/>
          <w:szCs w:val="24"/>
        </w:rPr>
        <w:t xml:space="preserve">Zagreb +44 %</w:t>
      </w:r>
    </w:p>
    <w:p w14:paraId="73191F1C" w14:textId="77777777" w:rsidR="005B1F6F" w:rsidRPr="005B1F6F" w:rsidRDefault="005B1F6F" w:rsidP="005B1F6F">
      <w:pPr>
        <w:rPr>
          <w:sz w:val="24"/>
          <w:szCs w:val="24"/>
        </w:rPr>
      </w:pPr>
    </w:p>
    <w:p w14:paraId="25CB5CBA" w14:textId="41812D88" w:rsidR="005B1F6F" w:rsidRPr="005B1F6F" w:rsidRDefault="005B1F6F" w:rsidP="005B1F6F">
      <w:pPr>
        <w:rPr>
          <w:sz w:val="24"/>
          <w:szCs w:val="24"/>
        </w:rPr>
      </w:pPr>
      <w:r>
        <w:rPr>
          <w:sz w:val="24"/>
          <w:szCs w:val="24"/>
        </w:rPr>
        <w:t xml:space="preserve">Alors que le « vieux » marché européen s’est stabilisé, les villes plus abordables connaissent une croissance rapide.</w:t>
      </w:r>
    </w:p>
    <w:p w14:paraId="05B10040" w14:textId="77777777" w:rsidR="005B1F6F" w:rsidRDefault="005B1F6F" w:rsidP="005B1F6F">
      <w:pPr>
        <w:rPr>
          <w:sz w:val="24"/>
          <w:szCs w:val="24"/>
        </w:rPr>
      </w:pPr>
    </w:p>
    <w:p w14:paraId="409A8BEC" w14:textId="10D531CC" w:rsidR="0066146F" w:rsidRDefault="0066146F" w:rsidP="005B1F6F">
      <w:pPr>
        <w:rPr>
          <w:sz w:val="24"/>
          <w:szCs w:val="24"/>
        </w:rPr>
      </w:pPr>
      <w:r>
        <w:lastRenderedPageBreak/>
        <w:drawing>
          <wp:inline distT="0" distB="0" distL="0" distR="0" wp14:anchorId="5DE41308" wp14:editId="41574DE3">
            <wp:extent cx="4777740" cy="5971927"/>
            <wp:effectExtent l="0" t="0" r="3810" b="0"/>
            <wp:docPr id="113708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80044" name=""/>
                    <pic:cNvPicPr/>
                  </pic:nvPicPr>
                  <pic:blipFill>
                    <a:blip r:embed="rId17"/>
                    <a:stretch>
                      <a:fillRect/>
                    </a:stretch>
                  </pic:blipFill>
                  <pic:spPr>
                    <a:xfrm>
                      <a:off x="0" y="0"/>
                      <a:ext cx="4779536" cy="5974172"/>
                    </a:xfrm>
                    <a:prstGeom prst="rect">
                      <a:avLst/>
                    </a:prstGeom>
                  </pic:spPr>
                </pic:pic>
              </a:graphicData>
            </a:graphic>
          </wp:inline>
        </w:drawing>
      </w:r>
    </w:p>
    <w:p w14:paraId="2840342D" w14:textId="77777777" w:rsidR="0066146F" w:rsidRDefault="0066146F" w:rsidP="005B1F6F">
      <w:pPr>
        <w:rPr>
          <w:sz w:val="24"/>
          <w:szCs w:val="24"/>
        </w:rPr>
      </w:pPr>
    </w:p>
    <w:p w14:paraId="2E3BB143" w14:textId="1724052E" w:rsidR="00F72526" w:rsidRDefault="005B1F6F" w:rsidP="005B1F6F">
      <w:pPr>
        <w:rPr>
          <w:sz w:val="24"/>
          <w:szCs w:val="24"/>
        </w:rPr>
      </w:pPr>
      <w:r>
        <w:rPr>
          <w:sz w:val="24"/>
          <w:szCs w:val="24"/>
        </w:rPr>
        <w:t xml:space="preserve">Source : Global Property Guide sur X</w:t>
      </w:r>
    </w:p>
    <w:p w14:paraId="52AEAD39" w14:textId="77777777" w:rsidR="002A1C9A" w:rsidRDefault="002A1C9A" w:rsidP="00F72526">
      <w:pPr>
        <w:rPr>
          <w:sz w:val="24"/>
          <w:szCs w:val="24"/>
        </w:rPr>
      </w:pPr>
    </w:p>
    <w:p w14:paraId="148C5F4A" w14:textId="77777777" w:rsidR="002A1C9A" w:rsidRDefault="002A1C9A" w:rsidP="00F72526">
      <w:pPr>
        <w:rPr>
          <w:sz w:val="24"/>
          <w:szCs w:val="24"/>
        </w:rPr>
      </w:pPr>
    </w:p>
    <w:p w14:paraId="4188F445" w14:textId="77777777" w:rsidR="00F72526" w:rsidRDefault="00F72526" w:rsidP="00F72526">
      <w:pPr>
        <w:rPr>
          <w:sz w:val="24"/>
          <w:szCs w:val="24"/>
        </w:rPr>
      </w:pPr>
    </w:p>
    <w:p w14:paraId="321257E1" w14:textId="4D53CFE3" w:rsidR="00F72526" w:rsidRPr="00F72526" w:rsidRDefault="00F72526" w:rsidP="00F72526">
      <w:pPr>
        <w:rPr>
          <w:b/>
          <w:bCs/>
          <w:sz w:val="24"/>
          <w:szCs w:val="24"/>
        </w:rPr>
      </w:pPr>
      <w:r>
        <w:rPr>
          <w:b/>
          <w:bCs/>
          <w:sz w:val="24"/>
          <w:szCs w:val="24"/>
        </w:rPr>
        <w:t xml:space="preserve">Graphique n° 7 : Le taux de réussite à l’examen final du CFA reste INFÉRIEUR à sa moyenne décennale</w:t>
      </w:r>
    </w:p>
    <w:p w14:paraId="04C2144E" w14:textId="77777777" w:rsidR="00F72526" w:rsidRPr="00F72526" w:rsidRDefault="00F72526" w:rsidP="00F72526">
      <w:pPr>
        <w:rPr>
          <w:sz w:val="24"/>
          <w:szCs w:val="24"/>
        </w:rPr>
      </w:pPr>
    </w:p>
    <w:p w14:paraId="663C82C3" w14:textId="09951B7A" w:rsidR="00F72526" w:rsidRPr="00F72526" w:rsidRDefault="00F72526" w:rsidP="00F72526">
      <w:pPr>
        <w:rPr>
          <w:sz w:val="24"/>
          <w:szCs w:val="24"/>
        </w:rPr>
      </w:pPr>
      <w:r>
        <w:rPr>
          <w:sz w:val="24"/>
          <w:szCs w:val="24"/>
        </w:rPr>
        <w:t xml:space="preserve">Katherine Doherty, de Bloomberg : « Le taux de réussite au troisième et dernier niveau de l’examen du CFA a reculé lors de la dernière session, restant inférieur à sa moyenne sur dix ans.</w:t>
      </w:r>
    </w:p>
    <w:p w14:paraId="3A716F26" w14:textId="77777777" w:rsidR="00F72526" w:rsidRPr="00F72526" w:rsidRDefault="00F72526" w:rsidP="00F72526">
      <w:pPr>
        <w:rPr>
          <w:sz w:val="24"/>
          <w:szCs w:val="24"/>
        </w:rPr>
      </w:pPr>
    </w:p>
    <w:p w14:paraId="46D5C845" w14:textId="77777777" w:rsidR="00F72526" w:rsidRPr="00F72526" w:rsidRDefault="00F72526" w:rsidP="00F72526">
      <w:pPr>
        <w:rPr>
          <w:sz w:val="24"/>
          <w:szCs w:val="24"/>
        </w:rPr>
      </w:pPr>
      <w:r>
        <w:rPr>
          <w:sz w:val="24"/>
          <w:szCs w:val="24"/>
        </w:rPr>
        <w:t xml:space="preserve">En août, 47 % des candidats ont réussi l’épreuve du niveau III, contre un taux de réussite de 50 % en février comme en août de l’an dernier, a indiqué mardi le CFA Institute. C’est en dessous du taux de réussite moyen de 50 % des dix dernières années, qui n’a plus été dépassé depuis 2020. »</w:t>
      </w:r>
    </w:p>
    <w:p w14:paraId="1270E87E" w14:textId="77777777" w:rsidR="00F72526" w:rsidRPr="00F72526" w:rsidRDefault="00F72526" w:rsidP="00F72526">
      <w:pPr>
        <w:rPr>
          <w:sz w:val="24"/>
          <w:szCs w:val="24"/>
        </w:rPr>
      </w:pPr>
    </w:p>
    <w:p w14:paraId="310FE24F" w14:textId="77777777" w:rsidR="00F72526" w:rsidRPr="00F72526" w:rsidRDefault="00F72526" w:rsidP="00F72526">
      <w:pPr>
        <w:rPr>
          <w:sz w:val="24"/>
          <w:szCs w:val="24"/>
        </w:rPr>
      </w:pPr>
      <w:r>
        <w:rPr>
          <w:sz w:val="24"/>
          <w:szCs w:val="24"/>
        </w:rPr>
        <w:t xml:space="preserve">L’institut continue de constater que les candidats qui reportent leur examen ont beaucoup moins de chances de réussir. Ceux qui se présentaient pour la première fois ont obtenu un taux de réussite nettement supérieur à la moyenne du niveau final, à 56 %, tandis que ceux ayant reporté au moins une fois affichaient un taux de 31 %, selon l’institut.</w:t>
        <w:lastRenderedPageBreak/>
        <w:t xml:space="preserve">L’institut continue de constater que les candidats qui reportent leur examen ont beaucoup moins de chances de réussir. Ceux qui se présentaient pour la première fois ont obtenu un taux de réussite nettement supérieur à la moyenne du niveau final, à 56 %, tandis que ceux ayant reporté au moins une fois affichaient un taux de 31 %, selon l’institut.</w:t>
      </w:r>
    </w:p>
    <w:p w14:paraId="4969B8DB" w14:textId="77777777" w:rsidR="00F72526" w:rsidRPr="00F72526" w:rsidRDefault="00F72526" w:rsidP="00F72526">
      <w:pPr>
        <w:rPr>
          <w:sz w:val="24"/>
          <w:szCs w:val="24"/>
        </w:rPr>
      </w:pPr>
    </w:p>
    <w:p w14:paraId="0E3B7E1F" w14:textId="4BF99945" w:rsidR="00F72526" w:rsidRPr="00F72526" w:rsidRDefault="00F72526" w:rsidP="00F72526">
      <w:pPr>
        <w:rPr>
          <w:sz w:val="24"/>
          <w:szCs w:val="24"/>
          <w:lang w:val="en-CH"/>
        </w:rPr>
      </w:pPr>
      <w:r>
        <w:rPr>
          <w:sz w:val="24"/>
          <w:szCs w:val="24"/>
          <w:lang w:val="en-CH"/>
        </w:rPr>
        <w:drawing>
          <wp:inline distT="0" distB="0" distL="0" distR="0" wp14:anchorId="684DDD9B" wp14:editId="669F9577">
            <wp:extent cx="3840122" cy="4762500"/>
            <wp:effectExtent l="0" t="0" r="8255" b="0"/>
            <wp:docPr id="1273360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44215" cy="4767576"/>
                    </a:xfrm>
                    <a:prstGeom prst="rect">
                      <a:avLst/>
                    </a:prstGeom>
                    <a:noFill/>
                    <a:ln>
                      <a:noFill/>
                    </a:ln>
                  </pic:spPr>
                </pic:pic>
              </a:graphicData>
            </a:graphic>
          </wp:inline>
        </w:drawing>
      </w:r>
    </w:p>
    <w:p w14:paraId="1748F80A" w14:textId="77777777" w:rsidR="00F72526" w:rsidRDefault="00F72526" w:rsidP="00F72526">
      <w:pPr>
        <w:rPr>
          <w:sz w:val="24"/>
          <w:szCs w:val="24"/>
        </w:rPr>
      </w:pPr>
    </w:p>
    <w:p w14:paraId="4809F15C" w14:textId="05C2A538" w:rsidR="00F72526" w:rsidRPr="00F72526" w:rsidRDefault="00F72526" w:rsidP="00F72526">
      <w:pPr>
        <w:rPr>
          <w:sz w:val="24"/>
          <w:szCs w:val="24"/>
        </w:rPr>
      </w:pPr>
      <w:r>
        <w:rPr>
          <w:sz w:val="24"/>
          <w:szCs w:val="24"/>
        </w:rPr>
        <w:t xml:space="preserve">Source : Bloomberg, Harald Berlinicke, CFA </w:t>
      </w:r>
      <w:r>
        <w:rPr>
          <w:rFonts w:ascii="Segoe UI Emoji" w:hAnsi="Segoe UI Emoji" w:cs="Segoe UI Emoji"/>
          <w:sz w:val="24"/>
          <w:szCs w:val="24"/>
        </w:rPr>
        <w:t>🍵</w:t>
      </w:r>
    </w:p>
    <w:sectPr w:rsidR="00F72526" w:rsidRPr="00F72526" w:rsidSect="001C4809">
      <w:headerReference w:type="even" r:id="rId19"/>
      <w:headerReference w:type="default" r:id="rId20"/>
      <w:footerReference w:type="even" r:id="rId21"/>
      <w:footerReference w:type="default" r:id="rId22"/>
      <w:headerReference w:type="first" r:id="rId23"/>
      <w:footerReference w:type="first" r:id="rId24"/>
      <w:pgSz w:w="11906" w:h="16838" w:code="9"/>
      <w:pgMar w:top="1134" w:right="1134" w:bottom="851" w:left="1134" w:header="567"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942EE" w14:textId="77777777" w:rsidR="003720A1" w:rsidRDefault="003720A1" w:rsidP="00477C0A">
      <w:r>
        <w:separator/>
      </w:r>
    </w:p>
  </w:endnote>
  <w:endnote w:type="continuationSeparator" w:id="0">
    <w:p w14:paraId="6763D813" w14:textId="77777777" w:rsidR="003720A1" w:rsidRDefault="003720A1" w:rsidP="00477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unito Sans ExtraBold">
    <w:altName w:val="Nunito Sans ExtraBold"/>
    <w:charset w:val="00"/>
    <w:family w:val="auto"/>
    <w:pitch w:val="variable"/>
    <w:sig w:usb0="A00002FF" w:usb1="5000204B"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Sans">
    <w:charset w:val="00"/>
    <w:family w:val="auto"/>
    <w:pitch w:val="variable"/>
    <w:sig w:usb0="A00002FF" w:usb1="5000204B"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Nunito Sans SemiBold">
    <w:altName w:val="Nunito Sans SemiBold"/>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D4B4" w14:textId="77777777" w:rsidR="00E10115" w:rsidRDefault="00E101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83E8" w14:textId="77777777" w:rsidR="00E10115" w:rsidRDefault="00E101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59E55" w14:textId="77777777" w:rsidR="00E10115" w:rsidRDefault="00E101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D1635" w14:textId="77777777" w:rsidR="003720A1" w:rsidRDefault="003720A1" w:rsidP="00477C0A">
      <w:r>
        <w:separator/>
      </w:r>
    </w:p>
  </w:footnote>
  <w:footnote w:type="continuationSeparator" w:id="0">
    <w:p w14:paraId="4B14F1EC" w14:textId="77777777" w:rsidR="003720A1" w:rsidRDefault="003720A1" w:rsidP="00477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0C704" w14:textId="77777777" w:rsidR="00E10115" w:rsidRDefault="00E101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EA1CC" w14:textId="77777777" w:rsidR="00477C0A" w:rsidRPr="001C4809" w:rsidRDefault="00477C0A">
    <w:pPr>
      <w:pStyle w:val="Header"/>
      <w:rPr>
        <w:sz w:val="18"/>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48A3E" w14:textId="77777777" w:rsidR="00E10115" w:rsidRDefault="00E101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C4973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D48A5476"/>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FBE0675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D6589B0E"/>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DA4A0B9C"/>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7F0C5C4E"/>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13B7625"/>
    <w:multiLevelType w:val="multilevel"/>
    <w:tmpl w:val="5DDA12F4"/>
    <w:numStyleLink w:val="NumberedSyz"/>
  </w:abstractNum>
  <w:abstractNum w:abstractNumId="7" w15:restartNumberingAfterBreak="0">
    <w:nsid w:val="08C47FD8"/>
    <w:multiLevelType w:val="multilevel"/>
    <w:tmpl w:val="1D84AC12"/>
    <w:styleLink w:val="TOCSyz"/>
    <w:lvl w:ilvl="0">
      <w:start w:val="1"/>
      <w:numFmt w:val="upperRoman"/>
      <w:pStyle w:val="Heading1"/>
      <w:lvlText w:val="%1."/>
      <w:lvlJc w:val="left"/>
      <w:pPr>
        <w:tabs>
          <w:tab w:val="num" w:pos="567"/>
        </w:tabs>
        <w:ind w:left="0" w:firstLine="0"/>
      </w:pPr>
      <w:rPr>
        <w:rFonts w:asciiTheme="majorHAnsi" w:hAnsiTheme="majorHAnsi" w:hint="default"/>
        <w:color w:val="FF8300"/>
        <w:sz w:val="24"/>
      </w:rPr>
    </w:lvl>
    <w:lvl w:ilvl="1">
      <w:start w:val="1"/>
      <w:numFmt w:val="decimal"/>
      <w:pStyle w:val="Heading2"/>
      <w:lvlText w:val="%2."/>
      <w:lvlJc w:val="left"/>
      <w:pPr>
        <w:tabs>
          <w:tab w:val="num" w:pos="567"/>
        </w:tabs>
        <w:ind w:left="0" w:firstLine="0"/>
      </w:pPr>
      <w:rPr>
        <w:rFonts w:hint="default"/>
      </w:rPr>
    </w:lvl>
    <w:lvl w:ilvl="2">
      <w:start w:val="1"/>
      <w:numFmt w:val="decimal"/>
      <w:pStyle w:val="Heading3"/>
      <w:lvlText w:val="%2.%3."/>
      <w:lvlJc w:val="left"/>
      <w:pPr>
        <w:tabs>
          <w:tab w:val="num" w:pos="567"/>
        </w:tabs>
        <w:ind w:left="0" w:firstLine="0"/>
      </w:pPr>
      <w:rPr>
        <w:rFonts w:hint="default"/>
      </w:rPr>
    </w:lvl>
    <w:lvl w:ilvl="3">
      <w:start w:val="1"/>
      <w:numFmt w:val="decimal"/>
      <w:pStyle w:val="Heading4"/>
      <w:lvlText w:val="%2.%3.%4."/>
      <w:lvlJc w:val="left"/>
      <w:pPr>
        <w:tabs>
          <w:tab w:val="num" w:pos="567"/>
        </w:tabs>
        <w:ind w:left="0" w:firstLine="0"/>
      </w:pPr>
      <w:rPr>
        <w:rFonts w:hint="default"/>
      </w:rPr>
    </w:lvl>
    <w:lvl w:ilvl="4">
      <w:start w:val="1"/>
      <w:numFmt w:val="decimal"/>
      <w:pStyle w:val="Heading5"/>
      <w:lvlText w:val="%2.%3.%4.%5."/>
      <w:lvlJc w:val="left"/>
      <w:pPr>
        <w:tabs>
          <w:tab w:val="num" w:pos="567"/>
        </w:tabs>
        <w:ind w:left="0" w:firstLine="0"/>
      </w:pPr>
      <w:rPr>
        <w:rFonts w:hint="default"/>
      </w:rPr>
    </w:lvl>
    <w:lvl w:ilvl="5">
      <w:start w:val="1"/>
      <w:numFmt w:val="none"/>
      <w:lvlText w:val=""/>
      <w:lvlJc w:val="left"/>
      <w:pPr>
        <w:tabs>
          <w:tab w:val="num" w:pos="567"/>
        </w:tabs>
        <w:ind w:left="567" w:firstLine="0"/>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8" w15:restartNumberingAfterBreak="0">
    <w:nsid w:val="22640790"/>
    <w:multiLevelType w:val="hybridMultilevel"/>
    <w:tmpl w:val="A0E61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763103"/>
    <w:multiLevelType w:val="multilevel"/>
    <w:tmpl w:val="5DDA12F4"/>
    <w:styleLink w:val="NumberedSyz"/>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284"/>
        </w:tabs>
        <w:ind w:left="567" w:hanging="283"/>
      </w:pPr>
      <w:rPr>
        <w:rFonts w:hint="default"/>
      </w:rPr>
    </w:lvl>
    <w:lvl w:ilvl="2">
      <w:start w:val="1"/>
      <w:numFmt w:val="lowerRoman"/>
      <w:pStyle w:val="ListNumber3"/>
      <w:lvlText w:val="%3."/>
      <w:lvlJc w:val="left"/>
      <w:pPr>
        <w:tabs>
          <w:tab w:val="num" w:pos="284"/>
        </w:tabs>
        <w:ind w:left="851" w:hanging="284"/>
      </w:pPr>
      <w:rPr>
        <w:rFonts w:hint="default"/>
      </w:rPr>
    </w:lvl>
    <w:lvl w:ilvl="3">
      <w:start w:val="1"/>
      <w:numFmt w:val="none"/>
      <w:lvlText w:val=""/>
      <w:lvlJc w:val="left"/>
      <w:pPr>
        <w:tabs>
          <w:tab w:val="num" w:pos="284"/>
        </w:tabs>
        <w:ind w:left="851" w:hanging="284"/>
      </w:pPr>
      <w:rPr>
        <w:rFonts w:hint="default"/>
      </w:rPr>
    </w:lvl>
    <w:lvl w:ilvl="4">
      <w:start w:val="1"/>
      <w:numFmt w:val="none"/>
      <w:lvlText w:val=""/>
      <w:lvlJc w:val="left"/>
      <w:pPr>
        <w:tabs>
          <w:tab w:val="num" w:pos="284"/>
        </w:tabs>
        <w:ind w:left="851" w:hanging="284"/>
      </w:pPr>
      <w:rPr>
        <w:rFonts w:hint="default"/>
      </w:rPr>
    </w:lvl>
    <w:lvl w:ilvl="5">
      <w:start w:val="1"/>
      <w:numFmt w:val="none"/>
      <w:lvlText w:val=""/>
      <w:lvlJc w:val="left"/>
      <w:pPr>
        <w:tabs>
          <w:tab w:val="num" w:pos="284"/>
        </w:tabs>
        <w:ind w:left="851" w:hanging="284"/>
      </w:pPr>
      <w:rPr>
        <w:rFonts w:hint="default"/>
      </w:rPr>
    </w:lvl>
    <w:lvl w:ilvl="6">
      <w:start w:val="1"/>
      <w:numFmt w:val="none"/>
      <w:lvlText w:val=""/>
      <w:lvlJc w:val="left"/>
      <w:pPr>
        <w:tabs>
          <w:tab w:val="num" w:pos="284"/>
        </w:tabs>
        <w:ind w:left="851" w:hanging="284"/>
      </w:pPr>
      <w:rPr>
        <w:rFonts w:hint="default"/>
      </w:rPr>
    </w:lvl>
    <w:lvl w:ilvl="7">
      <w:start w:val="1"/>
      <w:numFmt w:val="none"/>
      <w:lvlText w:val=""/>
      <w:lvlJc w:val="left"/>
      <w:pPr>
        <w:tabs>
          <w:tab w:val="num" w:pos="284"/>
        </w:tabs>
        <w:ind w:left="851" w:hanging="284"/>
      </w:pPr>
      <w:rPr>
        <w:rFonts w:hint="default"/>
      </w:rPr>
    </w:lvl>
    <w:lvl w:ilvl="8">
      <w:start w:val="1"/>
      <w:numFmt w:val="none"/>
      <w:lvlText w:val=""/>
      <w:lvlJc w:val="left"/>
      <w:pPr>
        <w:tabs>
          <w:tab w:val="num" w:pos="284"/>
        </w:tabs>
        <w:ind w:left="851" w:hanging="284"/>
      </w:pPr>
      <w:rPr>
        <w:rFonts w:hint="default"/>
      </w:rPr>
    </w:lvl>
  </w:abstractNum>
  <w:abstractNum w:abstractNumId="10" w15:restartNumberingAfterBreak="0">
    <w:nsid w:val="30B66453"/>
    <w:multiLevelType w:val="multilevel"/>
    <w:tmpl w:val="25407AF0"/>
    <w:numStyleLink w:val="BulletSyz"/>
  </w:abstractNum>
  <w:abstractNum w:abstractNumId="11" w15:restartNumberingAfterBreak="0">
    <w:nsid w:val="48F80AA0"/>
    <w:multiLevelType w:val="hybridMultilevel"/>
    <w:tmpl w:val="7D3E371E"/>
    <w:lvl w:ilvl="0" w:tplc="A1FCE930">
      <w:numFmt w:val="bullet"/>
      <w:lvlText w:val="-"/>
      <w:lvlJc w:val="left"/>
      <w:pPr>
        <w:ind w:left="720" w:hanging="360"/>
      </w:pPr>
      <w:rPr>
        <w:rFonts w:ascii="Nunito Sans" w:eastAsiaTheme="minorEastAsia" w:hAnsi="Nunito San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AF00B82"/>
    <w:multiLevelType w:val="multilevel"/>
    <w:tmpl w:val="25407AF0"/>
    <w:styleLink w:val="BulletSyz"/>
    <w:lvl w:ilvl="0">
      <w:start w:val="1"/>
      <w:numFmt w:val="bullet"/>
      <w:pStyle w:val="ListBullet"/>
      <w:lvlText w:val="→"/>
      <w:lvlJc w:val="left"/>
      <w:pPr>
        <w:tabs>
          <w:tab w:val="num" w:pos="284"/>
        </w:tabs>
        <w:ind w:left="284" w:hanging="284"/>
      </w:pPr>
      <w:rPr>
        <w:rFonts w:ascii="Times New Roman" w:hAnsi="Times New Roman" w:cs="Times New Roman" w:hint="default"/>
        <w:color w:val="FFC000"/>
      </w:rPr>
    </w:lvl>
    <w:lvl w:ilvl="1">
      <w:start w:val="1"/>
      <w:numFmt w:val="bullet"/>
      <w:pStyle w:val="ListBullet2"/>
      <w:lvlText w:val="•"/>
      <w:lvlJc w:val="left"/>
      <w:pPr>
        <w:tabs>
          <w:tab w:val="num" w:pos="567"/>
        </w:tabs>
        <w:ind w:left="567" w:hanging="283"/>
      </w:pPr>
      <w:rPr>
        <w:rFonts w:ascii="Nunito Sans" w:hAnsi="Nunito Sans" w:hint="default"/>
      </w:rPr>
    </w:lvl>
    <w:lvl w:ilvl="2">
      <w:start w:val="1"/>
      <w:numFmt w:val="bullet"/>
      <w:pStyle w:val="ListBullet3"/>
      <w:lvlText w:val="­"/>
      <w:lvlJc w:val="left"/>
      <w:pPr>
        <w:tabs>
          <w:tab w:val="num" w:pos="284"/>
        </w:tabs>
        <w:ind w:left="851" w:hanging="284"/>
      </w:pPr>
      <w:rPr>
        <w:rFonts w:ascii="Courier New" w:hAnsi="Courier New" w:hint="default"/>
      </w:rPr>
    </w:lvl>
    <w:lvl w:ilvl="3">
      <w:start w:val="1"/>
      <w:numFmt w:val="bullet"/>
      <w:lvlText w:val="­"/>
      <w:lvlJc w:val="left"/>
      <w:pPr>
        <w:tabs>
          <w:tab w:val="num" w:pos="284"/>
        </w:tabs>
        <w:ind w:left="851" w:hanging="284"/>
      </w:pPr>
      <w:rPr>
        <w:rFonts w:ascii="Courier New" w:hAnsi="Courier New" w:hint="default"/>
      </w:rPr>
    </w:lvl>
    <w:lvl w:ilvl="4">
      <w:start w:val="1"/>
      <w:numFmt w:val="bullet"/>
      <w:lvlText w:val="­"/>
      <w:lvlJc w:val="left"/>
      <w:pPr>
        <w:tabs>
          <w:tab w:val="num" w:pos="284"/>
        </w:tabs>
        <w:ind w:left="851" w:hanging="284"/>
      </w:pPr>
      <w:rPr>
        <w:rFonts w:ascii="Courier New" w:hAnsi="Courier New" w:hint="default"/>
      </w:rPr>
    </w:lvl>
    <w:lvl w:ilvl="5">
      <w:start w:val="1"/>
      <w:numFmt w:val="bullet"/>
      <w:lvlText w:val="­"/>
      <w:lvlJc w:val="left"/>
      <w:pPr>
        <w:tabs>
          <w:tab w:val="num" w:pos="284"/>
        </w:tabs>
        <w:ind w:left="851" w:hanging="284"/>
      </w:pPr>
      <w:rPr>
        <w:rFonts w:ascii="Courier New" w:hAnsi="Courier New" w:hint="default"/>
      </w:rPr>
    </w:lvl>
    <w:lvl w:ilvl="6">
      <w:start w:val="1"/>
      <w:numFmt w:val="bullet"/>
      <w:lvlText w:val="­"/>
      <w:lvlJc w:val="left"/>
      <w:pPr>
        <w:tabs>
          <w:tab w:val="num" w:pos="284"/>
        </w:tabs>
        <w:ind w:left="851" w:hanging="284"/>
      </w:pPr>
      <w:rPr>
        <w:rFonts w:ascii="Courier New" w:hAnsi="Courier New" w:hint="default"/>
      </w:rPr>
    </w:lvl>
    <w:lvl w:ilvl="7">
      <w:start w:val="1"/>
      <w:numFmt w:val="bullet"/>
      <w:lvlText w:val="­"/>
      <w:lvlJc w:val="left"/>
      <w:pPr>
        <w:tabs>
          <w:tab w:val="num" w:pos="284"/>
        </w:tabs>
        <w:ind w:left="851" w:hanging="284"/>
      </w:pPr>
      <w:rPr>
        <w:rFonts w:ascii="Courier New" w:hAnsi="Courier New" w:hint="default"/>
      </w:rPr>
    </w:lvl>
    <w:lvl w:ilvl="8">
      <w:start w:val="1"/>
      <w:numFmt w:val="bullet"/>
      <w:lvlText w:val="­"/>
      <w:lvlJc w:val="left"/>
      <w:pPr>
        <w:tabs>
          <w:tab w:val="num" w:pos="284"/>
        </w:tabs>
        <w:ind w:left="851" w:hanging="284"/>
      </w:pPr>
      <w:rPr>
        <w:rFonts w:ascii="Courier New" w:hAnsi="Courier New" w:hint="default"/>
      </w:rPr>
    </w:lvl>
  </w:abstractNum>
  <w:abstractNum w:abstractNumId="13" w15:restartNumberingAfterBreak="0">
    <w:nsid w:val="51D76868"/>
    <w:multiLevelType w:val="multilevel"/>
    <w:tmpl w:val="1D84AC12"/>
    <w:numStyleLink w:val="TOCSyz"/>
  </w:abstractNum>
  <w:abstractNum w:abstractNumId="14" w15:restartNumberingAfterBreak="0">
    <w:nsid w:val="530A633E"/>
    <w:multiLevelType w:val="multilevel"/>
    <w:tmpl w:val="1D84AC12"/>
    <w:numStyleLink w:val="TOCSyz"/>
  </w:abstractNum>
  <w:abstractNum w:abstractNumId="15" w15:restartNumberingAfterBreak="0">
    <w:nsid w:val="624F2B4B"/>
    <w:multiLevelType w:val="multilevel"/>
    <w:tmpl w:val="1D84AC12"/>
    <w:numStyleLink w:val="TOCSyz"/>
  </w:abstractNum>
  <w:abstractNum w:abstractNumId="16" w15:restartNumberingAfterBreak="0">
    <w:nsid w:val="67CC38A4"/>
    <w:multiLevelType w:val="multilevel"/>
    <w:tmpl w:val="1D84AC12"/>
    <w:numStyleLink w:val="TOCSyz"/>
  </w:abstractNum>
  <w:abstractNum w:abstractNumId="17" w15:restartNumberingAfterBreak="0">
    <w:nsid w:val="767D7990"/>
    <w:multiLevelType w:val="multilevel"/>
    <w:tmpl w:val="25407AF0"/>
    <w:numStyleLink w:val="BulletSyz"/>
  </w:abstractNum>
  <w:num w:numId="1" w16cid:durableId="670134189">
    <w:abstractNumId w:val="5"/>
  </w:num>
  <w:num w:numId="2" w16cid:durableId="1257251069">
    <w:abstractNumId w:val="3"/>
  </w:num>
  <w:num w:numId="3" w16cid:durableId="1668243895">
    <w:abstractNumId w:val="2"/>
  </w:num>
  <w:num w:numId="4" w16cid:durableId="423889286">
    <w:abstractNumId w:val="4"/>
  </w:num>
  <w:num w:numId="5" w16cid:durableId="1020424888">
    <w:abstractNumId w:val="1"/>
  </w:num>
  <w:num w:numId="6" w16cid:durableId="776146634">
    <w:abstractNumId w:val="0"/>
  </w:num>
  <w:num w:numId="7" w16cid:durableId="535192521">
    <w:abstractNumId w:val="7"/>
  </w:num>
  <w:num w:numId="8" w16cid:durableId="1004824677">
    <w:abstractNumId w:val="13"/>
  </w:num>
  <w:num w:numId="9" w16cid:durableId="618730621">
    <w:abstractNumId w:val="16"/>
  </w:num>
  <w:num w:numId="10" w16cid:durableId="451484993">
    <w:abstractNumId w:val="15"/>
  </w:num>
  <w:num w:numId="11" w16cid:durableId="256404981">
    <w:abstractNumId w:val="12"/>
  </w:num>
  <w:num w:numId="12" w16cid:durableId="1516961829">
    <w:abstractNumId w:val="10"/>
  </w:num>
  <w:num w:numId="13" w16cid:durableId="286014430">
    <w:abstractNumId w:val="9"/>
  </w:num>
  <w:num w:numId="14" w16cid:durableId="1340736694">
    <w:abstractNumId w:val="6"/>
  </w:num>
  <w:num w:numId="15" w16cid:durableId="1619693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67218091">
    <w:abstractNumId w:val="15"/>
  </w:num>
  <w:num w:numId="17" w16cid:durableId="1324044082">
    <w:abstractNumId w:val="8"/>
  </w:num>
  <w:num w:numId="18" w16cid:durableId="1176850100">
    <w:abstractNumId w:val="12"/>
  </w:num>
  <w:num w:numId="19" w16cid:durableId="1786851725">
    <w:abstractNumId w:val="7"/>
  </w:num>
  <w:num w:numId="20" w16cid:durableId="1127240309">
    <w:abstractNumId w:val="9"/>
  </w:num>
  <w:num w:numId="21" w16cid:durableId="1407147384">
    <w:abstractNumId w:val="9"/>
  </w:num>
  <w:num w:numId="22" w16cid:durableId="1942882215">
    <w:abstractNumId w:val="9"/>
  </w:num>
  <w:num w:numId="23" w16cid:durableId="124273966">
    <w:abstractNumId w:val="17"/>
  </w:num>
  <w:num w:numId="24" w16cid:durableId="655960884">
    <w:abstractNumId w:val="17"/>
  </w:num>
  <w:num w:numId="25" w16cid:durableId="1220701573">
    <w:abstractNumId w:val="17"/>
  </w:num>
  <w:num w:numId="26" w16cid:durableId="526988341">
    <w:abstractNumId w:val="9"/>
  </w:num>
  <w:num w:numId="27" w16cid:durableId="555511280">
    <w:abstractNumId w:val="7"/>
  </w:num>
  <w:num w:numId="28" w16cid:durableId="261034063">
    <w:abstractNumId w:val="7"/>
  </w:num>
  <w:num w:numId="29" w16cid:durableId="1605916823">
    <w:abstractNumId w:val="7"/>
  </w:num>
  <w:num w:numId="30" w16cid:durableId="863983911">
    <w:abstractNumId w:val="7"/>
  </w:num>
  <w:num w:numId="31" w16cid:durableId="1349021860">
    <w:abstractNumId w:val="7"/>
  </w:num>
  <w:num w:numId="32" w16cid:durableId="1649355192">
    <w:abstractNumId w:val="14"/>
  </w:num>
  <w:num w:numId="33" w16cid:durableId="1282491307">
    <w:abstractNumId w:val="14"/>
  </w:num>
  <w:num w:numId="34" w16cid:durableId="1669479060">
    <w:abstractNumId w:val="14"/>
  </w:num>
  <w:num w:numId="35" w16cid:durableId="486820934">
    <w:abstractNumId w:val="14"/>
  </w:num>
  <w:num w:numId="36" w16cid:durableId="1963998072">
    <w:abstractNumId w:val="14"/>
  </w:num>
  <w:num w:numId="37" w16cid:durableId="1966350317">
    <w:abstractNumId w:val="7"/>
  </w:num>
  <w:num w:numId="38" w16cid:durableId="14393758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526"/>
    <w:rsid w:val="00005069"/>
    <w:rsid w:val="00074438"/>
    <w:rsid w:val="000B09C4"/>
    <w:rsid w:val="001129C4"/>
    <w:rsid w:val="00113774"/>
    <w:rsid w:val="00120C94"/>
    <w:rsid w:val="001501A3"/>
    <w:rsid w:val="00192124"/>
    <w:rsid w:val="001C4809"/>
    <w:rsid w:val="001C5C71"/>
    <w:rsid w:val="001E131E"/>
    <w:rsid w:val="00202C42"/>
    <w:rsid w:val="00204AFC"/>
    <w:rsid w:val="00204DB5"/>
    <w:rsid w:val="00206852"/>
    <w:rsid w:val="00216E78"/>
    <w:rsid w:val="00220318"/>
    <w:rsid w:val="002A1C9A"/>
    <w:rsid w:val="002A77D1"/>
    <w:rsid w:val="002B0BC9"/>
    <w:rsid w:val="002B3F9B"/>
    <w:rsid w:val="002B6F98"/>
    <w:rsid w:val="0033391D"/>
    <w:rsid w:val="003720A1"/>
    <w:rsid w:val="003B0D13"/>
    <w:rsid w:val="003D61F6"/>
    <w:rsid w:val="00436995"/>
    <w:rsid w:val="00447223"/>
    <w:rsid w:val="00477C0A"/>
    <w:rsid w:val="004933F9"/>
    <w:rsid w:val="004F2BE3"/>
    <w:rsid w:val="005940F0"/>
    <w:rsid w:val="005B1F6F"/>
    <w:rsid w:val="005D64BB"/>
    <w:rsid w:val="005D788A"/>
    <w:rsid w:val="005E25AF"/>
    <w:rsid w:val="005E36FB"/>
    <w:rsid w:val="005F2AFC"/>
    <w:rsid w:val="00613421"/>
    <w:rsid w:val="00614274"/>
    <w:rsid w:val="00623456"/>
    <w:rsid w:val="00627B5A"/>
    <w:rsid w:val="006302CC"/>
    <w:rsid w:val="00640676"/>
    <w:rsid w:val="0065442A"/>
    <w:rsid w:val="00657C53"/>
    <w:rsid w:val="0066146F"/>
    <w:rsid w:val="0066596E"/>
    <w:rsid w:val="006B2AC6"/>
    <w:rsid w:val="006F040D"/>
    <w:rsid w:val="00711AEC"/>
    <w:rsid w:val="0075292A"/>
    <w:rsid w:val="0076292D"/>
    <w:rsid w:val="007805DD"/>
    <w:rsid w:val="0078447E"/>
    <w:rsid w:val="00790C9D"/>
    <w:rsid w:val="007A2892"/>
    <w:rsid w:val="007B4992"/>
    <w:rsid w:val="007C073A"/>
    <w:rsid w:val="007D0053"/>
    <w:rsid w:val="007E11D7"/>
    <w:rsid w:val="008140FC"/>
    <w:rsid w:val="00825F8A"/>
    <w:rsid w:val="008315B8"/>
    <w:rsid w:val="00837F62"/>
    <w:rsid w:val="00862507"/>
    <w:rsid w:val="00887853"/>
    <w:rsid w:val="00887E16"/>
    <w:rsid w:val="008B1CF1"/>
    <w:rsid w:val="008B4FE6"/>
    <w:rsid w:val="008C4ADD"/>
    <w:rsid w:val="008D06D7"/>
    <w:rsid w:val="008E5205"/>
    <w:rsid w:val="008F1457"/>
    <w:rsid w:val="009014A3"/>
    <w:rsid w:val="0091493B"/>
    <w:rsid w:val="00915809"/>
    <w:rsid w:val="00925C3A"/>
    <w:rsid w:val="00932E79"/>
    <w:rsid w:val="0093404D"/>
    <w:rsid w:val="00967372"/>
    <w:rsid w:val="009705DE"/>
    <w:rsid w:val="00992153"/>
    <w:rsid w:val="00992550"/>
    <w:rsid w:val="009C0E1D"/>
    <w:rsid w:val="009E32FD"/>
    <w:rsid w:val="00A45D75"/>
    <w:rsid w:val="00A464E6"/>
    <w:rsid w:val="00A56492"/>
    <w:rsid w:val="00A612A7"/>
    <w:rsid w:val="00A64167"/>
    <w:rsid w:val="00AC17FC"/>
    <w:rsid w:val="00AE791F"/>
    <w:rsid w:val="00B2625F"/>
    <w:rsid w:val="00B31578"/>
    <w:rsid w:val="00B32335"/>
    <w:rsid w:val="00B34957"/>
    <w:rsid w:val="00B41799"/>
    <w:rsid w:val="00B4574D"/>
    <w:rsid w:val="00BD5535"/>
    <w:rsid w:val="00C01FBE"/>
    <w:rsid w:val="00C354CD"/>
    <w:rsid w:val="00C44611"/>
    <w:rsid w:val="00C51EC2"/>
    <w:rsid w:val="00C66534"/>
    <w:rsid w:val="00C85671"/>
    <w:rsid w:val="00D21C1C"/>
    <w:rsid w:val="00DA62EC"/>
    <w:rsid w:val="00DA6EA3"/>
    <w:rsid w:val="00DB14BA"/>
    <w:rsid w:val="00DD69EB"/>
    <w:rsid w:val="00DF1EC0"/>
    <w:rsid w:val="00E10115"/>
    <w:rsid w:val="00E91007"/>
    <w:rsid w:val="00EA6ED3"/>
    <w:rsid w:val="00EC1469"/>
    <w:rsid w:val="00ED3D33"/>
    <w:rsid w:val="00F02B8E"/>
    <w:rsid w:val="00F125E4"/>
    <w:rsid w:val="00F326B7"/>
    <w:rsid w:val="00F6083A"/>
    <w:rsid w:val="00F72526"/>
    <w:rsid w:val="00F96FA4"/>
    <w:rsid w:val="00FA780E"/>
    <w:rsid w:val="00FC4759"/>
    <w:rsid w:val="00FE1E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703AC9"/>
  <w15:chartTrackingRefBased/>
  <w15:docId w15:val="{186BB7D7-3732-4116-810D-948B19CB5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5" w:qFormat="1"/>
    <w:lsdException w:name="heading 2" w:semiHidden="1" w:uiPriority="5" w:unhideWhenUsed="1" w:qFormat="1"/>
    <w:lsdException w:name="heading 3" w:semiHidden="1" w:uiPriority="5" w:unhideWhenUsed="1" w:qFormat="1"/>
    <w:lsdException w:name="heading 4" w:uiPriority="5" w:qFormat="1"/>
    <w:lsdException w:name="heading 5" w:uiPriority="5" w:qFormat="1"/>
    <w:lsdException w:name="heading 6" w:semiHidden="1" w:uiPriority="3" w:qFormat="1"/>
    <w:lsdException w:name="heading 7" w:semiHidden="1" w:uiPriority="3" w:qFormat="1"/>
    <w:lsdException w:name="heading 8" w:semiHidden="1" w:uiPriority="3" w:qFormat="1"/>
    <w:lsdException w:name="heading 9" w:semiHidden="1" w:uiPriority="3"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uiPriority="3"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uiPriority="3"/>
    <w:lsdException w:name="List Bullet 3" w:uiPriority="3"/>
    <w:lsdException w:name="List Bullet 4" w:semiHidden="1"/>
    <w:lsdException w:name="List Bullet 5" w:semiHidden="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FA4"/>
    <w:pPr>
      <w:spacing w:after="0" w:line="240" w:lineRule="auto"/>
      <w:jc w:val="both"/>
    </w:pPr>
    <w:rPr>
      <w:sz w:val="18"/>
    </w:rPr>
  </w:style>
  <w:style w:type="paragraph" w:styleId="Heading1">
    <w:name w:val="heading 1"/>
    <w:basedOn w:val="Normal"/>
    <w:next w:val="Normal"/>
    <w:link w:val="Heading1Char"/>
    <w:uiPriority w:val="5"/>
    <w:qFormat/>
    <w:rsid w:val="00915809"/>
    <w:pPr>
      <w:keepNext/>
      <w:keepLines/>
      <w:numPr>
        <w:numId w:val="37"/>
      </w:numPr>
      <w:spacing w:after="120"/>
      <w:jc w:val="left"/>
      <w:outlineLvl w:val="0"/>
    </w:pPr>
    <w:rPr>
      <w:rFonts w:asciiTheme="majorHAnsi" w:eastAsiaTheme="majorEastAsia" w:hAnsiTheme="majorHAnsi" w:cstheme="majorBidi"/>
      <w:color w:val="000000" w:themeColor="text1"/>
      <w:sz w:val="24"/>
      <w:szCs w:val="32"/>
      <w14:textFill>
        <w14:gradFill>
          <w14:gsLst>
            <w14:gs w14:pos="0">
              <w14:schemeClr w14:val="accent4"/>
            </w14:gs>
            <w14:gs w14:pos="100000">
              <w14:srgbClr w14:val="FFA400"/>
            </w14:gs>
          </w14:gsLst>
          <w14:lin w14:ang="2700000" w14:scaled="0"/>
        </w14:gradFill>
      </w14:textFill>
    </w:rPr>
  </w:style>
  <w:style w:type="paragraph" w:styleId="Heading2">
    <w:name w:val="heading 2"/>
    <w:basedOn w:val="Normal"/>
    <w:next w:val="Normal"/>
    <w:link w:val="Heading2Char"/>
    <w:uiPriority w:val="5"/>
    <w:qFormat/>
    <w:rsid w:val="00915809"/>
    <w:pPr>
      <w:keepNext/>
      <w:keepLines/>
      <w:numPr>
        <w:ilvl w:val="1"/>
        <w:numId w:val="37"/>
      </w:numPr>
      <w:spacing w:before="40" w:after="120"/>
      <w:outlineLvl w:val="1"/>
    </w:pPr>
    <w:rPr>
      <w:rFonts w:asciiTheme="majorHAnsi" w:eastAsiaTheme="majorEastAsia" w:hAnsiTheme="majorHAnsi" w:cstheme="majorBidi"/>
      <w:color w:val="202945" w:themeColor="text2"/>
      <w:sz w:val="21"/>
      <w:szCs w:val="26"/>
    </w:rPr>
  </w:style>
  <w:style w:type="paragraph" w:styleId="Heading3">
    <w:name w:val="heading 3"/>
    <w:basedOn w:val="Normal"/>
    <w:next w:val="Normal"/>
    <w:link w:val="Heading3Char"/>
    <w:uiPriority w:val="5"/>
    <w:qFormat/>
    <w:rsid w:val="00915809"/>
    <w:pPr>
      <w:keepNext/>
      <w:keepLines/>
      <w:numPr>
        <w:ilvl w:val="2"/>
        <w:numId w:val="37"/>
      </w:numPr>
      <w:spacing w:before="40" w:after="120"/>
      <w:outlineLvl w:val="2"/>
    </w:pPr>
    <w:rPr>
      <w:rFonts w:asciiTheme="majorHAnsi" w:eastAsiaTheme="majorEastAsia" w:hAnsiTheme="majorHAnsi" w:cstheme="majorBidi"/>
      <w:color w:val="79D6FF" w:themeColor="accent1"/>
      <w:szCs w:val="24"/>
    </w:rPr>
  </w:style>
  <w:style w:type="paragraph" w:styleId="Heading4">
    <w:name w:val="heading 4"/>
    <w:basedOn w:val="Normal"/>
    <w:next w:val="Normal"/>
    <w:link w:val="Heading4Char"/>
    <w:uiPriority w:val="5"/>
    <w:qFormat/>
    <w:rsid w:val="00915809"/>
    <w:pPr>
      <w:keepNext/>
      <w:keepLines/>
      <w:numPr>
        <w:ilvl w:val="3"/>
        <w:numId w:val="37"/>
      </w:numPr>
      <w:spacing w:before="40" w:after="120"/>
      <w:outlineLvl w:val="3"/>
    </w:pPr>
    <w:rPr>
      <w:rFonts w:asciiTheme="majorHAnsi" w:eastAsiaTheme="majorEastAsia" w:hAnsiTheme="majorHAnsi" w:cstheme="majorBidi"/>
      <w:iCs/>
      <w:color w:val="79D6FF" w:themeColor="accent1"/>
    </w:rPr>
  </w:style>
  <w:style w:type="paragraph" w:styleId="Heading5">
    <w:name w:val="heading 5"/>
    <w:basedOn w:val="Normal"/>
    <w:next w:val="Normal"/>
    <w:link w:val="Heading5Char"/>
    <w:uiPriority w:val="5"/>
    <w:rsid w:val="00915809"/>
    <w:pPr>
      <w:keepNext/>
      <w:keepLines/>
      <w:numPr>
        <w:ilvl w:val="4"/>
        <w:numId w:val="37"/>
      </w:numPr>
      <w:spacing w:before="40" w:after="60"/>
      <w:outlineLvl w:val="4"/>
    </w:pPr>
    <w:rPr>
      <w:rFonts w:asciiTheme="majorHAnsi" w:eastAsiaTheme="majorEastAsia" w:hAnsiTheme="majorHAnsi" w:cstheme="majorBidi"/>
      <w:color w:val="79D6FF" w:themeColor="accent1"/>
    </w:rPr>
  </w:style>
  <w:style w:type="paragraph" w:styleId="Heading6">
    <w:name w:val="heading 6"/>
    <w:basedOn w:val="Normal"/>
    <w:next w:val="Normal"/>
    <w:link w:val="Heading6Char"/>
    <w:uiPriority w:val="3"/>
    <w:semiHidden/>
    <w:qFormat/>
    <w:rsid w:val="00F725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3"/>
    <w:semiHidden/>
    <w:qFormat/>
    <w:rsid w:val="00F725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3"/>
    <w:semiHidden/>
    <w:qFormat/>
    <w:rsid w:val="00F725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3"/>
    <w:semiHidden/>
    <w:qFormat/>
    <w:rsid w:val="00F725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1D7"/>
    <w:pPr>
      <w:tabs>
        <w:tab w:val="center" w:pos="4680"/>
        <w:tab w:val="right" w:pos="9360"/>
      </w:tabs>
    </w:pPr>
    <w:rPr>
      <w:rFonts w:ascii="Nunito Sans ExtraBold" w:hAnsi="Nunito Sans ExtraBold"/>
      <w:color w:val="FF6C0E" w:themeColor="accent4"/>
      <w:sz w:val="24"/>
    </w:rPr>
  </w:style>
  <w:style w:type="character" w:customStyle="1" w:styleId="HeaderChar">
    <w:name w:val="Header Char"/>
    <w:basedOn w:val="DefaultParagraphFont"/>
    <w:link w:val="Header"/>
    <w:uiPriority w:val="99"/>
    <w:rsid w:val="007E11D7"/>
    <w:rPr>
      <w:rFonts w:ascii="Nunito Sans ExtraBold" w:hAnsi="Nunito Sans ExtraBold"/>
      <w:color w:val="FF6C0E" w:themeColor="accent4"/>
      <w:sz w:val="24"/>
    </w:rPr>
  </w:style>
  <w:style w:type="paragraph" w:styleId="Footer">
    <w:name w:val="footer"/>
    <w:basedOn w:val="Normal"/>
    <w:link w:val="FooterChar"/>
    <w:uiPriority w:val="99"/>
    <w:unhideWhenUsed/>
    <w:rsid w:val="007E11D7"/>
    <w:pPr>
      <w:tabs>
        <w:tab w:val="center" w:pos="4680"/>
        <w:tab w:val="right" w:pos="9360"/>
      </w:tabs>
    </w:pPr>
    <w:rPr>
      <w:sz w:val="16"/>
    </w:rPr>
  </w:style>
  <w:style w:type="character" w:customStyle="1" w:styleId="FooterChar">
    <w:name w:val="Footer Char"/>
    <w:basedOn w:val="DefaultParagraphFont"/>
    <w:link w:val="Footer"/>
    <w:uiPriority w:val="99"/>
    <w:rsid w:val="007E11D7"/>
    <w:rPr>
      <w:sz w:val="16"/>
    </w:rPr>
  </w:style>
  <w:style w:type="paragraph" w:styleId="Title">
    <w:name w:val="Title"/>
    <w:basedOn w:val="Normal"/>
    <w:next w:val="Normal"/>
    <w:link w:val="TitleChar"/>
    <w:uiPriority w:val="99"/>
    <w:qFormat/>
    <w:rsid w:val="007E11D7"/>
    <w:pPr>
      <w:contextualSpacing/>
    </w:pPr>
    <w:rPr>
      <w:rFonts w:asciiTheme="majorHAnsi" w:eastAsiaTheme="majorEastAsia" w:hAnsiTheme="majorHAnsi" w:cstheme="majorBidi"/>
      <w:spacing w:val="-10"/>
      <w:kern w:val="28"/>
      <w:sz w:val="52"/>
      <w:szCs w:val="56"/>
      <w14:textFill>
        <w14:gradFill>
          <w14:gsLst>
            <w14:gs w14:pos="0">
              <w14:schemeClr w14:val="accent4"/>
            </w14:gs>
            <w14:gs w14:pos="100000">
              <w14:srgbClr w14:val="FFA400"/>
            </w14:gs>
          </w14:gsLst>
          <w14:lin w14:ang="0" w14:scaled="0"/>
        </w14:gradFill>
      </w14:textFill>
    </w:rPr>
  </w:style>
  <w:style w:type="character" w:customStyle="1" w:styleId="TitleChar">
    <w:name w:val="Title Char"/>
    <w:basedOn w:val="DefaultParagraphFont"/>
    <w:link w:val="Title"/>
    <w:uiPriority w:val="99"/>
    <w:rsid w:val="007E11D7"/>
    <w:rPr>
      <w:rFonts w:asciiTheme="majorHAnsi" w:eastAsiaTheme="majorEastAsia" w:hAnsiTheme="majorHAnsi" w:cstheme="majorBidi"/>
      <w:spacing w:val="-10"/>
      <w:kern w:val="28"/>
      <w:sz w:val="52"/>
      <w:szCs w:val="56"/>
      <w14:textFill>
        <w14:gradFill>
          <w14:gsLst>
            <w14:gs w14:pos="0">
              <w14:schemeClr w14:val="accent4"/>
            </w14:gs>
            <w14:gs w14:pos="100000">
              <w14:srgbClr w14:val="FFA400"/>
            </w14:gs>
          </w14:gsLst>
          <w14:lin w14:ang="0" w14:scaled="0"/>
        </w14:gradFill>
      </w14:textFill>
    </w:rPr>
  </w:style>
  <w:style w:type="character" w:styleId="PlaceholderText">
    <w:name w:val="Placeholder Text"/>
    <w:basedOn w:val="DefaultParagraphFont"/>
    <w:uiPriority w:val="99"/>
    <w:semiHidden/>
    <w:rsid w:val="007E11D7"/>
    <w:rPr>
      <w:color w:val="808080"/>
    </w:rPr>
  </w:style>
  <w:style w:type="paragraph" w:styleId="Subtitle">
    <w:name w:val="Subtitle"/>
    <w:basedOn w:val="Normal"/>
    <w:next w:val="Normal"/>
    <w:link w:val="SubtitleChar"/>
    <w:uiPriority w:val="99"/>
    <w:rsid w:val="007E11D7"/>
    <w:pPr>
      <w:numPr>
        <w:ilvl w:val="1"/>
      </w:numPr>
    </w:pPr>
    <w:rPr>
      <w:color w:val="000000" w:themeColor="text1"/>
      <w:sz w:val="21"/>
    </w:rPr>
  </w:style>
  <w:style w:type="character" w:customStyle="1" w:styleId="SubtitleChar">
    <w:name w:val="Subtitle Char"/>
    <w:basedOn w:val="DefaultParagraphFont"/>
    <w:link w:val="Subtitle"/>
    <w:uiPriority w:val="99"/>
    <w:rsid w:val="007E11D7"/>
    <w:rPr>
      <w:rFonts w:eastAsiaTheme="minorEastAsia"/>
      <w:color w:val="000000" w:themeColor="text1"/>
      <w:sz w:val="21"/>
    </w:rPr>
  </w:style>
  <w:style w:type="character" w:styleId="Emphasis">
    <w:name w:val="Emphasis"/>
    <w:basedOn w:val="DefaultParagraphFont"/>
    <w:uiPriority w:val="20"/>
    <w:qFormat/>
    <w:rsid w:val="007E11D7"/>
    <w:rPr>
      <w:i/>
      <w:iCs/>
      <w:color w:val="000000" w:themeColor="text1"/>
      <w:sz w:val="24"/>
    </w:rPr>
  </w:style>
  <w:style w:type="character" w:customStyle="1" w:styleId="Heading1Char">
    <w:name w:val="Heading 1 Char"/>
    <w:basedOn w:val="DefaultParagraphFont"/>
    <w:link w:val="Heading1"/>
    <w:uiPriority w:val="5"/>
    <w:rsid w:val="00915809"/>
    <w:rPr>
      <w:rFonts w:asciiTheme="majorHAnsi" w:eastAsiaTheme="majorEastAsia" w:hAnsiTheme="majorHAnsi" w:cstheme="majorBidi"/>
      <w:color w:val="000000" w:themeColor="text1"/>
      <w:sz w:val="24"/>
      <w:szCs w:val="32"/>
      <w14:textFill>
        <w14:gradFill>
          <w14:gsLst>
            <w14:gs w14:pos="0">
              <w14:schemeClr w14:val="accent4"/>
            </w14:gs>
            <w14:gs w14:pos="100000">
              <w14:srgbClr w14:val="FFA400"/>
            </w14:gs>
          </w14:gsLst>
          <w14:lin w14:ang="2700000" w14:scaled="0"/>
        </w14:gradFill>
      </w14:textFill>
    </w:rPr>
  </w:style>
  <w:style w:type="character" w:customStyle="1" w:styleId="Heading2Char">
    <w:name w:val="Heading 2 Char"/>
    <w:basedOn w:val="DefaultParagraphFont"/>
    <w:link w:val="Heading2"/>
    <w:uiPriority w:val="5"/>
    <w:rsid w:val="00915809"/>
    <w:rPr>
      <w:rFonts w:asciiTheme="majorHAnsi" w:eastAsiaTheme="majorEastAsia" w:hAnsiTheme="majorHAnsi" w:cstheme="majorBidi"/>
      <w:color w:val="202945" w:themeColor="text2"/>
      <w:sz w:val="21"/>
      <w:szCs w:val="26"/>
    </w:rPr>
  </w:style>
  <w:style w:type="character" w:customStyle="1" w:styleId="Heading3Char">
    <w:name w:val="Heading 3 Char"/>
    <w:basedOn w:val="DefaultParagraphFont"/>
    <w:link w:val="Heading3"/>
    <w:uiPriority w:val="5"/>
    <w:rsid w:val="00915809"/>
    <w:rPr>
      <w:rFonts w:asciiTheme="majorHAnsi" w:eastAsiaTheme="majorEastAsia" w:hAnsiTheme="majorHAnsi" w:cstheme="majorBidi"/>
      <w:color w:val="79D6FF" w:themeColor="accent1"/>
      <w:sz w:val="18"/>
      <w:szCs w:val="24"/>
    </w:rPr>
  </w:style>
  <w:style w:type="numbering" w:customStyle="1" w:styleId="TOCSyz">
    <w:name w:val="TOC_Syz"/>
    <w:uiPriority w:val="99"/>
    <w:rsid w:val="00915809"/>
    <w:pPr>
      <w:numPr>
        <w:numId w:val="7"/>
      </w:numPr>
    </w:pPr>
  </w:style>
  <w:style w:type="paragraph" w:styleId="TOC1">
    <w:name w:val="toc 1"/>
    <w:basedOn w:val="Normal"/>
    <w:next w:val="Normal"/>
    <w:autoRedefine/>
    <w:uiPriority w:val="39"/>
    <w:rsid w:val="007E11D7"/>
    <w:pPr>
      <w:pBdr>
        <w:top w:val="single" w:sz="4" w:space="2" w:color="auto"/>
      </w:pBdr>
      <w:tabs>
        <w:tab w:val="left" w:pos="660"/>
        <w:tab w:val="right" w:pos="9628"/>
      </w:tabs>
      <w:spacing w:before="240" w:after="240"/>
    </w:pPr>
    <w:rPr>
      <w:rFonts w:ascii="Nunito Sans SemiBold" w:hAnsi="Nunito Sans SemiBold"/>
      <w:caps/>
      <w:noProof/>
      <w:color w:val="202945" w:themeColor="text2"/>
      <w:sz w:val="21"/>
    </w:rPr>
  </w:style>
  <w:style w:type="character" w:customStyle="1" w:styleId="Heading4Char">
    <w:name w:val="Heading 4 Char"/>
    <w:basedOn w:val="DefaultParagraphFont"/>
    <w:link w:val="Heading4"/>
    <w:uiPriority w:val="5"/>
    <w:rsid w:val="00915809"/>
    <w:rPr>
      <w:rFonts w:asciiTheme="majorHAnsi" w:eastAsiaTheme="majorEastAsia" w:hAnsiTheme="majorHAnsi" w:cstheme="majorBidi"/>
      <w:iCs/>
      <w:color w:val="79D6FF" w:themeColor="accent1"/>
      <w:sz w:val="18"/>
    </w:rPr>
  </w:style>
  <w:style w:type="character" w:customStyle="1" w:styleId="Heading5Char">
    <w:name w:val="Heading 5 Char"/>
    <w:basedOn w:val="DefaultParagraphFont"/>
    <w:link w:val="Heading5"/>
    <w:uiPriority w:val="5"/>
    <w:rsid w:val="00915809"/>
    <w:rPr>
      <w:rFonts w:asciiTheme="majorHAnsi" w:eastAsiaTheme="majorEastAsia" w:hAnsiTheme="majorHAnsi" w:cstheme="majorBidi"/>
      <w:color w:val="79D6FF" w:themeColor="accent1"/>
      <w:sz w:val="18"/>
    </w:rPr>
  </w:style>
  <w:style w:type="paragraph" w:styleId="TOC2">
    <w:name w:val="toc 2"/>
    <w:basedOn w:val="Normal"/>
    <w:next w:val="Normal"/>
    <w:autoRedefine/>
    <w:uiPriority w:val="39"/>
    <w:rsid w:val="007E11D7"/>
    <w:pPr>
      <w:pBdr>
        <w:top w:val="dashSmallGap" w:sz="4" w:space="2" w:color="000000" w:themeColor="text1"/>
      </w:pBdr>
      <w:spacing w:after="100"/>
    </w:pPr>
    <w:rPr>
      <w:caps/>
      <w:color w:val="202945" w:themeColor="text2"/>
    </w:rPr>
  </w:style>
  <w:style w:type="paragraph" w:styleId="TOC3">
    <w:name w:val="toc 3"/>
    <w:basedOn w:val="Normal"/>
    <w:next w:val="Normal"/>
    <w:autoRedefine/>
    <w:uiPriority w:val="39"/>
    <w:rsid w:val="007E11D7"/>
    <w:pPr>
      <w:spacing w:after="100"/>
    </w:pPr>
  </w:style>
  <w:style w:type="paragraph" w:styleId="TOCHeading">
    <w:name w:val="TOC Heading"/>
    <w:basedOn w:val="Heading1"/>
    <w:next w:val="Normal"/>
    <w:uiPriority w:val="39"/>
    <w:unhideWhenUsed/>
    <w:rsid w:val="007E11D7"/>
    <w:pPr>
      <w:numPr>
        <w:numId w:val="0"/>
      </w:numPr>
      <w:pBdr>
        <w:top w:val="single" w:sz="4" w:space="2" w:color="auto"/>
      </w:pBdr>
      <w:spacing w:before="240" w:line="259" w:lineRule="auto"/>
      <w:outlineLvl w:val="9"/>
    </w:pPr>
    <w:rPr>
      <w:rFonts w:ascii="Nunito Sans SemiBold" w:hAnsi="Nunito Sans SemiBold"/>
      <w:caps/>
      <w:color w:val="202945" w:themeColor="text2"/>
      <w:sz w:val="18"/>
      <w14:textFill>
        <w14:solidFill>
          <w14:schemeClr w14:val="tx2"/>
        </w14:solidFill>
      </w14:textFill>
    </w:rPr>
  </w:style>
  <w:style w:type="character" w:styleId="Hyperlink">
    <w:name w:val="Hyperlink"/>
    <w:basedOn w:val="DefaultParagraphFont"/>
    <w:uiPriority w:val="99"/>
    <w:unhideWhenUsed/>
    <w:rsid w:val="007E11D7"/>
    <w:rPr>
      <w:color w:val="E6A4AD" w:themeColor="hyperlink"/>
      <w:u w:val="single"/>
    </w:rPr>
  </w:style>
  <w:style w:type="table" w:styleId="TableGrid">
    <w:name w:val="Table Grid"/>
    <w:basedOn w:val="TableNormal"/>
    <w:uiPriority w:val="39"/>
    <w:rsid w:val="007E11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3"/>
    <w:qFormat/>
    <w:rsid w:val="007E11D7"/>
    <w:pPr>
      <w:numPr>
        <w:numId w:val="25"/>
      </w:numPr>
      <w:contextualSpacing/>
    </w:pPr>
  </w:style>
  <w:style w:type="paragraph" w:styleId="ListBullet2">
    <w:name w:val="List Bullet 2"/>
    <w:basedOn w:val="Normal"/>
    <w:uiPriority w:val="3"/>
    <w:rsid w:val="007E11D7"/>
    <w:pPr>
      <w:numPr>
        <w:ilvl w:val="1"/>
        <w:numId w:val="25"/>
      </w:numPr>
      <w:contextualSpacing/>
    </w:pPr>
  </w:style>
  <w:style w:type="paragraph" w:styleId="ListBullet3">
    <w:name w:val="List Bullet 3"/>
    <w:basedOn w:val="Normal"/>
    <w:uiPriority w:val="3"/>
    <w:rsid w:val="007E11D7"/>
    <w:pPr>
      <w:numPr>
        <w:ilvl w:val="2"/>
        <w:numId w:val="25"/>
      </w:numPr>
      <w:contextualSpacing/>
    </w:pPr>
  </w:style>
  <w:style w:type="paragraph" w:styleId="ListNumber">
    <w:name w:val="List Number"/>
    <w:basedOn w:val="Normal"/>
    <w:uiPriority w:val="4"/>
    <w:qFormat/>
    <w:rsid w:val="007E11D7"/>
    <w:pPr>
      <w:numPr>
        <w:numId w:val="26"/>
      </w:numPr>
      <w:contextualSpacing/>
    </w:pPr>
  </w:style>
  <w:style w:type="paragraph" w:styleId="ListNumber2">
    <w:name w:val="List Number 2"/>
    <w:basedOn w:val="Normal"/>
    <w:uiPriority w:val="4"/>
    <w:rsid w:val="007E11D7"/>
    <w:pPr>
      <w:numPr>
        <w:ilvl w:val="1"/>
        <w:numId w:val="26"/>
      </w:numPr>
      <w:contextualSpacing/>
    </w:pPr>
  </w:style>
  <w:style w:type="paragraph" w:styleId="ListNumber3">
    <w:name w:val="List Number 3"/>
    <w:basedOn w:val="Normal"/>
    <w:uiPriority w:val="4"/>
    <w:rsid w:val="007E11D7"/>
    <w:pPr>
      <w:numPr>
        <w:ilvl w:val="2"/>
        <w:numId w:val="26"/>
      </w:numPr>
      <w:contextualSpacing/>
    </w:pPr>
  </w:style>
  <w:style w:type="numbering" w:customStyle="1" w:styleId="BulletSyz">
    <w:name w:val="Bullet_Syz"/>
    <w:uiPriority w:val="99"/>
    <w:rsid w:val="007E11D7"/>
    <w:pPr>
      <w:numPr>
        <w:numId w:val="11"/>
      </w:numPr>
    </w:pPr>
  </w:style>
  <w:style w:type="character" w:styleId="IntenseEmphasis">
    <w:name w:val="Intense Emphasis"/>
    <w:basedOn w:val="DefaultParagraphFont"/>
    <w:uiPriority w:val="21"/>
    <w:qFormat/>
    <w:rsid w:val="007E11D7"/>
    <w:rPr>
      <w:rFonts w:ascii="Nunito Sans SemiBold" w:hAnsi="Nunito Sans SemiBold"/>
      <w:i w:val="0"/>
      <w:iCs/>
      <w:color w:val="auto"/>
      <w:sz w:val="72"/>
      <w14:textFill>
        <w14:gradFill>
          <w14:gsLst>
            <w14:gs w14:pos="0">
              <w14:schemeClr w14:val="accent4"/>
            </w14:gs>
            <w14:gs w14:pos="100000">
              <w14:srgbClr w14:val="FFA400"/>
            </w14:gs>
          </w14:gsLst>
          <w14:lin w14:ang="2700000" w14:scaled="0"/>
        </w14:gradFill>
      </w14:textFill>
    </w:rPr>
  </w:style>
  <w:style w:type="numbering" w:customStyle="1" w:styleId="NumberedSyz">
    <w:name w:val="Numbered_Syz"/>
    <w:uiPriority w:val="99"/>
    <w:rsid w:val="007E11D7"/>
    <w:pPr>
      <w:numPr>
        <w:numId w:val="13"/>
      </w:numPr>
    </w:pPr>
  </w:style>
  <w:style w:type="character" w:styleId="Strong">
    <w:name w:val="Strong"/>
    <w:basedOn w:val="DefaultParagraphFont"/>
    <w:uiPriority w:val="2"/>
    <w:qFormat/>
    <w:rsid w:val="007E11D7"/>
    <w:rPr>
      <w:b/>
      <w:bCs/>
    </w:rPr>
  </w:style>
  <w:style w:type="paragraph" w:styleId="ListParagraph">
    <w:name w:val="List Paragraph"/>
    <w:basedOn w:val="Normal"/>
    <w:uiPriority w:val="34"/>
    <w:semiHidden/>
    <w:qFormat/>
    <w:rsid w:val="00202C42"/>
    <w:pPr>
      <w:ind w:left="720"/>
      <w:contextualSpacing/>
    </w:pPr>
  </w:style>
  <w:style w:type="character" w:customStyle="1" w:styleId="Heading6Char">
    <w:name w:val="Heading 6 Char"/>
    <w:basedOn w:val="DefaultParagraphFont"/>
    <w:link w:val="Heading6"/>
    <w:uiPriority w:val="3"/>
    <w:semiHidden/>
    <w:rsid w:val="00F72526"/>
    <w:rPr>
      <w:rFonts w:eastAsiaTheme="majorEastAsia" w:cstheme="majorBidi"/>
      <w:i/>
      <w:iCs/>
      <w:color w:val="595959" w:themeColor="text1" w:themeTint="A6"/>
      <w:sz w:val="18"/>
    </w:rPr>
  </w:style>
  <w:style w:type="character" w:customStyle="1" w:styleId="Heading7Char">
    <w:name w:val="Heading 7 Char"/>
    <w:basedOn w:val="DefaultParagraphFont"/>
    <w:link w:val="Heading7"/>
    <w:uiPriority w:val="3"/>
    <w:semiHidden/>
    <w:rsid w:val="00F72526"/>
    <w:rPr>
      <w:rFonts w:eastAsiaTheme="majorEastAsia" w:cstheme="majorBidi"/>
      <w:color w:val="595959" w:themeColor="text1" w:themeTint="A6"/>
      <w:sz w:val="18"/>
    </w:rPr>
  </w:style>
  <w:style w:type="character" w:customStyle="1" w:styleId="Heading8Char">
    <w:name w:val="Heading 8 Char"/>
    <w:basedOn w:val="DefaultParagraphFont"/>
    <w:link w:val="Heading8"/>
    <w:uiPriority w:val="3"/>
    <w:semiHidden/>
    <w:rsid w:val="00F72526"/>
    <w:rPr>
      <w:rFonts w:eastAsiaTheme="majorEastAsia" w:cstheme="majorBidi"/>
      <w:i/>
      <w:iCs/>
      <w:color w:val="272727" w:themeColor="text1" w:themeTint="D8"/>
      <w:sz w:val="18"/>
    </w:rPr>
  </w:style>
  <w:style w:type="character" w:customStyle="1" w:styleId="Heading9Char">
    <w:name w:val="Heading 9 Char"/>
    <w:basedOn w:val="DefaultParagraphFont"/>
    <w:link w:val="Heading9"/>
    <w:uiPriority w:val="3"/>
    <w:semiHidden/>
    <w:rsid w:val="00F72526"/>
    <w:rPr>
      <w:rFonts w:eastAsiaTheme="majorEastAsia" w:cstheme="majorBidi"/>
      <w:color w:val="272727" w:themeColor="text1" w:themeTint="D8"/>
      <w:sz w:val="18"/>
    </w:rPr>
  </w:style>
  <w:style w:type="paragraph" w:styleId="Quote">
    <w:name w:val="Quote"/>
    <w:basedOn w:val="Normal"/>
    <w:next w:val="Normal"/>
    <w:link w:val="QuoteChar"/>
    <w:uiPriority w:val="29"/>
    <w:semiHidden/>
    <w:qFormat/>
    <w:rsid w:val="00F72526"/>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F72526"/>
    <w:rPr>
      <w:i/>
      <w:iCs/>
      <w:color w:val="404040" w:themeColor="text1" w:themeTint="BF"/>
      <w:sz w:val="18"/>
    </w:rPr>
  </w:style>
  <w:style w:type="paragraph" w:styleId="IntenseQuote">
    <w:name w:val="Intense Quote"/>
    <w:basedOn w:val="Normal"/>
    <w:next w:val="Normal"/>
    <w:link w:val="IntenseQuoteChar"/>
    <w:uiPriority w:val="30"/>
    <w:semiHidden/>
    <w:qFormat/>
    <w:rsid w:val="00F72526"/>
    <w:pPr>
      <w:pBdr>
        <w:top w:val="single" w:sz="4" w:space="10" w:color="1AB8FF" w:themeColor="accent1" w:themeShade="BF"/>
        <w:bottom w:val="single" w:sz="4" w:space="10" w:color="1AB8FF" w:themeColor="accent1" w:themeShade="BF"/>
      </w:pBdr>
      <w:spacing w:before="360" w:after="360"/>
      <w:ind w:left="864" w:right="864"/>
      <w:jc w:val="center"/>
    </w:pPr>
    <w:rPr>
      <w:i/>
      <w:iCs/>
      <w:color w:val="1AB8FF" w:themeColor="accent1" w:themeShade="BF"/>
    </w:rPr>
  </w:style>
  <w:style w:type="character" w:customStyle="1" w:styleId="IntenseQuoteChar">
    <w:name w:val="Intense Quote Char"/>
    <w:basedOn w:val="DefaultParagraphFont"/>
    <w:link w:val="IntenseQuote"/>
    <w:uiPriority w:val="30"/>
    <w:semiHidden/>
    <w:rsid w:val="00F72526"/>
    <w:rPr>
      <w:i/>
      <w:iCs/>
      <w:color w:val="1AB8FF" w:themeColor="accent1" w:themeShade="BF"/>
      <w:sz w:val="18"/>
    </w:rPr>
  </w:style>
  <w:style w:type="character" w:styleId="IntenseReference">
    <w:name w:val="Intense Reference"/>
    <w:basedOn w:val="DefaultParagraphFont"/>
    <w:uiPriority w:val="32"/>
    <w:semiHidden/>
    <w:qFormat/>
    <w:rsid w:val="00F72526"/>
    <w:rPr>
      <w:b/>
      <w:bCs/>
      <w:smallCaps/>
      <w:color w:val="1AB8FF" w:themeColor="accent1" w:themeShade="BF"/>
      <w:spacing w:val="5"/>
    </w:rPr>
  </w:style>
  <w:style w:type="paragraph" w:styleId="Date">
    <w:name w:val="Date"/>
    <w:basedOn w:val="Normal"/>
    <w:next w:val="Normal"/>
    <w:link w:val="DateChar"/>
    <w:uiPriority w:val="99"/>
    <w:semiHidden/>
    <w:unhideWhenUsed/>
    <w:rsid w:val="00F326B7"/>
  </w:style>
  <w:style w:type="character" w:customStyle="1" w:styleId="DateChar">
    <w:name w:val="Date Char"/>
    <w:basedOn w:val="DefaultParagraphFont"/>
    <w:link w:val="Date"/>
    <w:uiPriority w:val="99"/>
    <w:semiHidden/>
    <w:rsid w:val="00F326B7"/>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footer" Target="footer2.xml"/></Relationships>
</file>

<file path=word/theme/theme1.xml><?xml version="1.0" encoding="utf-8"?>
<a:theme xmlns:a="http://schemas.openxmlformats.org/drawingml/2006/main" name="SYZ">
  <a:themeElements>
    <a:clrScheme name="Syz 2024">
      <a:dk1>
        <a:srgbClr val="000000"/>
      </a:dk1>
      <a:lt1>
        <a:srgbClr val="FFFFFF"/>
      </a:lt1>
      <a:dk2>
        <a:srgbClr val="202945"/>
      </a:dk2>
      <a:lt2>
        <a:srgbClr val="FFC545"/>
      </a:lt2>
      <a:accent1>
        <a:srgbClr val="79D6FF"/>
      </a:accent1>
      <a:accent2>
        <a:srgbClr val="3BAF90"/>
      </a:accent2>
      <a:accent3>
        <a:srgbClr val="FFA400"/>
      </a:accent3>
      <a:accent4>
        <a:srgbClr val="FF6C0E"/>
      </a:accent4>
      <a:accent5>
        <a:srgbClr val="AC5D85"/>
      </a:accent5>
      <a:accent6>
        <a:srgbClr val="4B5F80"/>
      </a:accent6>
      <a:hlink>
        <a:srgbClr val="E6A4AD"/>
      </a:hlink>
      <a:folHlink>
        <a:srgbClr val="9DD9D2"/>
      </a:folHlink>
    </a:clrScheme>
    <a:fontScheme name="SYZ 2021">
      <a:majorFont>
        <a:latin typeface="Nunito Sans ExtraBold"/>
        <a:ea typeface=""/>
        <a:cs typeface=""/>
      </a:majorFont>
      <a:minorFont>
        <a:latin typeface="Nunito Sans"/>
        <a:ea typeface=""/>
        <a:cs typeface=""/>
      </a:minorFont>
    </a:fontScheme>
    <a:fmtScheme name="Thème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defPPr algn="ctr">
          <a:defRPr sz="1400"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vert="horz" wrap="square" lIns="0" tIns="0" rIns="0" bIns="0" rtlCol="0">
        <a:noAutofit/>
      </a:bodyPr>
      <a:lstStyle>
        <a:defPPr algn="l">
          <a:defRPr sz="1400" dirty="0" err="1" smtClean="0"/>
        </a:defPPr>
      </a:lstStyle>
    </a:txDef>
  </a:objectDefaults>
  <a:extraClrSchemeLst/>
  <a:custClrLst>
    <a:custClr name="Yellow">
      <a:srgbClr val="FFA400"/>
    </a:custClr>
    <a:custClr name="Grey Blue">
      <a:srgbClr val="4B5F80"/>
    </a:custClr>
    <a:custClr name="Light Orange">
      <a:srgbClr val="FF8300"/>
    </a:custClr>
    <a:custClr name="Red">
      <a:srgbClr val="EE3B2A"/>
    </a:custClr>
    <a:custClr name="Pink">
      <a:srgbClr val="EB3F8E"/>
    </a:custClr>
    <a:custClr name="Blue Violet">
      <a:srgbClr val="7C83C7"/>
    </a:custClr>
    <a:custClr name="Mint">
      <a:srgbClr val="00CEB0"/>
    </a:custClr>
    <a:custClr name="Gold">
      <a:srgbClr val="AA9561"/>
    </a:custClr>
  </a:custClrLst>
  <a:extLst>
    <a:ext uri="{05A4C25C-085E-4340-85A3-A5531E510DB2}">
      <thm15:themeFamily xmlns:thm15="http://schemas.microsoft.com/office/thememl/2012/main" name="SYZPrintEN.potx" id="{EE430BA9-556D-467B-961E-55B2AE9783C2}" vid="{DBD18493-7CD8-451D-9330-5D673754ABD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78CE09F451044085BD20AE26165FED" ma:contentTypeVersion="12" ma:contentTypeDescription="Create a new document." ma:contentTypeScope="" ma:versionID="6d41ab264704158c264d05c82a953a67">
  <xsd:schema xmlns:xsd="http://www.w3.org/2001/XMLSchema" xmlns:xs="http://www.w3.org/2001/XMLSchema" xmlns:p="http://schemas.microsoft.com/office/2006/metadata/properties" xmlns:ns2="e5e58b11-f745-45e3-9bae-2ebf80225d14" xmlns:ns3="ad2e9ad2-38b0-4b2b-a771-3ca98dc4e31f" targetNamespace="http://schemas.microsoft.com/office/2006/metadata/properties" ma:root="true" ma:fieldsID="91d7ba420e008b6918d39fdfede3273a" ns2:_="" ns3:_="">
    <xsd:import namespace="e5e58b11-f745-45e3-9bae-2ebf80225d14"/>
    <xsd:import namespace="ad2e9ad2-38b0-4b2b-a771-3ca98dc4e3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58b11-f745-45e3-9bae-2ebf80225d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2e9ad2-38b0-4b2b-a771-3ca98dc4e31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C34C74-EE0B-4222-9B5A-A8301E4D467B}">
  <ds:schemaRefs>
    <ds:schemaRef ds:uri="http://schemas.microsoft.com/sharepoint/v3/contenttype/forms"/>
  </ds:schemaRefs>
</ds:datastoreItem>
</file>

<file path=customXml/itemProps3.xml><?xml version="1.0" encoding="utf-8"?>
<ds:datastoreItem xmlns:ds="http://schemas.openxmlformats.org/officeDocument/2006/customXml" ds:itemID="{4D5AEBF6-094F-4912-AE7D-266EAC8FAD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58b11-f745-45e3-9bae-2ebf80225d14"/>
    <ds:schemaRef ds:uri="ad2e9ad2-38b0-4b2b-a771-3ca98dc4e3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67D8CA-3641-4FEE-821E-FF5AD669A79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B57C5C5D-CFDB-4F89-8942-AE631B672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720</Words>
  <Characters>4108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Charles-Henry Monchau</dc:creator>
  <cp:keywords/>
  <dc:description/>
  <cp:lastModifiedBy>Charles-Henry Monchau</cp:lastModifiedBy>
  <cp:revision>17</cp:revision>
  <dcterms:created xsi:type="dcterms:W3CDTF">2026-10-22T14:12:00Z</dcterms:created>
  <dcterms:modified xsi:type="dcterms:W3CDTF">2026-10-23T06:21:00Z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35c314-1da2-4782-8a1f-782d8d951436_Enabled">
    <vt:lpwstr>true</vt:lpwstr>
  </property>
  <property fmtid="{D5CDD505-2E9C-101B-9397-08002B2CF9AE}" pid="3" name="MSIP_Label_e635c314-1da2-4782-8a1f-782d8d951436_SetDate">
    <vt:lpwstr>2026-10-22T14:24:39Z</vt:lpwstr>
  </property>
  <property fmtid="{D5CDD505-2E9C-101B-9397-08002B2CF9AE}" pid="4" name="MSIP_Label_e635c314-1da2-4782-8a1f-782d8d951436_Method">
    <vt:lpwstr>Standard</vt:lpwstr>
  </property>
  <property fmtid="{D5CDD505-2E9C-101B-9397-08002B2CF9AE}" pid="5" name="MSIP_Label_e635c314-1da2-4782-8a1f-782d8d951436_Name">
    <vt:lpwstr>C1-Internal</vt:lpwstr>
  </property>
  <property fmtid="{D5CDD505-2E9C-101B-9397-08002B2CF9AE}" pid="6" name="MSIP_Label_e635c314-1da2-4782-8a1f-782d8d951436_SiteId">
    <vt:lpwstr>00137d3d-3556-4d89-bdd6-8cf30cc386e2</vt:lpwstr>
  </property>
  <property fmtid="{D5CDD505-2E9C-101B-9397-08002B2CF9AE}" pid="7" name="MSIP_Label_e635c314-1da2-4782-8a1f-782d8d951436_ActionId">
    <vt:lpwstr>1730c2f7-9c1e-41e0-a9cb-d652e1b2169c</vt:lpwstr>
  </property>
  <property fmtid="{D5CDD505-2E9C-101B-9397-08002B2CF9AE}" pid="8" name="MSIP_Label_e635c314-1da2-4782-8a1f-782d8d951436_ContentBits">
    <vt:lpwstr>0</vt:lpwstr>
  </property>
  <property fmtid="{D5CDD505-2E9C-101B-9397-08002B2CF9AE}" pid="9" name="MSIP_Label_e635c314-1da2-4782-8a1f-782d8d951436_Tag">
    <vt:lpwstr>10, 3, 0, 1</vt:lpwstr>
  </property>
</Properties>
</file>