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0F60" w14:textId="5AB9A395" w:rsidR="00F326B7" w:rsidRPr="00F326B7" w:rsidRDefault="00F326B7" w:rsidP="00F326B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week in 7 charts</w:t>
      </w:r>
    </w:p>
    <w:p w14:paraId="1EEBBE7A" w14:textId="0C36CF34" w:rsidR="00F326B7" w:rsidRPr="00F326B7" w:rsidRDefault="00F326B7" w:rsidP="00F326B7">
      <w:pPr>
        <w:jc w:val="center"/>
        <w:rPr>
          <w:sz w:val="36"/>
          <w:szCs w:val="36"/>
        </w:rPr>
      </w:pPr>
      <w:r>
        <w:rPr>
          <w:sz w:val="36"/>
          <w:szCs w:val="36"/>
        </w:rPr>
        <w:t>26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of October 2026</w:t>
      </w:r>
    </w:p>
    <w:p w14:paraId="68FDBE3B" w14:textId="77777777" w:rsidR="00F326B7" w:rsidRDefault="00F326B7" w:rsidP="00F96FA4">
      <w:pPr>
        <w:rPr>
          <w:sz w:val="24"/>
          <w:szCs w:val="24"/>
        </w:rPr>
      </w:pPr>
    </w:p>
    <w:p w14:paraId="34EEF9DD" w14:textId="24F1F241" w:rsidR="00F326B7" w:rsidRPr="00F72526" w:rsidRDefault="00F326B7" w:rsidP="00F96FA4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</w:t>
      </w:r>
    </w:p>
    <w:p w14:paraId="188CBF82" w14:textId="77777777" w:rsidR="00F72526" w:rsidRDefault="00F72526" w:rsidP="00F96FA4">
      <w:pPr>
        <w:rPr>
          <w:sz w:val="24"/>
          <w:szCs w:val="24"/>
        </w:rPr>
      </w:pPr>
    </w:p>
    <w:p w14:paraId="4ACDDF94" w14:textId="3BD06EAD" w:rsidR="00074438" w:rsidRPr="00074438" w:rsidRDefault="00074438" w:rsidP="000744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#1: AI’s debt bill is becoming a problem for tech stocks</w:t>
      </w:r>
    </w:p>
    <w:p w14:paraId="57070270" w14:textId="77777777" w:rsidR="00074438" w:rsidRPr="00074438" w:rsidRDefault="00074438" w:rsidP="00074438">
      <w:pPr>
        <w:rPr>
          <w:b/>
          <w:bCs/>
          <w:sz w:val="24"/>
          <w:szCs w:val="24"/>
        </w:rPr>
      </w:pPr>
    </w:p>
    <w:p w14:paraId="42F55C14" w14:textId="77777777" w:rsidR="00074438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>This chart tracks five-year credit-default swaps: the cost of insuring companies’ debt against default. Rising lines signal growing concern about creditworthiness.</w:t>
      </w:r>
    </w:p>
    <w:p w14:paraId="59DA397D" w14:textId="77777777" w:rsidR="00074438" w:rsidRPr="00074438" w:rsidRDefault="00074438" w:rsidP="00074438">
      <w:pPr>
        <w:rPr>
          <w:sz w:val="24"/>
          <w:szCs w:val="24"/>
        </w:rPr>
      </w:pPr>
    </w:p>
    <w:p w14:paraId="23DC6287" w14:textId="77777777" w:rsidR="00074438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>Oracle’s spread approaches 300 basis points, equivalent to roughly $300,000 annually to insure $10 million of debt. SpaceX and Broadcom also show sharp increases.</w:t>
      </w:r>
    </w:p>
    <w:p w14:paraId="58BCA105" w14:textId="77777777" w:rsidR="00074438" w:rsidRPr="00074438" w:rsidRDefault="00074438" w:rsidP="00074438">
      <w:pPr>
        <w:rPr>
          <w:sz w:val="24"/>
          <w:szCs w:val="24"/>
        </w:rPr>
      </w:pPr>
    </w:p>
    <w:p w14:paraId="577A1DB3" w14:textId="29C3FFF7" w:rsidR="00074438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>Investors are questioning whether future AI revenues will justify today’s enormous spending on chips, data centers and power.</w:t>
      </w:r>
    </w:p>
    <w:p w14:paraId="02D2308D" w14:textId="77777777" w:rsidR="00074438" w:rsidRPr="00074438" w:rsidRDefault="00074438" w:rsidP="00074438">
      <w:pPr>
        <w:rPr>
          <w:sz w:val="24"/>
          <w:szCs w:val="24"/>
        </w:rPr>
      </w:pPr>
    </w:p>
    <w:p w14:paraId="549D4080" w14:textId="77777777" w:rsidR="00074438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>That uncertainty pressures equities through three channels:</w:t>
      </w:r>
    </w:p>
    <w:p w14:paraId="400613C0" w14:textId="77777777" w:rsidR="00074438" w:rsidRDefault="00074438" w:rsidP="00074438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Financing: Higher borrowing costs reduce potential investment returns.</w:t>
      </w:r>
    </w:p>
    <w:p w14:paraId="2248875F" w14:textId="77777777" w:rsidR="00074438" w:rsidRDefault="00074438" w:rsidP="00074438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Valuations: Heavy spending absorbs cash, while uncertain profits encourage investors to pay lower earnings multiples.</w:t>
      </w:r>
    </w:p>
    <w:p w14:paraId="7E7F499A" w14:textId="5DE7D7A4" w:rsidR="00074438" w:rsidRPr="00074438" w:rsidRDefault="00074438" w:rsidP="00074438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Contagion: Financial pressure on cloud operators could slow orders for chipmakers and infrastructure suppliers.</w:t>
      </w:r>
    </w:p>
    <w:p w14:paraId="7437A535" w14:textId="77777777" w:rsidR="00074438" w:rsidRPr="00074438" w:rsidRDefault="00074438" w:rsidP="00074438">
      <w:pPr>
        <w:rPr>
          <w:sz w:val="24"/>
          <w:szCs w:val="24"/>
        </w:rPr>
      </w:pPr>
    </w:p>
    <w:p w14:paraId="15C9E3A8" w14:textId="537E045A" w:rsidR="00074438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 xml:space="preserve">With AI leaders heavily weighted in the Nasdaq index, these concerns amplify index declines. </w:t>
      </w:r>
    </w:p>
    <w:p w14:paraId="7D2F722E" w14:textId="77777777" w:rsidR="00074438" w:rsidRPr="00074438" w:rsidRDefault="00074438" w:rsidP="00074438">
      <w:pPr>
        <w:rPr>
          <w:sz w:val="24"/>
          <w:szCs w:val="24"/>
        </w:rPr>
      </w:pPr>
    </w:p>
    <w:p w14:paraId="239C6C0E" w14:textId="203C39DC" w:rsidR="0076292D" w:rsidRPr="00074438" w:rsidRDefault="00074438" w:rsidP="00074438">
      <w:pPr>
        <w:rPr>
          <w:sz w:val="24"/>
          <w:szCs w:val="24"/>
        </w:rPr>
      </w:pPr>
      <w:r>
        <w:rPr>
          <w:sz w:val="24"/>
          <w:szCs w:val="24"/>
        </w:rPr>
        <w:t>Rising CDS spreads reflect and can reinforce market anxiety. They neither imply imminent defaults nor explain the entire recent sell-off.</w:t>
      </w:r>
    </w:p>
    <w:p w14:paraId="70729695" w14:textId="77777777" w:rsidR="00F326B7" w:rsidRDefault="00F326B7" w:rsidP="00F96FA4">
      <w:pPr>
        <w:rPr>
          <w:sz w:val="24"/>
          <w:szCs w:val="24"/>
        </w:rPr>
      </w:pPr>
    </w:p>
    <w:p w14:paraId="16AB052A" w14:textId="25A8D69A" w:rsidR="00F326B7" w:rsidRDefault="0076292D" w:rsidP="00F96FA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E37917D" wp14:editId="64314393">
            <wp:extent cx="5250180" cy="3956166"/>
            <wp:effectExtent l="0" t="0" r="7620" b="6350"/>
            <wp:docPr id="1401437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110" cy="396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51E84" w14:textId="77777777" w:rsidR="00F326B7" w:rsidRDefault="00F326B7" w:rsidP="00F96FA4">
      <w:pPr>
        <w:rPr>
          <w:sz w:val="24"/>
          <w:szCs w:val="24"/>
        </w:rPr>
      </w:pPr>
    </w:p>
    <w:p w14:paraId="28A18CFE" w14:textId="3C3AD36B" w:rsidR="0076292D" w:rsidRDefault="0076292D" w:rsidP="00F96FA4">
      <w:pPr>
        <w:rPr>
          <w:sz w:val="24"/>
          <w:szCs w:val="24"/>
        </w:rPr>
      </w:pPr>
      <w:r>
        <w:rPr>
          <w:sz w:val="24"/>
          <w:szCs w:val="24"/>
        </w:rPr>
        <w:t>Source: Bloomberg</w:t>
      </w:r>
    </w:p>
    <w:p w14:paraId="29F51E6B" w14:textId="77777777" w:rsidR="0076292D" w:rsidRDefault="0076292D" w:rsidP="00F96FA4">
      <w:pPr>
        <w:rPr>
          <w:sz w:val="24"/>
          <w:szCs w:val="24"/>
        </w:rPr>
      </w:pPr>
    </w:p>
    <w:p w14:paraId="626B8122" w14:textId="77777777" w:rsidR="00F326B7" w:rsidRDefault="00F326B7" w:rsidP="00F96FA4">
      <w:pPr>
        <w:rPr>
          <w:sz w:val="24"/>
          <w:szCs w:val="24"/>
        </w:rPr>
      </w:pPr>
    </w:p>
    <w:p w14:paraId="7F4CAF68" w14:textId="77777777" w:rsidR="00F326B7" w:rsidRDefault="00F326B7" w:rsidP="00F96FA4">
      <w:pPr>
        <w:rPr>
          <w:sz w:val="24"/>
          <w:szCs w:val="24"/>
        </w:rPr>
      </w:pPr>
    </w:p>
    <w:p w14:paraId="75B09912" w14:textId="4632B57E" w:rsidR="00F72526" w:rsidRPr="00F72526" w:rsidRDefault="00F72526" w:rsidP="00F96F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#2: World’s largest wealth fund posts $30 billion loss after bond market turbulence</w:t>
      </w:r>
    </w:p>
    <w:p w14:paraId="3253A7E1" w14:textId="77777777" w:rsidR="00F72526" w:rsidRDefault="00F72526" w:rsidP="00F96FA4">
      <w:pPr>
        <w:rPr>
          <w:sz w:val="24"/>
          <w:szCs w:val="24"/>
        </w:rPr>
      </w:pPr>
    </w:p>
    <w:p w14:paraId="2F5E1215" w14:textId="77777777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Despite gains in equities, </w:t>
      </w:r>
      <w:r>
        <w:rPr>
          <w:b/>
          <w:bCs/>
          <w:sz w:val="24"/>
          <w:szCs w:val="24"/>
        </w:rPr>
        <w:t xml:space="preserve">Norway’s wealth fund reported a USD 30 billion loss</w:t>
      </w:r>
      <w:r>
        <w:rPr>
          <w:sz w:val="24"/>
          <w:szCs w:val="24"/>
        </w:rPr>
        <w:t xml:space="preserve"> in Q3, due to weaker bonds and a stronger Norwegian krone.</w:t>
      </w:r>
    </w:p>
    <w:p w14:paraId="46E88CD7" w14:textId="77777777" w:rsidR="00F72526" w:rsidRPr="00F72526" w:rsidRDefault="00F72526" w:rsidP="00F72526">
      <w:pPr>
        <w:rPr>
          <w:sz w:val="24"/>
          <w:szCs w:val="24"/>
        </w:rPr>
      </w:pPr>
    </w:p>
    <w:p w14:paraId="666FC411" w14:textId="77777777" w:rsidR="00F72526" w:rsidRPr="00F72526" w:rsidRDefault="00F72526" w:rsidP="00F72526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📉</w:t>
      </w:r>
      <w:r>
        <w:rPr>
          <w:sz w:val="24"/>
          <w:szCs w:val="24"/>
        </w:rPr>
        <w:t xml:space="preserve"> The world’s largest sovereign wealth fund reported a third-quarter loss of 278 billion Norwegian kroner as rising interest rates dragged down fixed-income investments. </w:t>
      </w:r>
    </w:p>
    <w:p w14:paraId="68C1AD58" w14:textId="77777777" w:rsidR="00F72526" w:rsidRPr="00F72526" w:rsidRDefault="00F72526" w:rsidP="00F72526">
      <w:pPr>
        <w:rPr>
          <w:sz w:val="24"/>
          <w:szCs w:val="24"/>
        </w:rPr>
      </w:pPr>
    </w:p>
    <w:p w14:paraId="167D31FF" w14:textId="77777777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>With its portfolio valued at around USD 2.3 trillion, the results highlight how bond market movements can shake even the world’s biggest institutional investors.</w:t>
      </w:r>
    </w:p>
    <w:p w14:paraId="5BF3B52A" w14:textId="77777777" w:rsidR="00F72526" w:rsidRPr="00F72526" w:rsidRDefault="00F72526" w:rsidP="00F72526">
      <w:pPr>
        <w:rPr>
          <w:sz w:val="24"/>
          <w:szCs w:val="24"/>
        </w:rPr>
      </w:pPr>
    </w:p>
    <w:p w14:paraId="2F79E892" w14:textId="5D8B20B7" w:rsidR="00F72526" w:rsidRDefault="00EA6ED3" w:rsidP="00F72526">
      <w:pPr>
        <w:rPr>
          <w:sz w:val="24"/>
          <w:szCs w:val="24"/>
        </w:rPr>
      </w:pPr>
      <w:r>
        <w:lastRenderedPageBreak/>
        <w:drawing>
          <wp:inline distT="0" distB="0" distL="0" distR="0" wp14:anchorId="3D72F681" wp14:editId="1E3C8505">
            <wp:extent cx="5036820" cy="3002338"/>
            <wp:effectExtent l="0" t="0" r="0" b="7620"/>
            <wp:docPr id="9326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10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64" cy="30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2756" w14:textId="77777777" w:rsidR="00F72526" w:rsidRDefault="00F72526" w:rsidP="00F72526">
      <w:pPr>
        <w:rPr>
          <w:sz w:val="24"/>
          <w:szCs w:val="24"/>
        </w:rPr>
      </w:pPr>
    </w:p>
    <w:p w14:paraId="368BCBC5" w14:textId="664EE7B3" w:rsid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Source: AInvest Wire</w:t>
      </w:r>
    </w:p>
    <w:p w14:paraId="3E81CCE1" w14:textId="77777777" w:rsidR="00F72526" w:rsidRDefault="00F72526" w:rsidP="00F96FA4">
      <w:pPr>
        <w:rPr>
          <w:sz w:val="24"/>
          <w:szCs w:val="24"/>
        </w:rPr>
      </w:pPr>
    </w:p>
    <w:p w14:paraId="7101ACC4" w14:textId="77777777" w:rsidR="00EA6ED3" w:rsidRDefault="00EA6ED3" w:rsidP="005D64BB">
      <w:pPr>
        <w:rPr>
          <w:b/>
          <w:bCs/>
          <w:sz w:val="24"/>
          <w:szCs w:val="24"/>
        </w:rPr>
      </w:pPr>
    </w:p>
    <w:p w14:paraId="0F526644" w14:textId="12C7E51D" w:rsidR="005D64BB" w:rsidRPr="002B6F98" w:rsidRDefault="002B6F98" w:rsidP="005D64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 #3: France’s debt problem has no single political owner</w:t>
      </w:r>
    </w:p>
    <w:p w14:paraId="6729F001" w14:textId="77777777" w:rsidR="005D64BB" w:rsidRPr="005D64BB" w:rsidRDefault="005D64BB" w:rsidP="005D64BB">
      <w:pPr>
        <w:rPr>
          <w:sz w:val="24"/>
          <w:szCs w:val="24"/>
        </w:rPr>
      </w:pPr>
    </w:p>
    <w:p w14:paraId="4EE94422" w14:textId="77777777" w:rsidR="005D64BB" w:rsidRPr="005D64BB" w:rsidRDefault="005D64BB" w:rsidP="005D64BB">
      <w:pPr>
        <w:rPr>
          <w:sz w:val="24"/>
          <w:szCs w:val="24"/>
        </w:rPr>
      </w:pPr>
      <w:r>
        <w:rPr>
          <w:sz w:val="24"/>
          <w:szCs w:val="24"/>
        </w:rPr>
        <w:t>Decades of fiscal slippage have pushed debt towards 120% of GDP.</w:t>
      </w:r>
    </w:p>
    <w:p w14:paraId="65E7AA29" w14:textId="77777777" w:rsidR="005D64BB" w:rsidRPr="005D64BB" w:rsidRDefault="005D64BB" w:rsidP="005D64BB">
      <w:pPr>
        <w:rPr>
          <w:sz w:val="24"/>
          <w:szCs w:val="24"/>
        </w:rPr>
      </w:pPr>
    </w:p>
    <w:p w14:paraId="42B95D4E" w14:textId="1B6E4EB5" w:rsidR="005D64BB" w:rsidRPr="005D64BB" w:rsidRDefault="005D64BB" w:rsidP="0076292D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Now the arithmetic is tightening: </w:t>
      </w:r>
      <w:r>
        <w:rPr>
          <w:rFonts w:hint="eastAsia"/>
          <w:sz w:val="24"/>
          <w:szCs w:val="24"/>
        </w:rPr>
        <w:t xml:space="preserve">Higher yields → higher interest costs → wider deficits → more debt.</w:t>
      </w:r>
    </w:p>
    <w:p w14:paraId="5C3D4A42" w14:textId="77777777" w:rsidR="005D64BB" w:rsidRPr="005D64BB" w:rsidRDefault="005D64BB" w:rsidP="005D64BB">
      <w:pPr>
        <w:rPr>
          <w:sz w:val="24"/>
          <w:szCs w:val="24"/>
        </w:rPr>
      </w:pPr>
    </w:p>
    <w:p w14:paraId="2DF8BB5A" w14:textId="75AC913B" w:rsidR="005D64BB" w:rsidRPr="005D64BB" w:rsidRDefault="005D64BB" w:rsidP="0076292D">
      <w:pPr>
        <w:rPr>
          <w:sz w:val="24"/>
          <w:szCs w:val="24"/>
        </w:rPr>
      </w:pPr>
      <w:r>
        <w:rPr>
          <w:sz w:val="24"/>
          <w:szCs w:val="24"/>
        </w:rPr>
        <w:t xml:space="preserve">Modest growth makes that cycle harder to break. Reforms face fierce resistance. Political instability makes lasting consolidation harder.</w:t>
      </w:r>
    </w:p>
    <w:p w14:paraId="3A383487" w14:textId="77777777" w:rsidR="005D64BB" w:rsidRPr="005D64BB" w:rsidRDefault="005D64BB" w:rsidP="005D64BB">
      <w:pPr>
        <w:rPr>
          <w:sz w:val="24"/>
          <w:szCs w:val="24"/>
        </w:rPr>
      </w:pPr>
    </w:p>
    <w:p w14:paraId="1943E7CD" w14:textId="77777777" w:rsidR="005D64BB" w:rsidRPr="005D64BB" w:rsidRDefault="005D64BB" w:rsidP="005D64BB">
      <w:pPr>
        <w:rPr>
          <w:sz w:val="24"/>
          <w:szCs w:val="24"/>
        </w:rPr>
      </w:pPr>
      <w:r>
        <w:rPr>
          <w:sz w:val="24"/>
          <w:szCs w:val="24"/>
        </w:rPr>
        <w:t>France’s economic model faces a tougher test as borrowing costs rise and debt accumulates.</w:t>
      </w:r>
    </w:p>
    <w:p w14:paraId="5D206542" w14:textId="77777777" w:rsidR="005D64BB" w:rsidRPr="005D64BB" w:rsidRDefault="005D64BB" w:rsidP="005D64BB">
      <w:pPr>
        <w:rPr>
          <w:sz w:val="24"/>
          <w:szCs w:val="24"/>
        </w:rPr>
      </w:pPr>
    </w:p>
    <w:p w14:paraId="009FF25D" w14:textId="0D1A2FC1" w:rsidR="00F72526" w:rsidRDefault="005D64BB" w:rsidP="002B6F98">
      <w:pPr>
        <w:rPr>
          <w:sz w:val="24"/>
          <w:szCs w:val="24"/>
        </w:rPr>
      </w:pPr>
      <w:r>
        <w:rPr>
          <w:sz w:val="24"/>
          <w:szCs w:val="24"/>
        </w:rPr>
        <w:t xml:space="preserve">The question reaches beyond Paris: Can France stabilise its finances before market pressure turns a national fiscal problem into a eurozone crisis?</w:t>
      </w:r>
    </w:p>
    <w:p w14:paraId="243A865B" w14:textId="77777777" w:rsidR="005D64BB" w:rsidRDefault="005D64BB" w:rsidP="004933F9">
      <w:pPr>
        <w:rPr>
          <w:b/>
          <w:bCs/>
          <w:sz w:val="24"/>
          <w:szCs w:val="24"/>
        </w:rPr>
      </w:pPr>
    </w:p>
    <w:p w14:paraId="5893A034" w14:textId="14E288BF" w:rsidR="002B6F98" w:rsidRDefault="00C44611" w:rsidP="004933F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BFE447" wp14:editId="6B530038">
            <wp:extent cx="6120130" cy="3370580"/>
            <wp:effectExtent l="0" t="0" r="0" b="1270"/>
            <wp:docPr id="284770361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4CF4" w14:textId="77777777" w:rsidR="002B6F98" w:rsidRDefault="002B6F98" w:rsidP="004933F9">
      <w:pPr>
        <w:rPr>
          <w:b/>
          <w:bCs/>
          <w:sz w:val="24"/>
          <w:szCs w:val="24"/>
        </w:rPr>
      </w:pPr>
    </w:p>
    <w:p w14:paraId="66F71A4D" w14:textId="4256822C" w:rsidR="002B6F98" w:rsidRPr="00C44611" w:rsidRDefault="002B6F98" w:rsidP="004933F9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Source: Michel A. Arouet, INSEE</w:t>
      </w:r>
    </w:p>
    <w:p w14:paraId="00B066E8" w14:textId="77777777" w:rsidR="005D64BB" w:rsidRPr="00C44611" w:rsidRDefault="005D64BB" w:rsidP="004933F9">
      <w:pPr>
        <w:rPr>
          <w:b/>
          <w:bCs/>
          <w:sz w:val="24"/>
          <w:szCs w:val="24"/>
          <w:lang w:val="fr-FR"/>
        </w:rPr>
      </w:pPr>
    </w:p>
    <w:p w14:paraId="4CBA4037" w14:textId="77777777" w:rsidR="00C44611" w:rsidRPr="00C44611" w:rsidRDefault="00C44611" w:rsidP="004933F9">
      <w:pPr>
        <w:rPr>
          <w:b/>
          <w:bCs/>
          <w:sz w:val="24"/>
          <w:szCs w:val="24"/>
          <w:lang w:val="fr-FR"/>
        </w:rPr>
      </w:pPr>
    </w:p>
    <w:p w14:paraId="66BDB6B3" w14:textId="77777777" w:rsidR="005D64BB" w:rsidRPr="00C44611" w:rsidRDefault="005D64BB" w:rsidP="004933F9">
      <w:pPr>
        <w:rPr>
          <w:b/>
          <w:bCs/>
          <w:sz w:val="24"/>
          <w:szCs w:val="24"/>
          <w:lang w:val="fr-FR"/>
        </w:rPr>
      </w:pPr>
    </w:p>
    <w:p w14:paraId="7911E463" w14:textId="19AD4A47" w:rsidR="004933F9" w:rsidRPr="004933F9" w:rsidRDefault="00F326B7" w:rsidP="004933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#4: France’s fiscal problem is becoming a corporate earnings problem</w:t>
      </w:r>
    </w:p>
    <w:p w14:paraId="3E73A8AB" w14:textId="77777777" w:rsidR="004933F9" w:rsidRPr="004933F9" w:rsidRDefault="004933F9" w:rsidP="004933F9">
      <w:pPr>
        <w:rPr>
          <w:sz w:val="24"/>
          <w:szCs w:val="24"/>
        </w:rPr>
      </w:pPr>
    </w:p>
    <w:p w14:paraId="761A87F4" w14:textId="0AFECDAE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 xml:space="preserve">On Wednesday, Carrefour shares reportedly plunged more than 13% after the company cut its outlook, warning that looting and store disruptions could cost €80–200 million in operating income.</w:t>
      </w:r>
    </w:p>
    <w:p w14:paraId="72DE81B1" w14:textId="77777777" w:rsidR="004933F9" w:rsidRPr="004933F9" w:rsidRDefault="004933F9" w:rsidP="004933F9">
      <w:pPr>
        <w:rPr>
          <w:sz w:val="24"/>
          <w:szCs w:val="24"/>
        </w:rPr>
      </w:pPr>
    </w:p>
    <w:p w14:paraId="5D224C6C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But the damage extends beyond supermarkets.</w:t>
      </w:r>
    </w:p>
    <w:p w14:paraId="07DAC572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Debt near 119% of GDP.</w:t>
      </w:r>
    </w:p>
    <w:p w14:paraId="6ED563B4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A deficit above 5%.</w:t>
      </w:r>
    </w:p>
    <w:p w14:paraId="0B5EE090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 xml:space="preserve">Public spending around 57% of GDP.</w:t>
      </w:r>
    </w:p>
    <w:p w14:paraId="51D9A4A4" w14:textId="77777777" w:rsidR="004933F9" w:rsidRPr="004933F9" w:rsidRDefault="004933F9" w:rsidP="004933F9">
      <w:pPr>
        <w:rPr>
          <w:sz w:val="24"/>
          <w:szCs w:val="24"/>
        </w:rPr>
      </w:pPr>
    </w:p>
    <w:p w14:paraId="258E077D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Now add unrest that hurts confidence, disrupts businesses and threatens tax revenues.</w:t>
      </w:r>
    </w:p>
    <w:p w14:paraId="54C20D11" w14:textId="77777777" w:rsidR="004933F9" w:rsidRPr="004933F9" w:rsidRDefault="004933F9" w:rsidP="004933F9">
      <w:pPr>
        <w:rPr>
          <w:sz w:val="24"/>
          <w:szCs w:val="24"/>
        </w:rPr>
      </w:pPr>
    </w:p>
    <w:p w14:paraId="337C2A08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The vicious circle tightens:</w:t>
      </w:r>
    </w:p>
    <w:p w14:paraId="3D653B1D" w14:textId="77777777" w:rsidR="004933F9" w:rsidRPr="004933F9" w:rsidRDefault="004933F9" w:rsidP="004933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→ Persistent deficits require more borrowing.</w:t>
      </w:r>
    </w:p>
    <w:p w14:paraId="6F99A8F0" w14:textId="77777777" w:rsidR="004933F9" w:rsidRPr="004933F9" w:rsidRDefault="004933F9" w:rsidP="004933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→ Higher yields increase interest costs.</w:t>
      </w:r>
    </w:p>
    <w:p w14:paraId="74F3047B" w14:textId="77777777" w:rsidR="004933F9" w:rsidRPr="004933F9" w:rsidRDefault="004933F9" w:rsidP="004933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→ Weak growth complicates consolidation.</w:t>
      </w:r>
    </w:p>
    <w:p w14:paraId="29FFE848" w14:textId="77777777" w:rsidR="004933F9" w:rsidRPr="004933F9" w:rsidRDefault="004933F9" w:rsidP="004933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→ Political resistance makes reform harder.</w:t>
      </w:r>
    </w:p>
    <w:p w14:paraId="597EE6E6" w14:textId="77777777" w:rsidR="004933F9" w:rsidRPr="004933F9" w:rsidRDefault="004933F9" w:rsidP="004933F9">
      <w:pPr>
        <w:rPr>
          <w:sz w:val="24"/>
          <w:szCs w:val="24"/>
        </w:rPr>
      </w:pPr>
    </w:p>
    <w:p w14:paraId="746CF01A" w14:textId="77777777" w:rsidR="004933F9" w:rsidRP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France is not inevitably heading for a debt crisis. But postponing difficult decisions keeps raising the eventual cost.</w:t>
      </w:r>
    </w:p>
    <w:p w14:paraId="1243FA87" w14:textId="77777777" w:rsidR="004933F9" w:rsidRPr="004933F9" w:rsidRDefault="004933F9" w:rsidP="004933F9">
      <w:pPr>
        <w:rPr>
          <w:sz w:val="24"/>
          <w:szCs w:val="24"/>
        </w:rPr>
      </w:pPr>
    </w:p>
    <w:p w14:paraId="54EEC1DE" w14:textId="77777777" w:rsidR="004933F9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>The risk for Europe? A French fiscal shock would test the eurozone on a scale Greece never could.</w:t>
      </w:r>
    </w:p>
    <w:p w14:paraId="6D6D8492" w14:textId="77777777" w:rsidR="004933F9" w:rsidRDefault="004933F9" w:rsidP="004933F9">
      <w:pPr>
        <w:rPr>
          <w:sz w:val="24"/>
          <w:szCs w:val="24"/>
        </w:rPr>
      </w:pPr>
    </w:p>
    <w:p w14:paraId="63B592FF" w14:textId="7AEA6DDD" w:rsidR="004933F9" w:rsidRPr="004933F9" w:rsidRDefault="002A1C9A" w:rsidP="004933F9">
      <w:pPr>
        <w:rPr>
          <w:sz w:val="24"/>
          <w:szCs w:val="24"/>
        </w:rPr>
      </w:pPr>
      <w:r>
        <w:rPr>
          <w:sz w:val="24"/>
          <w:szCs w:val="24"/>
        </w:rPr>
        <w:lastRenderedPageBreak/>
        <w:drawing>
          <wp:inline distT="0" distB="0" distL="0" distR="0" wp14:anchorId="0E85A3B6" wp14:editId="69FC7064">
            <wp:extent cx="5067300" cy="3212544"/>
            <wp:effectExtent l="0" t="0" r="0" b="6985"/>
            <wp:docPr id="16456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9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109" cy="32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3DA9" w14:textId="77777777" w:rsidR="004933F9" w:rsidRPr="004933F9" w:rsidRDefault="004933F9" w:rsidP="004933F9">
      <w:pPr>
        <w:rPr>
          <w:sz w:val="24"/>
          <w:szCs w:val="24"/>
        </w:rPr>
      </w:pPr>
    </w:p>
    <w:p w14:paraId="16764EBD" w14:textId="469A5855" w:rsidR="00F326B7" w:rsidRDefault="004933F9" w:rsidP="004933F9">
      <w:pPr>
        <w:rPr>
          <w:sz w:val="24"/>
          <w:szCs w:val="24"/>
        </w:rPr>
      </w:pPr>
      <w:r>
        <w:rPr>
          <w:sz w:val="24"/>
          <w:szCs w:val="24"/>
        </w:rPr>
        <w:t xml:space="preserve">Source: Michel A. Arouet</w:t>
      </w:r>
    </w:p>
    <w:p w14:paraId="08DBF907" w14:textId="77777777" w:rsidR="00F72526" w:rsidRDefault="00F72526" w:rsidP="00F96FA4">
      <w:pPr>
        <w:rPr>
          <w:sz w:val="24"/>
          <w:szCs w:val="24"/>
        </w:rPr>
      </w:pPr>
    </w:p>
    <w:p w14:paraId="3F009FD1" w14:textId="77777777" w:rsidR="00F72526" w:rsidRDefault="00F72526" w:rsidP="00F96FA4">
      <w:pPr>
        <w:rPr>
          <w:sz w:val="24"/>
          <w:szCs w:val="24"/>
        </w:rPr>
      </w:pPr>
    </w:p>
    <w:p w14:paraId="6E04C259" w14:textId="280736DF" w:rsidR="00F72526" w:rsidRPr="00F72526" w:rsidRDefault="00F72526" w:rsidP="00F725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#5: The Musk Universe</w:t>
      </w:r>
    </w:p>
    <w:p w14:paraId="7E72D4B0" w14:textId="77777777" w:rsidR="00F72526" w:rsidRDefault="00F72526" w:rsidP="00F72526">
      <w:pPr>
        <w:rPr>
          <w:sz w:val="24"/>
          <w:szCs w:val="24"/>
        </w:rPr>
      </w:pPr>
    </w:p>
    <w:p w14:paraId="57C6A26A" w14:textId="3A441209" w:rsid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A Bloomberg-inspired chart showing how intertwined Elon Musk’s companies are.</w:t>
      </w:r>
    </w:p>
    <w:p w14:paraId="2F84969B" w14:textId="77777777" w:rsidR="00F72526" w:rsidRDefault="00F72526" w:rsidP="00F72526">
      <w:pPr>
        <w:rPr>
          <w:sz w:val="24"/>
          <w:szCs w:val="24"/>
        </w:rPr>
      </w:pPr>
    </w:p>
    <w:p w14:paraId="6AAAB3C1" w14:textId="53F48F9B" w:rsidR="00F72526" w:rsidRDefault="00F72526" w:rsidP="00F725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76BB44" wp14:editId="3AC0DC40">
            <wp:extent cx="6120130" cy="4063365"/>
            <wp:effectExtent l="0" t="0" r="0" b="0"/>
            <wp:docPr id="164337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0A54" w14:textId="77777777" w:rsidR="00F72526" w:rsidRDefault="00F72526" w:rsidP="00F72526">
      <w:pPr>
        <w:rPr>
          <w:sz w:val="24"/>
          <w:szCs w:val="24"/>
        </w:rPr>
      </w:pPr>
    </w:p>
    <w:p w14:paraId="3C73D496" w14:textId="5BE96702" w:rsid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Source: Bank Syz</w:t>
      </w:r>
    </w:p>
    <w:p w14:paraId="46A13CCC" w14:textId="77777777" w:rsidR="00F72526" w:rsidRDefault="00F72526" w:rsidP="00F72526">
      <w:pPr>
        <w:rPr>
          <w:sz w:val="24"/>
          <w:szCs w:val="24"/>
        </w:rPr>
      </w:pPr>
    </w:p>
    <w:p w14:paraId="683060FD" w14:textId="77777777" w:rsidR="002A1C9A" w:rsidRDefault="002A1C9A" w:rsidP="002A1C9A">
      <w:pPr>
        <w:rPr>
          <w:sz w:val="24"/>
          <w:szCs w:val="24"/>
        </w:rPr>
      </w:pPr>
    </w:p>
    <w:p w14:paraId="1C347E8F" w14:textId="73CC1CE0" w:rsidR="005B1F6F" w:rsidRPr="005B1F6F" w:rsidRDefault="002A1C9A" w:rsidP="005B1F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#6: Europe’s housing market has flipped</w:t>
      </w:r>
    </w:p>
    <w:p w14:paraId="24E7F9C9" w14:textId="77777777" w:rsidR="005B1F6F" w:rsidRPr="005B1F6F" w:rsidRDefault="005B1F6F" w:rsidP="005B1F6F">
      <w:pPr>
        <w:rPr>
          <w:sz w:val="24"/>
          <w:szCs w:val="24"/>
        </w:rPr>
      </w:pPr>
    </w:p>
    <w:p w14:paraId="72665295" w14:textId="0EB3EE58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 xml:space="preserve">Here are the 3-year changes in €/m² for selected cities in Northern and Southern Europe.</w:t>
      </w:r>
    </w:p>
    <w:p w14:paraId="5A7B11AB" w14:textId="77777777" w:rsidR="005B1F6F" w:rsidRPr="005B1F6F" w:rsidRDefault="005B1F6F" w:rsidP="005B1F6F">
      <w:pPr>
        <w:rPr>
          <w:sz w:val="24"/>
          <w:szCs w:val="24"/>
        </w:rPr>
      </w:pPr>
    </w:p>
    <w:p w14:paraId="3E61AA8F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Luxembourg −11%</w:t>
      </w:r>
    </w:p>
    <w:p w14:paraId="43D8F6D5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Paris −4%</w:t>
      </w:r>
    </w:p>
    <w:p w14:paraId="75821CC5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London −2%</w:t>
      </w:r>
    </w:p>
    <w:p w14:paraId="1B96B824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Vienna −2%</w:t>
      </w:r>
    </w:p>
    <w:p w14:paraId="0022F940" w14:textId="77777777" w:rsidR="005B1F6F" w:rsidRPr="005B1F6F" w:rsidRDefault="005B1F6F" w:rsidP="005B1F6F">
      <w:pPr>
        <w:rPr>
          <w:sz w:val="24"/>
          <w:szCs w:val="24"/>
        </w:rPr>
      </w:pPr>
    </w:p>
    <w:p w14:paraId="58C0BA41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Montenegro coast +79%</w:t>
      </w:r>
    </w:p>
    <w:p w14:paraId="74B63DAE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Sofia +64%</w:t>
      </w:r>
    </w:p>
    <w:p w14:paraId="0E694449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Málaga +59%</w:t>
      </w:r>
    </w:p>
    <w:p w14:paraId="776D5299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Alicante +48%</w:t>
      </w:r>
    </w:p>
    <w:p w14:paraId="3806AC9F" w14:textId="77777777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Zagreb +44%</w:t>
      </w:r>
    </w:p>
    <w:p w14:paraId="73191F1C" w14:textId="77777777" w:rsidR="005B1F6F" w:rsidRPr="005B1F6F" w:rsidRDefault="005B1F6F" w:rsidP="005B1F6F">
      <w:pPr>
        <w:rPr>
          <w:sz w:val="24"/>
          <w:szCs w:val="24"/>
        </w:rPr>
      </w:pPr>
    </w:p>
    <w:p w14:paraId="25CB5CBA" w14:textId="41812D88" w:rsidR="005B1F6F" w:rsidRPr="005B1F6F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 xml:space="preserve">While the “old” European market has flattened, more affordable cities are growing fast.</w:t>
      </w:r>
    </w:p>
    <w:p w14:paraId="05B10040" w14:textId="77777777" w:rsidR="005B1F6F" w:rsidRDefault="005B1F6F" w:rsidP="005B1F6F">
      <w:pPr>
        <w:rPr>
          <w:sz w:val="24"/>
          <w:szCs w:val="24"/>
        </w:rPr>
      </w:pPr>
    </w:p>
    <w:p w14:paraId="409A8BEC" w14:textId="10D531CC" w:rsidR="0066146F" w:rsidRDefault="0066146F" w:rsidP="005B1F6F">
      <w:pPr>
        <w:rPr>
          <w:sz w:val="24"/>
          <w:szCs w:val="24"/>
        </w:rPr>
      </w:pPr>
      <w:r>
        <w:lastRenderedPageBreak/>
        <w:drawing>
          <wp:inline distT="0" distB="0" distL="0" distR="0" wp14:anchorId="5DE41308" wp14:editId="41574DE3">
            <wp:extent cx="4777740" cy="5971927"/>
            <wp:effectExtent l="0" t="0" r="3810" b="0"/>
            <wp:docPr id="113708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9536" cy="597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342D" w14:textId="77777777" w:rsidR="0066146F" w:rsidRDefault="0066146F" w:rsidP="005B1F6F">
      <w:pPr>
        <w:rPr>
          <w:sz w:val="24"/>
          <w:szCs w:val="24"/>
        </w:rPr>
      </w:pPr>
    </w:p>
    <w:p w14:paraId="2E3BB143" w14:textId="1724052E" w:rsidR="00F72526" w:rsidRDefault="005B1F6F" w:rsidP="005B1F6F">
      <w:pPr>
        <w:rPr>
          <w:sz w:val="24"/>
          <w:szCs w:val="24"/>
        </w:rPr>
      </w:pPr>
      <w:r>
        <w:rPr>
          <w:sz w:val="24"/>
          <w:szCs w:val="24"/>
        </w:rPr>
        <w:t>Source: Global Property Guide on X</w:t>
      </w:r>
    </w:p>
    <w:p w14:paraId="52AEAD39" w14:textId="77777777" w:rsidR="002A1C9A" w:rsidRDefault="002A1C9A" w:rsidP="00F72526">
      <w:pPr>
        <w:rPr>
          <w:sz w:val="24"/>
          <w:szCs w:val="24"/>
        </w:rPr>
      </w:pPr>
    </w:p>
    <w:p w14:paraId="148C5F4A" w14:textId="77777777" w:rsidR="002A1C9A" w:rsidRDefault="002A1C9A" w:rsidP="00F72526">
      <w:pPr>
        <w:rPr>
          <w:sz w:val="24"/>
          <w:szCs w:val="24"/>
        </w:rPr>
      </w:pPr>
    </w:p>
    <w:p w14:paraId="4188F445" w14:textId="77777777" w:rsidR="00F72526" w:rsidRDefault="00F72526" w:rsidP="00F72526">
      <w:pPr>
        <w:rPr>
          <w:sz w:val="24"/>
          <w:szCs w:val="24"/>
        </w:rPr>
      </w:pPr>
    </w:p>
    <w:p w14:paraId="321257E1" w14:textId="4D53CFE3" w:rsidR="00F72526" w:rsidRPr="00F72526" w:rsidRDefault="00F72526" w:rsidP="00F725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Chart #7: Pass rate for final CFA exam stays BELOW decade average</w:t>
      </w:r>
    </w:p>
    <w:p w14:paraId="04C2144E" w14:textId="77777777" w:rsidR="00F72526" w:rsidRPr="00F72526" w:rsidRDefault="00F72526" w:rsidP="00F72526">
      <w:pPr>
        <w:rPr>
          <w:sz w:val="24"/>
          <w:szCs w:val="24"/>
        </w:rPr>
      </w:pPr>
    </w:p>
    <w:p w14:paraId="663C82C3" w14:textId="09951B7A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Bloomberg’s Katherine Doherty: “The pass rate for the third and final level of the CFA exam slipped in the latest testing period, remaining below its decade average.</w:t>
      </w:r>
    </w:p>
    <w:p w14:paraId="3A716F26" w14:textId="77777777" w:rsidR="00F72526" w:rsidRPr="00F72526" w:rsidRDefault="00F72526" w:rsidP="00F72526">
      <w:pPr>
        <w:rPr>
          <w:sz w:val="24"/>
          <w:szCs w:val="24"/>
        </w:rPr>
      </w:pPr>
    </w:p>
    <w:p w14:paraId="46D5C845" w14:textId="77777777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In August, 47% of candidates passed the Level III test, down from a 50% success rate in both February and August of last year, the CFA Institute said Tuesday. That’s below the 50% average pass rate over the past 10 years, which has not been exceeded since 2020.”</w:t>
      </w:r>
    </w:p>
    <w:p w14:paraId="1270E87E" w14:textId="77777777" w:rsidR="00F72526" w:rsidRPr="00F72526" w:rsidRDefault="00F72526" w:rsidP="00F72526">
      <w:pPr>
        <w:rPr>
          <w:sz w:val="24"/>
          <w:szCs w:val="24"/>
        </w:rPr>
      </w:pPr>
    </w:p>
    <w:p w14:paraId="310FE24F" w14:textId="77777777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The institute continues to find that test-takers who delay their exams have a much lower chance of success. First-timers scored significantly above the average pass rate for the final </w:t>
        <w:lastRenderedPageBreak/>
        <w:t>testing level, with 56% succeeding, while those with at least one deferral had a 31% pass rate, the institute said.</w:t>
      </w:r>
    </w:p>
    <w:p w14:paraId="4969B8DB" w14:textId="77777777" w:rsidR="00F72526" w:rsidRPr="00F72526" w:rsidRDefault="00F72526" w:rsidP="00F72526">
      <w:pPr>
        <w:rPr>
          <w:sz w:val="24"/>
          <w:szCs w:val="24"/>
        </w:rPr>
      </w:pPr>
    </w:p>
    <w:p w14:paraId="0E3B7E1F" w14:textId="4BF99945" w:rsidR="00F72526" w:rsidRPr="00F72526" w:rsidRDefault="00F72526" w:rsidP="00F72526">
      <w:pPr>
        <w:rPr>
          <w:sz w:val="24"/>
          <w:szCs w:val="24"/>
          <w:lang w:val="en-CH"/>
        </w:rPr>
      </w:pPr>
      <w:r>
        <w:rPr>
          <w:sz w:val="24"/>
          <w:szCs w:val="24"/>
          <w:lang w:val="en-CH"/>
        </w:rPr>
        <w:drawing>
          <wp:inline distT="0" distB="0" distL="0" distR="0" wp14:anchorId="684DDD9B" wp14:editId="669F9577">
            <wp:extent cx="3840122" cy="4762500"/>
            <wp:effectExtent l="0" t="0" r="8255" b="0"/>
            <wp:docPr id="1273360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15" cy="476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F80A" w14:textId="77777777" w:rsidR="00F72526" w:rsidRDefault="00F72526" w:rsidP="00F72526">
      <w:pPr>
        <w:rPr>
          <w:sz w:val="24"/>
          <w:szCs w:val="24"/>
        </w:rPr>
      </w:pPr>
    </w:p>
    <w:p w14:paraId="4809F15C" w14:textId="05C2A538" w:rsidR="00F72526" w:rsidRPr="00F72526" w:rsidRDefault="00F72526" w:rsidP="00F72526">
      <w:pPr>
        <w:rPr>
          <w:sz w:val="24"/>
          <w:szCs w:val="24"/>
        </w:rPr>
      </w:pPr>
      <w:r>
        <w:rPr>
          <w:sz w:val="24"/>
          <w:szCs w:val="24"/>
        </w:rPr>
        <w:t xml:space="preserve">Source: Bloomberg, Harald Berlinicke, CFA </w:t>
      </w:r>
      <w:r>
        <w:rPr>
          <w:rFonts w:ascii="Segoe UI Emoji" w:hAnsi="Segoe UI Emoji" w:cs="Segoe UI Emoji"/>
          <w:sz w:val="24"/>
          <w:szCs w:val="24"/>
        </w:rPr>
        <w:t>🍵</w:t>
      </w:r>
    </w:p>
    <w:sectPr w:rsidR="00F72526" w:rsidRPr="00F72526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42EE" w14:textId="77777777" w:rsidR="003720A1" w:rsidRDefault="003720A1" w:rsidP="00477C0A">
      <w:r>
        <w:separator/>
      </w:r>
    </w:p>
  </w:endnote>
  <w:endnote w:type="continuationSeparator" w:id="0">
    <w:p w14:paraId="6763D813" w14:textId="77777777" w:rsidR="003720A1" w:rsidRDefault="003720A1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D4B4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83E8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9E55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D1635" w14:textId="77777777" w:rsidR="003720A1" w:rsidRDefault="003720A1" w:rsidP="00477C0A">
      <w:r>
        <w:separator/>
      </w:r>
    </w:p>
  </w:footnote>
  <w:footnote w:type="continuationSeparator" w:id="0">
    <w:p w14:paraId="4B14F1EC" w14:textId="77777777" w:rsidR="003720A1" w:rsidRDefault="003720A1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C704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A1CC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8A3E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8F80AA0"/>
    <w:multiLevelType w:val="hybridMultilevel"/>
    <w:tmpl w:val="7D3E371E"/>
    <w:lvl w:ilvl="0" w:tplc="A1FCE930">
      <w:numFmt w:val="bullet"/>
      <w:lvlText w:val="-"/>
      <w:lvlJc w:val="left"/>
      <w:pPr>
        <w:ind w:left="720" w:hanging="360"/>
      </w:pPr>
      <w:rPr>
        <w:rFonts w:ascii="Nunito Sans" w:eastAsiaTheme="minorEastAsia" w:hAnsi="Nunito San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3" w15:restartNumberingAfterBreak="0">
    <w:nsid w:val="51D76868"/>
    <w:multiLevelType w:val="multilevel"/>
    <w:tmpl w:val="1D84AC12"/>
    <w:numStyleLink w:val="TOCSyz"/>
  </w:abstractNum>
  <w:abstractNum w:abstractNumId="14" w15:restartNumberingAfterBreak="0">
    <w:nsid w:val="530A633E"/>
    <w:multiLevelType w:val="multilevel"/>
    <w:tmpl w:val="1D84AC12"/>
    <w:numStyleLink w:val="TOCSyz"/>
  </w:abstractNum>
  <w:abstractNum w:abstractNumId="15" w15:restartNumberingAfterBreak="0">
    <w:nsid w:val="624F2B4B"/>
    <w:multiLevelType w:val="multilevel"/>
    <w:tmpl w:val="1D84AC12"/>
    <w:numStyleLink w:val="TOCSyz"/>
  </w:abstractNum>
  <w:abstractNum w:abstractNumId="16" w15:restartNumberingAfterBreak="0">
    <w:nsid w:val="67CC38A4"/>
    <w:multiLevelType w:val="multilevel"/>
    <w:tmpl w:val="1D84AC12"/>
    <w:numStyleLink w:val="TOCSyz"/>
  </w:abstractNum>
  <w:abstractNum w:abstractNumId="17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3"/>
  </w:num>
  <w:num w:numId="9" w16cid:durableId="618730621">
    <w:abstractNumId w:val="16"/>
  </w:num>
  <w:num w:numId="10" w16cid:durableId="451484993">
    <w:abstractNumId w:val="15"/>
  </w:num>
  <w:num w:numId="11" w16cid:durableId="256404981">
    <w:abstractNumId w:val="12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5"/>
  </w:num>
  <w:num w:numId="17" w16cid:durableId="1324044082">
    <w:abstractNumId w:val="8"/>
  </w:num>
  <w:num w:numId="18" w16cid:durableId="1176850100">
    <w:abstractNumId w:val="12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7"/>
  </w:num>
  <w:num w:numId="24" w16cid:durableId="655960884">
    <w:abstractNumId w:val="17"/>
  </w:num>
  <w:num w:numId="25" w16cid:durableId="1220701573">
    <w:abstractNumId w:val="17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4"/>
  </w:num>
  <w:num w:numId="33" w16cid:durableId="1282491307">
    <w:abstractNumId w:val="14"/>
  </w:num>
  <w:num w:numId="34" w16cid:durableId="1669479060">
    <w:abstractNumId w:val="14"/>
  </w:num>
  <w:num w:numId="35" w16cid:durableId="486820934">
    <w:abstractNumId w:val="14"/>
  </w:num>
  <w:num w:numId="36" w16cid:durableId="1963998072">
    <w:abstractNumId w:val="14"/>
  </w:num>
  <w:num w:numId="37" w16cid:durableId="1966350317">
    <w:abstractNumId w:val="7"/>
  </w:num>
  <w:num w:numId="38" w16cid:durableId="1439375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26"/>
    <w:rsid w:val="00005069"/>
    <w:rsid w:val="00074438"/>
    <w:rsid w:val="000B09C4"/>
    <w:rsid w:val="001129C4"/>
    <w:rsid w:val="00113774"/>
    <w:rsid w:val="00120C94"/>
    <w:rsid w:val="001501A3"/>
    <w:rsid w:val="00192124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A1C9A"/>
    <w:rsid w:val="002A77D1"/>
    <w:rsid w:val="002B0BC9"/>
    <w:rsid w:val="002B3F9B"/>
    <w:rsid w:val="002B6F98"/>
    <w:rsid w:val="0033391D"/>
    <w:rsid w:val="003720A1"/>
    <w:rsid w:val="003B0D13"/>
    <w:rsid w:val="003D61F6"/>
    <w:rsid w:val="00436995"/>
    <w:rsid w:val="00447223"/>
    <w:rsid w:val="00477C0A"/>
    <w:rsid w:val="004933F9"/>
    <w:rsid w:val="004F2BE3"/>
    <w:rsid w:val="005940F0"/>
    <w:rsid w:val="005B1F6F"/>
    <w:rsid w:val="005D64BB"/>
    <w:rsid w:val="005D788A"/>
    <w:rsid w:val="005E25AF"/>
    <w:rsid w:val="005E36FB"/>
    <w:rsid w:val="005F2AFC"/>
    <w:rsid w:val="00613421"/>
    <w:rsid w:val="00614274"/>
    <w:rsid w:val="00623456"/>
    <w:rsid w:val="00627B5A"/>
    <w:rsid w:val="006302CC"/>
    <w:rsid w:val="00640676"/>
    <w:rsid w:val="0065442A"/>
    <w:rsid w:val="00657C53"/>
    <w:rsid w:val="0066146F"/>
    <w:rsid w:val="0066596E"/>
    <w:rsid w:val="006B2AC6"/>
    <w:rsid w:val="006F040D"/>
    <w:rsid w:val="00711AEC"/>
    <w:rsid w:val="0075292A"/>
    <w:rsid w:val="0076292D"/>
    <w:rsid w:val="007805DD"/>
    <w:rsid w:val="0078447E"/>
    <w:rsid w:val="00790C9D"/>
    <w:rsid w:val="007A2892"/>
    <w:rsid w:val="007B4992"/>
    <w:rsid w:val="007C073A"/>
    <w:rsid w:val="007D0053"/>
    <w:rsid w:val="007E11D7"/>
    <w:rsid w:val="008140FC"/>
    <w:rsid w:val="00825F8A"/>
    <w:rsid w:val="008315B8"/>
    <w:rsid w:val="00837F62"/>
    <w:rsid w:val="00862507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67372"/>
    <w:rsid w:val="009705DE"/>
    <w:rsid w:val="00992153"/>
    <w:rsid w:val="00992550"/>
    <w:rsid w:val="009C0E1D"/>
    <w:rsid w:val="009E32FD"/>
    <w:rsid w:val="00A45D75"/>
    <w:rsid w:val="00A464E6"/>
    <w:rsid w:val="00A56492"/>
    <w:rsid w:val="00A612A7"/>
    <w:rsid w:val="00A64167"/>
    <w:rsid w:val="00AC17FC"/>
    <w:rsid w:val="00AE791F"/>
    <w:rsid w:val="00B2625F"/>
    <w:rsid w:val="00B31578"/>
    <w:rsid w:val="00B32335"/>
    <w:rsid w:val="00B34957"/>
    <w:rsid w:val="00B41799"/>
    <w:rsid w:val="00B4574D"/>
    <w:rsid w:val="00BD5535"/>
    <w:rsid w:val="00C01FBE"/>
    <w:rsid w:val="00C354CD"/>
    <w:rsid w:val="00C44611"/>
    <w:rsid w:val="00C51EC2"/>
    <w:rsid w:val="00C66534"/>
    <w:rsid w:val="00C85671"/>
    <w:rsid w:val="00D21C1C"/>
    <w:rsid w:val="00DA62EC"/>
    <w:rsid w:val="00DA6EA3"/>
    <w:rsid w:val="00DB14BA"/>
    <w:rsid w:val="00DD69EB"/>
    <w:rsid w:val="00DF1EC0"/>
    <w:rsid w:val="00E10115"/>
    <w:rsid w:val="00E91007"/>
    <w:rsid w:val="00EA6ED3"/>
    <w:rsid w:val="00EC1469"/>
    <w:rsid w:val="00ED3D33"/>
    <w:rsid w:val="00F02B8E"/>
    <w:rsid w:val="00F125E4"/>
    <w:rsid w:val="00F326B7"/>
    <w:rsid w:val="00F6083A"/>
    <w:rsid w:val="00F72526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03AC9"/>
  <w15:chartTrackingRefBased/>
  <w15:docId w15:val="{186BB7D7-3732-4116-810D-948B19CB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4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F725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F725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F725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F725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F72526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72526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72526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72526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72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72526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72526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72526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F72526"/>
    <w:rPr>
      <w:b/>
      <w:bCs/>
      <w:smallCaps/>
      <w:color w:val="1AB8FF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26B7"/>
  </w:style>
  <w:style w:type="character" w:customStyle="1" w:styleId="DateChar">
    <w:name w:val="Date Char"/>
    <w:basedOn w:val="DefaultParagraphFont"/>
    <w:link w:val="Date"/>
    <w:uiPriority w:val="99"/>
    <w:semiHidden/>
    <w:rsid w:val="00F326B7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[Title]</vt:lpstr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17</cp:revision>
  <dcterms:created xsi:type="dcterms:W3CDTF">2026-10-22T14:12:00Z</dcterms:created>
  <dcterms:modified xsi:type="dcterms:W3CDTF">2026-10-23T06:21:00Z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2026-10-22T14:24:39Z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1730c2f7-9c1e-41e0-a9cb-d652e1b2169c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