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4A93F" w14:textId="0E3DE22E" w:rsidR="006B2AC6" w:rsidRPr="00A439F2" w:rsidRDefault="00A439F2" w:rsidP="00A439F2">
      <w:pPr>
        <w:jc w:val="center"/>
        <w:rPr>
          <w:b/>
          <w:bCs/>
          <w:sz w:val="36"/>
          <w:szCs w:val="36"/>
        </w:rPr>
      </w:pPr>
      <w:r w:rsidRPr="00A439F2">
        <w:rPr>
          <w:b/>
          <w:bCs/>
          <w:sz w:val="36"/>
          <w:szCs w:val="36"/>
        </w:rPr>
        <w:t xml:space="preserve">La semaine en 7 graphiques</w:t>
      </w:r>
    </w:p>
    <w:p w14:paraId="17931364" w14:textId="68C55BFB" w:rsidR="00A439F2" w:rsidRDefault="00A439F2" w:rsidP="00A439F2">
      <w:pPr>
        <w:pBdr>
          <w:bottom w:val="single" w:sz="6" w:space="1" w:color="auto"/>
        </w:pBd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2</w:t>
      </w:r>
      <w:r>
        <w:rPr>
          <w:sz w:val="36"/>
          <w:szCs w:val="36"/>
        </w:rPr>
        <w:t xml:space="preserve"> novembre 2026</w:t>
      </w:r>
    </w:p>
    <w:p w14:paraId="59EBB1B2" w14:textId="77777777" w:rsidR="00B93174" w:rsidRPr="00A439F2" w:rsidRDefault="00B93174" w:rsidP="00A439F2">
      <w:pPr>
        <w:pBdr>
          <w:bottom w:val="single" w:sz="6" w:space="1" w:color="auto"/>
        </w:pBdr>
        <w:jc w:val="center"/>
        <w:rPr>
          <w:sz w:val="36"/>
          <w:szCs w:val="36"/>
        </w:rPr>
      </w:pPr>
    </w:p>
    <w:p w14:paraId="3AAE0DD4" w14:textId="77777777" w:rsidR="00B93174" w:rsidRDefault="00B93174" w:rsidP="00F96FA4"/>
    <w:p w14:paraId="3A03202D" w14:textId="77777777" w:rsidR="00E13578" w:rsidRPr="00A439F2" w:rsidRDefault="00E13578" w:rsidP="00E13578">
      <w:pPr>
        <w:rPr>
          <w:sz w:val="24"/>
          <w:szCs w:val="24"/>
        </w:rPr>
      </w:pPr>
    </w:p>
    <w:p w14:paraId="112D4546" w14:textId="0D2AA494" w:rsidR="00E13578" w:rsidRPr="00CD6A8F" w:rsidRDefault="00E13578" w:rsidP="00E13578">
      <w:pPr>
        <w:rPr>
          <w:b/>
          <w:bCs/>
          <w:sz w:val="24"/>
          <w:szCs w:val="24"/>
        </w:rPr>
      </w:pPr>
      <w:r w:rsidRPr="00CD6A8F">
        <w:rPr>
          <w:b/>
          <w:bCs/>
          <w:sz w:val="24"/>
          <w:szCs w:val="24"/>
        </w:rPr>
        <w:t xml:space="preserve">Graphique #1 : Le géant crypto Binance victime d’un piratage de 6,3 milliards de dollars, sans doute le plus important de l’histoire</w:t>
      </w:r>
    </w:p>
    <w:p w14:paraId="10C74235" w14:textId="77777777" w:rsidR="00E13578" w:rsidRPr="00A439F2" w:rsidRDefault="00E13578" w:rsidP="00E13578">
      <w:pPr>
        <w:rPr>
          <w:sz w:val="24"/>
          <w:szCs w:val="24"/>
        </w:rPr>
      </w:pPr>
    </w:p>
    <w:p w14:paraId="1B8211E2" w14:textId="77777777" w:rsidR="00CD6A8F" w:rsidRPr="00CD6A8F" w:rsidRDefault="00CD6A8F" w:rsidP="00CD6A8F">
      <w:pPr>
        <w:rPr>
          <w:sz w:val="24"/>
          <w:szCs w:val="24"/>
        </w:rPr>
      </w:pPr>
      <w:r w:rsidRPr="00CD6A8F">
        <w:rPr>
          <w:sz w:val="24"/>
          <w:szCs w:val="24"/>
        </w:rPr>
        <w:t xml:space="preserve">Binance a été piratée, avec des actifs dérobés estimés jusqu’à 6,3 milliards de dollars, ce qui en ferait le plus gros piratage de l’histoire des cryptomonnaies. Mais tout est question de perspective.</w:t>
      </w:r>
    </w:p>
    <w:p w14:paraId="67F4DB7F" w14:textId="77777777" w:rsidR="00CD6A8F" w:rsidRPr="00CD6A8F" w:rsidRDefault="00CD6A8F" w:rsidP="00CD6A8F">
      <w:pPr>
        <w:rPr>
          <w:sz w:val="24"/>
          <w:szCs w:val="24"/>
        </w:rPr>
      </w:pPr>
    </w:p>
    <w:p w14:paraId="37959385" w14:textId="3ECE446A" w:rsidR="00CD6A8F" w:rsidRPr="00CD6A8F" w:rsidRDefault="00CD6A8F" w:rsidP="00CD6A8F">
      <w:pPr>
        <w:rPr>
          <w:sz w:val="24"/>
          <w:szCs w:val="24"/>
        </w:rPr>
      </w:pPr>
      <w:r w:rsidRPr="00CD6A8F">
        <w:rPr>
          <w:sz w:val="24"/>
          <w:szCs w:val="24"/>
        </w:rPr>
        <w:t xml:space="preserve">La faille de sécurité de Binance porterait sur environ 6,3 milliards de dollars, dont près de 3 milliards ont déjà été gelés. La plateforme s’engage à couvrir l’intégralité des pertes. L’incident est grave, et son impact financier définitif est encore en cours d’évaluation.</w:t>
      </w:r>
    </w:p>
    <w:p w14:paraId="00491CE1" w14:textId="77777777" w:rsidR="00CD6A8F" w:rsidRPr="00CD6A8F" w:rsidRDefault="00CD6A8F" w:rsidP="00CD6A8F">
      <w:pPr>
        <w:rPr>
          <w:sz w:val="24"/>
          <w:szCs w:val="24"/>
        </w:rPr>
      </w:pPr>
    </w:p>
    <w:p w14:paraId="2CB7A03D" w14:textId="4828E7A8" w:rsidR="00CD6A8F" w:rsidRPr="00CD6A8F" w:rsidRDefault="00CD6A8F" w:rsidP="00B909A9">
      <w:pPr>
        <w:rPr>
          <w:sz w:val="24"/>
          <w:szCs w:val="24"/>
        </w:rPr>
      </w:pPr>
      <w:r w:rsidRPr="00CD6A8F">
        <w:rPr>
          <w:sz w:val="24"/>
          <w:szCs w:val="24"/>
        </w:rPr>
        <w:t xml:space="preserve">Le chiffre brut ne raconte pourtant qu’une partie de l’histoire. Selon les estimations du graphique ci-dessous, le vol représente environ 0,23 % de la capitalisation totale du marché crypto. À comparer avec :</w:t>
      </w:r>
      <w:proofErr w:type="spellStart"/>
      <w:proofErr w:type="spellEnd"/>
    </w:p>
    <w:p w14:paraId="1B8B14B6" w14:textId="77777777" w:rsidR="00CD6A8F" w:rsidRPr="00CD6A8F" w:rsidRDefault="00CD6A8F" w:rsidP="00CD6A8F">
      <w:pPr>
        <w:rPr>
          <w:sz w:val="24"/>
          <w:szCs w:val="24"/>
        </w:rPr>
      </w:pPr>
      <w:r w:rsidRPr="00CD6A8F">
        <w:rPr>
          <w:sz w:val="24"/>
          <w:szCs w:val="24"/>
        </w:rPr>
        <w:t xml:space="preserve">• Mt. Gox, 2014 : 5,84 %</w:t>
      </w:r>
    </w:p>
    <w:p w14:paraId="41A647B5" w14:textId="77777777" w:rsidR="00CD6A8F" w:rsidRPr="00CD6A8F" w:rsidRDefault="00CD6A8F" w:rsidP="00CD6A8F">
      <w:pPr>
        <w:rPr>
          <w:sz w:val="24"/>
          <w:szCs w:val="24"/>
        </w:rPr>
      </w:pPr>
      <w:r w:rsidRPr="00CD6A8F">
        <w:rPr>
          <w:sz w:val="24"/>
          <w:szCs w:val="24"/>
        </w:rPr>
        <w:t xml:space="preserve">• Bitfinex, 2016 : 0,65 %</w:t>
      </w:r>
    </w:p>
    <w:p w14:paraId="2319D06F" w14:textId="77777777" w:rsidR="00CD6A8F" w:rsidRPr="00CD6A8F" w:rsidRDefault="00CD6A8F" w:rsidP="00CD6A8F">
      <w:pPr>
        <w:rPr>
          <w:sz w:val="24"/>
          <w:szCs w:val="24"/>
        </w:rPr>
      </w:pPr>
      <w:r w:rsidRPr="00CD6A8F">
        <w:rPr>
          <w:sz w:val="24"/>
          <w:szCs w:val="24"/>
        </w:rPr>
        <w:t xml:space="preserve">• The DAO, 2016 : 0,43 %</w:t>
      </w:r>
    </w:p>
    <w:p w14:paraId="305DF875" w14:textId="77777777" w:rsidR="00CD6A8F" w:rsidRPr="00CD6A8F" w:rsidRDefault="00CD6A8F" w:rsidP="00CD6A8F">
      <w:pPr>
        <w:rPr>
          <w:sz w:val="24"/>
          <w:szCs w:val="24"/>
        </w:rPr>
      </w:pPr>
    </w:p>
    <w:p w14:paraId="20117AF2" w14:textId="77777777" w:rsidR="00CD6A8F" w:rsidRPr="00CD6A8F" w:rsidRDefault="00CD6A8F" w:rsidP="00CD6A8F">
      <w:pPr>
        <w:rPr>
          <w:sz w:val="24"/>
          <w:szCs w:val="24"/>
        </w:rPr>
      </w:pPr>
      <w:r w:rsidRPr="00CD6A8F">
        <w:rPr>
          <w:sz w:val="24"/>
          <w:szCs w:val="24"/>
        </w:rPr>
        <w:t xml:space="preserve">Le marché crypto étant bien plus vaste aujourd’hui, cet incident pèse relativement moins lourd que plusieurs piratages antérieurs.</w:t>
      </w:r>
    </w:p>
    <w:p w14:paraId="2F03E0F1" w14:textId="77777777" w:rsidR="00CD6A8F" w:rsidRPr="00CD6A8F" w:rsidRDefault="00CD6A8F" w:rsidP="00CD6A8F">
      <w:pPr>
        <w:rPr>
          <w:sz w:val="24"/>
          <w:szCs w:val="24"/>
        </w:rPr>
      </w:pPr>
    </w:p>
    <w:p w14:paraId="4BC22426" w14:textId="26054376" w:rsidR="00CD6A8F" w:rsidRDefault="00CD6A8F" w:rsidP="00B909A9">
      <w:pPr>
        <w:rPr>
          <w:sz w:val="24"/>
          <w:szCs w:val="24"/>
        </w:rPr>
      </w:pPr>
      <w:r w:rsidRPr="00CD6A8F">
        <w:rPr>
          <w:sz w:val="24"/>
          <w:szCs w:val="24"/>
        </w:rPr>
        <w:t xml:space="preserve">Cela n’enlève rien à la défaillance de sécurité. Et la capitalisation de marché ne permet pas de juger de la capacité d’une plateforme à absorber des pertes. Elle aide toutefois à distinguer un incident opérationnel majeur d’un prétendu effondrement de tout le secteur. Les inquiétudes sur la sécurité restent fondées, mais il faut les rapporter au bon dénominateur.</w:t>
      </w:r>
      <w:proofErr w:type="spellStart"/>
      <w:proofErr w:type="spellEnd"/>
    </w:p>
    <w:p w14:paraId="7CC86134" w14:textId="77777777" w:rsidR="00B93174" w:rsidRDefault="00B93174" w:rsidP="00CD6A8F">
      <w:pPr>
        <w:rPr>
          <w:sz w:val="24"/>
          <w:szCs w:val="24"/>
        </w:rPr>
      </w:pPr>
    </w:p>
    <w:p w14:paraId="4FF08F9F" w14:textId="442CA830" w:rsidR="00B93174" w:rsidRPr="00CD6A8F" w:rsidRDefault="00B93174" w:rsidP="00CD6A8F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6450446A" wp14:editId="7CF2CE36">
            <wp:extent cx="3962400" cy="2639819"/>
            <wp:effectExtent l="0" t="0" r="0" b="8255"/>
            <wp:docPr id="11020203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8169" cy="2643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1B585" w14:textId="77777777" w:rsidR="00CD6A8F" w:rsidRPr="00CD6A8F" w:rsidRDefault="00CD6A8F" w:rsidP="00CD6A8F">
      <w:pPr>
        <w:rPr>
          <w:sz w:val="24"/>
          <w:szCs w:val="24"/>
        </w:rPr>
      </w:pPr>
    </w:p>
    <w:p w14:paraId="60CDA8D9" w14:textId="68DC7743" w:rsidR="00CD6A8F" w:rsidRPr="00CD6A8F" w:rsidRDefault="00CB7543" w:rsidP="00CD6A8F">
      <w:pPr>
        <w:rPr>
          <w:sz w:val="24"/>
          <w:szCs w:val="24"/>
          <w:lang w:val="fr-FR"/>
        </w:rPr>
      </w:pPr>
      <w:r w:rsidRPr="00CD6A8F">
        <w:rPr>
          <w:sz w:val="24"/>
          <w:szCs w:val="24"/>
          <w:lang w:val="fr-FR"/>
        </w:rPr>
        <w:t xml:space="preserve">Source :</w:t>
      </w:r>
      <w:r w:rsidR="00CD6A8F" w:rsidRPr="00CD6A8F">
        <w:rPr>
          <w:sz w:val="24"/>
          <w:szCs w:val="24"/>
          <w:lang w:val="fr-FR"/>
        </w:rPr>
        <w:t xml:space="preserve"> </w:t>
      </w:r>
      <w:proofErr w:type="spellStart"/>
      <w:r w:rsidR="00CD6A8F" w:rsidRPr="00CD6A8F">
        <w:rPr>
          <w:sz w:val="24"/>
          <w:szCs w:val="24"/>
          <w:lang w:val="fr-FR"/>
        </w:rPr>
        <w:t xml:space="preserve">bitcorn</w:t>
      </w:r>
      <w:proofErr w:type="spellEnd"/>
    </w:p>
    <w:p w14:paraId="552824A4" w14:textId="77777777" w:rsidR="00E13578" w:rsidRPr="00CD6A8F" w:rsidRDefault="00E13578" w:rsidP="00AF27EE">
      <w:pPr>
        <w:rPr>
          <w:b/>
          <w:bCs/>
          <w:sz w:val="24"/>
          <w:szCs w:val="24"/>
          <w:lang w:val="fr-FR"/>
        </w:rPr>
      </w:pPr>
    </w:p>
    <w:p w14:paraId="29882743" w14:textId="05D84500" w:rsidR="00A439F2" w:rsidRPr="00AF27EE" w:rsidRDefault="00A439F2" w:rsidP="00AF27EE">
      <w:r w:rsidRPr="00AC6E02">
        <w:rPr>
          <w:b/>
          <w:bCs/>
          <w:sz w:val="24"/>
          <w:szCs w:val="24"/>
        </w:rPr>
        <w:t xml:space="preserve">Graphique #2 : Les quatre géants de la tech ont publié leurs investissements trimestriels, qui dépassent au total 200 milliards de dollars</w:t>
      </w:r>
      <w:proofErr w:type="spellStart"/>
      <w:proofErr w:type="spellEnd"/>
    </w:p>
    <w:p w14:paraId="389E52D2" w14:textId="77777777" w:rsidR="00AC6E02" w:rsidRDefault="00AC6E02" w:rsidP="00F96FA4">
      <w:pPr>
        <w:rPr>
          <w:sz w:val="24"/>
          <w:szCs w:val="24"/>
        </w:rPr>
      </w:pPr>
    </w:p>
    <w:p w14:paraId="4FB178B6" w14:textId="2C65DF96" w:rsidR="00175F43" w:rsidRPr="00175F43" w:rsidRDefault="00175F43" w:rsidP="00175F43">
      <w:pPr>
        <w:rPr>
          <w:sz w:val="24"/>
          <w:szCs w:val="24"/>
        </w:rPr>
      </w:pPr>
      <w:r w:rsidRPr="00175F43">
        <w:rPr>
          <w:sz w:val="24"/>
          <w:szCs w:val="24"/>
        </w:rPr>
        <w:t xml:space="preserve">• Amazon : environ 77 milliards de dollars</w:t>
      </w:r>
    </w:p>
    <w:p w14:paraId="3242D519" w14:textId="16732D55" w:rsidR="00175F43" w:rsidRPr="00175F43" w:rsidRDefault="00175F43" w:rsidP="00175F43">
      <w:pPr>
        <w:rPr>
          <w:sz w:val="24"/>
          <w:szCs w:val="24"/>
        </w:rPr>
      </w:pPr>
      <w:r w:rsidRPr="00175F43">
        <w:rPr>
          <w:sz w:val="24"/>
          <w:szCs w:val="24"/>
        </w:rPr>
        <w:t xml:space="preserve">• Alphabet : environ 51 milliards de dollars</w:t>
      </w:r>
    </w:p>
    <w:p w14:paraId="6989BD69" w14:textId="76399E8C" w:rsidR="00175F43" w:rsidRPr="0029540E" w:rsidRDefault="00175F43" w:rsidP="0029540E">
      <w:pPr>
        <w:rPr>
          <w:sz w:val="24"/>
          <w:szCs w:val="24"/>
          <w:lang w:val="fr-FR"/>
        </w:rPr>
      </w:pPr>
      <w:r w:rsidRPr="0029540E">
        <w:rPr>
          <w:sz w:val="24"/>
          <w:szCs w:val="24"/>
          <w:lang w:val="fr-FR"/>
        </w:rPr>
        <w:t xml:space="preserve">• Microsoft : environ 39 milliards de dollars</w:t>
      </w:r>
    </w:p>
    <w:p w14:paraId="62BA79E8" w14:textId="5649E039" w:rsidR="00A439F2" w:rsidRPr="0029540E" w:rsidRDefault="00175F43" w:rsidP="0029540E">
      <w:pPr>
        <w:rPr>
          <w:sz w:val="24"/>
          <w:szCs w:val="24"/>
          <w:lang w:val="fr-FR"/>
        </w:rPr>
      </w:pPr>
      <w:r w:rsidRPr="0029540E">
        <w:rPr>
          <w:sz w:val="24"/>
          <w:szCs w:val="24"/>
          <w:lang w:val="fr-FR"/>
        </w:rPr>
        <w:t xml:space="preserve">• Meta : environ 34 milliards de dollars</w:t>
      </w:r>
    </w:p>
    <w:p w14:paraId="3568D351" w14:textId="77777777" w:rsidR="00A439F2" w:rsidRPr="0029540E" w:rsidRDefault="00A439F2" w:rsidP="00F96FA4">
      <w:pPr>
        <w:rPr>
          <w:sz w:val="24"/>
          <w:szCs w:val="24"/>
          <w:lang w:val="fr-FR"/>
        </w:rPr>
      </w:pPr>
    </w:p>
    <w:p w14:paraId="69858E19" w14:textId="75F93083" w:rsidR="00A439F2" w:rsidRPr="0029540E" w:rsidRDefault="003302C3" w:rsidP="00F96FA4">
      <w:pPr>
        <w:rPr>
          <w:sz w:val="24"/>
          <w:szCs w:val="24"/>
          <w:lang w:val="fr-FR"/>
        </w:rPr>
      </w:pPr>
      <w:r>
        <w:rPr>
          <w:noProof/>
        </w:rPr>
        <w:drawing>
          <wp:inline distT="0" distB="0" distL="0" distR="0" wp14:anchorId="4306469B" wp14:editId="3137867A">
            <wp:extent cx="6120130" cy="3442335"/>
            <wp:effectExtent l="0" t="0" r="0" b="5715"/>
            <wp:docPr id="236822244" name="Picture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09DE8" w14:textId="77777777" w:rsidR="00A439F2" w:rsidRDefault="00A439F2" w:rsidP="00F96FA4">
      <w:pPr>
        <w:rPr>
          <w:sz w:val="24"/>
          <w:szCs w:val="24"/>
          <w:lang w:val="fr-FR"/>
        </w:rPr>
      </w:pPr>
    </w:p>
    <w:p w14:paraId="0B02EACF" w14:textId="67A3677D" w:rsidR="0029540E" w:rsidRDefault="003302C3" w:rsidP="00F96FA4">
      <w:p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 xml:space="preserve">Source : Fiscal.ai</w:t>
      </w:r>
    </w:p>
    <w:p w14:paraId="5913D424" w14:textId="77777777" w:rsidR="0029540E" w:rsidRDefault="0029540E" w:rsidP="00F96FA4">
      <w:pPr>
        <w:rPr>
          <w:sz w:val="24"/>
          <w:szCs w:val="24"/>
          <w:lang w:val="fr-FR"/>
        </w:rPr>
      </w:pPr>
    </w:p>
    <w:p w14:paraId="6614434D" w14:textId="77777777" w:rsidR="0029540E" w:rsidRDefault="0029540E" w:rsidP="00F96FA4">
      <w:pPr>
        <w:rPr>
          <w:sz w:val="24"/>
          <w:szCs w:val="24"/>
          <w:lang w:val="fr-FR"/>
        </w:rPr>
      </w:pPr>
    </w:p>
    <w:p w14:paraId="2491F6C1" w14:textId="77777777" w:rsidR="0029540E" w:rsidRPr="0029540E" w:rsidRDefault="0029540E" w:rsidP="00F96FA4">
      <w:pPr>
        <w:rPr>
          <w:sz w:val="24"/>
          <w:szCs w:val="24"/>
          <w:lang w:val="fr-FR"/>
        </w:rPr>
      </w:pPr>
    </w:p>
    <w:p w14:paraId="545DE08A" w14:textId="10B3AF79" w:rsidR="00E31A6F" w:rsidRPr="00CD54E5" w:rsidRDefault="00A439F2" w:rsidP="00E31A6F">
      <w:pPr>
        <w:rPr>
          <w:b/>
          <w:bCs/>
          <w:sz w:val="24"/>
          <w:szCs w:val="24"/>
        </w:rPr>
      </w:pPr>
      <w:r w:rsidRPr="00CD54E5">
        <w:rPr>
          <w:b/>
          <w:bCs/>
          <w:sz w:val="24"/>
          <w:szCs w:val="24"/>
        </w:rPr>
        <w:t xml:space="preserve">Graphique #3 : Sur quoi les gérants d’actifs sont-ils les plus baissiers dans leurs perspectives du 4e trimestre 2026 ?</w:t>
      </w:r>
    </w:p>
    <w:p w14:paraId="307C0186" w14:textId="77777777" w:rsidR="00E31A6F" w:rsidRPr="00E31A6F" w:rsidRDefault="00E31A6F" w:rsidP="00E31A6F">
      <w:pPr>
        <w:rPr>
          <w:sz w:val="24"/>
          <w:szCs w:val="24"/>
        </w:rPr>
      </w:pPr>
    </w:p>
    <w:p w14:paraId="20534108" w14:textId="77777777" w:rsidR="00E31A6F" w:rsidRPr="00E31A6F" w:rsidRDefault="00E31A6F" w:rsidP="00E31A6F">
      <w:pPr>
        <w:rPr>
          <w:sz w:val="24"/>
          <w:szCs w:val="24"/>
        </w:rPr>
      </w:pPr>
      <w:proofErr w:type="spellStart"/>
      <w:r w:rsidRPr="00E31A6F">
        <w:rPr>
          <w:sz w:val="24"/>
          <w:szCs w:val="24"/>
        </w:rPr>
        <w:t xml:space="preserve">ProAllocate a analysé plus de 120 publications de perspectives et d’allocation d’actifs émanant de 76 sociétés, couvrant des recommandations sur plus de 450 sous-classes d’actifs, facteurs, thèmes et marchés.</w:t>
      </w:r>
      <w:proofErr w:type="spellEnd"/>
      <w:proofErr w:type="spellStart"/>
      <w:proofErr w:type="spellEnd"/>
    </w:p>
    <w:p w14:paraId="34F29118" w14:textId="77777777" w:rsidR="00E31A6F" w:rsidRPr="00E31A6F" w:rsidRDefault="00E31A6F" w:rsidP="00E31A6F">
      <w:pPr>
        <w:rPr>
          <w:sz w:val="24"/>
          <w:szCs w:val="24"/>
        </w:rPr>
      </w:pPr>
    </w:p>
    <w:p w14:paraId="58B5209B" w14:textId="77777777" w:rsidR="00E31A6F" w:rsidRPr="00E31A6F" w:rsidRDefault="00E31A6F" w:rsidP="00E31A6F">
      <w:pPr>
        <w:rPr>
          <w:sz w:val="24"/>
          <w:szCs w:val="24"/>
        </w:rPr>
      </w:pPr>
      <w:r w:rsidRPr="00E31A6F">
        <w:rPr>
          <w:sz w:val="24"/>
          <w:szCs w:val="24"/>
        </w:rPr>
        <w:t xml:space="preserve">La sous-pondération la plus consensuelle concerne...</w:t>
      </w:r>
    </w:p>
    <w:p w14:paraId="37B0C0D0" w14:textId="77777777" w:rsidR="00E31A6F" w:rsidRPr="00E31A6F" w:rsidRDefault="00E31A6F" w:rsidP="00E31A6F">
      <w:pPr>
        <w:rPr>
          <w:sz w:val="24"/>
          <w:szCs w:val="24"/>
        </w:rPr>
      </w:pPr>
    </w:p>
    <w:p w14:paraId="12E1B1A0" w14:textId="2ABADC2B" w:rsidR="00E31A6F" w:rsidRPr="00E31A6F" w:rsidRDefault="00E31A6F" w:rsidP="00E31A6F">
      <w:pPr>
        <w:rPr>
          <w:sz w:val="24"/>
          <w:szCs w:val="24"/>
        </w:rPr>
      </w:pPr>
      <w:r w:rsidRPr="00E31A6F">
        <w:rPr>
          <w:sz w:val="24"/>
          <w:szCs w:val="24"/>
        </w:rPr>
        <w:t xml:space="preserve">Les obligations d’État françaises (OAT)</w:t>
      </w:r>
      <w:proofErr w:type="spellStart"/>
      <w:proofErr w:type="spellEnd"/>
    </w:p>
    <w:p w14:paraId="7767F43B" w14:textId="77777777" w:rsidR="00E31A6F" w:rsidRPr="00E31A6F" w:rsidRDefault="00E31A6F" w:rsidP="00E31A6F">
      <w:pPr>
        <w:rPr>
          <w:sz w:val="24"/>
          <w:szCs w:val="24"/>
        </w:rPr>
      </w:pPr>
      <w:r w:rsidRPr="00E31A6F">
        <w:rPr>
          <w:rFonts w:ascii="Cambria Math" w:hAnsi="Cambria Math" w:cs="Cambria Math"/>
          <w:sz w:val="24"/>
          <w:szCs w:val="24"/>
        </w:rPr>
        <w:t xml:space="preserve">↳</w:t>
      </w:r>
      <w:r w:rsidRPr="00E31A6F">
        <w:rPr>
          <w:sz w:val="24"/>
          <w:szCs w:val="24"/>
        </w:rPr>
        <w:t xml:space="preserve"> Les gérants invoquent les finances publiques et la situation politique de la France, qui ont porté l’écart entre les rendements à 10 ans français et allemands à son plus haut niveau depuis la crise de la dette de la zone euro.</w:t>
      </w:r>
    </w:p>
    <w:p w14:paraId="6A11629C" w14:textId="77777777" w:rsidR="00E31A6F" w:rsidRPr="00E31A6F" w:rsidRDefault="00E31A6F" w:rsidP="00E31A6F">
      <w:pPr>
        <w:rPr>
          <w:sz w:val="24"/>
          <w:szCs w:val="24"/>
        </w:rPr>
      </w:pPr>
    </w:p>
    <w:p w14:paraId="3800D928" w14:textId="77777777" w:rsidR="00E31A6F" w:rsidRPr="00E31A6F" w:rsidRDefault="00E31A6F" w:rsidP="00E31A6F">
      <w:pPr>
        <w:rPr>
          <w:sz w:val="24"/>
          <w:szCs w:val="24"/>
        </w:rPr>
      </w:pPr>
      <w:r w:rsidRPr="00E31A6F">
        <w:rPr>
          <w:rFonts w:ascii="Segoe UI Emoji" w:hAnsi="Segoe UI Emoji" w:cs="Segoe UI Emoji"/>
          <w:sz w:val="24"/>
          <w:szCs w:val="24"/>
        </w:rPr>
        <w:t xml:space="preserve">🌍</w:t>
      </w:r>
      <w:r w:rsidRPr="00E31A6F">
        <w:rPr>
          <w:sz w:val="24"/>
          <w:szCs w:val="24"/>
        </w:rPr>
        <w:t xml:space="preserve"> Côté actions, les gérants se montrent prudents sur plusieurs segments : biens de consommation de base, immobilier coté européen et actions australiennes.</w:t>
      </w:r>
    </w:p>
    <w:p w14:paraId="1397AF3F" w14:textId="77777777" w:rsidR="00E31A6F" w:rsidRPr="00E31A6F" w:rsidRDefault="00E31A6F" w:rsidP="00E31A6F">
      <w:pPr>
        <w:rPr>
          <w:sz w:val="24"/>
          <w:szCs w:val="24"/>
        </w:rPr>
      </w:pPr>
    </w:p>
    <w:p w14:paraId="3D2AC3F3" w14:textId="77777777" w:rsidR="00E31A6F" w:rsidRPr="00E31A6F" w:rsidRDefault="00E31A6F" w:rsidP="00E31A6F">
      <w:pPr>
        <w:rPr>
          <w:sz w:val="24"/>
          <w:szCs w:val="24"/>
        </w:rPr>
      </w:pPr>
      <w:r w:rsidRPr="00E31A6F">
        <w:rPr>
          <w:rFonts w:ascii="Segoe UI Emoji" w:hAnsi="Segoe UI Emoji" w:cs="Segoe UI Emoji"/>
          <w:sz w:val="24"/>
          <w:szCs w:val="24"/>
        </w:rPr>
        <w:lastRenderedPageBreak/>
        <w:t xml:space="preserve">📄</w:t>
      </w:r>
      <w:r w:rsidRPr="00E31A6F">
        <w:rPr>
          <w:sz w:val="24"/>
          <w:szCs w:val="24"/>
        </w:rPr>
        <w:t xml:space="preserve"> L’obligataire dans son ensemble est boudé : la duration longue, les émetteurs de faible qualité et le crédit investment grade mondial obtiennent de mauvais scores.</w:t>
      </w:r>
      <w:proofErr w:type="spellStart"/>
      <w:proofErr w:type="spellEnd"/>
    </w:p>
    <w:p w14:paraId="2CAC26BB" w14:textId="77777777" w:rsidR="00E31A6F" w:rsidRPr="00E31A6F" w:rsidRDefault="00E31A6F" w:rsidP="00E31A6F">
      <w:pPr>
        <w:rPr>
          <w:sz w:val="24"/>
          <w:szCs w:val="24"/>
        </w:rPr>
      </w:pPr>
    </w:p>
    <w:p w14:paraId="6356AB86" w14:textId="77777777" w:rsidR="00E31A6F" w:rsidRPr="00E31A6F" w:rsidRDefault="00E31A6F" w:rsidP="00E31A6F">
      <w:pPr>
        <w:rPr>
          <w:sz w:val="24"/>
          <w:szCs w:val="24"/>
        </w:rPr>
      </w:pPr>
      <w:r w:rsidRPr="00E31A6F">
        <w:rPr>
          <w:sz w:val="24"/>
          <w:szCs w:val="24"/>
        </w:rPr>
        <w:t xml:space="preserve"> </w:t>
      </w:r>
      <w:r w:rsidRPr="00E31A6F">
        <w:rPr>
          <w:rFonts w:ascii="Segoe UI Emoji" w:hAnsi="Segoe UI Emoji" w:cs="Segoe UI Emoji"/>
          <w:sz w:val="24"/>
          <w:szCs w:val="24"/>
        </w:rPr>
        <w:t xml:space="preserve">🛣️</w:t>
      </w:r>
      <w:r w:rsidRPr="00E31A6F">
        <w:rPr>
          <w:sz w:val="24"/>
          <w:szCs w:val="24"/>
        </w:rPr>
        <w:t xml:space="preserve"> Parmi les actifs alternatifs, le pétrole est sans surprise délaissé après les fortes variations de prix de cette année.</w:t>
      </w:r>
      <w:proofErr w:type="spellStart"/>
      <w:proofErr w:type="spellEnd"/>
    </w:p>
    <w:p w14:paraId="0EFF1A7C" w14:textId="77777777" w:rsidR="00E31A6F" w:rsidRPr="00E31A6F" w:rsidRDefault="00E31A6F" w:rsidP="00E31A6F">
      <w:pPr>
        <w:rPr>
          <w:sz w:val="24"/>
          <w:szCs w:val="24"/>
        </w:rPr>
      </w:pPr>
    </w:p>
    <w:p w14:paraId="040F3AED" w14:textId="6BA7C29D" w:rsidR="00A439F2" w:rsidRPr="00A439F2" w:rsidRDefault="00E31A6F" w:rsidP="00E31A6F">
      <w:pPr>
        <w:rPr>
          <w:sz w:val="24"/>
          <w:szCs w:val="24"/>
        </w:rPr>
      </w:pPr>
      <w:r w:rsidRPr="00E31A6F">
        <w:rPr>
          <w:sz w:val="24"/>
          <w:szCs w:val="24"/>
        </w:rPr>
        <w:t xml:space="preserve"> </w:t>
      </w:r>
      <w:r w:rsidRPr="00E31A6F">
        <w:rPr>
          <w:rFonts w:ascii="Segoe UI Emoji" w:hAnsi="Segoe UI Emoji" w:cs="Segoe UI Emoji"/>
          <w:sz w:val="24"/>
          <w:szCs w:val="24"/>
        </w:rPr>
        <w:t xml:space="preserve">💵</w:t>
      </w:r>
      <w:r w:rsidRPr="00E31A6F">
        <w:rPr>
          <w:sz w:val="24"/>
          <w:szCs w:val="24"/>
        </w:rPr>
        <w:t xml:space="preserve"> Les liquidités sont également sous-pondérées, même si le sentiment s’est amélioré par rapport au trimestre précédent.</w:t>
      </w:r>
    </w:p>
    <w:p w14:paraId="5754497F" w14:textId="77777777" w:rsidR="00A439F2" w:rsidRPr="00A439F2" w:rsidRDefault="00A439F2" w:rsidP="00A439F2">
      <w:pPr>
        <w:rPr>
          <w:sz w:val="24"/>
          <w:szCs w:val="24"/>
        </w:rPr>
      </w:pPr>
    </w:p>
    <w:p w14:paraId="692A3344" w14:textId="5F903BAC" w:rsidR="00A439F2" w:rsidRDefault="00CD54E5" w:rsidP="00A439F2">
      <w:pPr>
        <w:rPr>
          <w:sz w:val="24"/>
          <w:szCs w:val="24"/>
        </w:rPr>
      </w:pPr>
      <w:r w:rsidRPr="00CD54E5">
        <w:drawing>
          <wp:inline distT="0" distB="0" distL="0" distR="0" wp14:anchorId="3B4E2E6C" wp14:editId="5A810BA4">
            <wp:extent cx="4364554" cy="5455920"/>
            <wp:effectExtent l="0" t="0" r="0" b="0"/>
            <wp:docPr id="1787022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0222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68885" cy="5461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49C91" w14:textId="77777777" w:rsidR="00CD54E5" w:rsidRDefault="00CD54E5" w:rsidP="00A439F2">
      <w:pPr>
        <w:rPr>
          <w:sz w:val="24"/>
          <w:szCs w:val="24"/>
        </w:rPr>
      </w:pPr>
    </w:p>
    <w:p w14:paraId="009277E1" w14:textId="124D884E" w:rsidR="00CD54E5" w:rsidRPr="00A439F2" w:rsidRDefault="00CD54E5" w:rsidP="00A439F2">
      <w:pPr>
        <w:rPr>
          <w:sz w:val="24"/>
          <w:szCs w:val="24"/>
        </w:rPr>
      </w:pPr>
      <w:r>
        <w:rPr>
          <w:sz w:val="24"/>
          <w:szCs w:val="24"/>
        </w:rPr>
        <w:t xml:space="preserve">Source : Stephen White</w:t>
      </w:r>
    </w:p>
    <w:p w14:paraId="12FDAD6B" w14:textId="77777777" w:rsidR="00A439F2" w:rsidRPr="00A439F2" w:rsidRDefault="00A439F2" w:rsidP="00A439F2">
      <w:pPr>
        <w:rPr>
          <w:sz w:val="24"/>
          <w:szCs w:val="24"/>
        </w:rPr>
      </w:pPr>
    </w:p>
    <w:p w14:paraId="28F2A30F" w14:textId="77777777" w:rsidR="00A439F2" w:rsidRPr="00A439F2" w:rsidRDefault="00A439F2" w:rsidP="00A439F2">
      <w:pPr>
        <w:rPr>
          <w:sz w:val="24"/>
          <w:szCs w:val="24"/>
        </w:rPr>
      </w:pPr>
    </w:p>
    <w:p w14:paraId="7F665155" w14:textId="77777777" w:rsidR="00A439F2" w:rsidRPr="00A439F2" w:rsidRDefault="00A439F2" w:rsidP="00A439F2">
      <w:pPr>
        <w:rPr>
          <w:sz w:val="24"/>
          <w:szCs w:val="24"/>
        </w:rPr>
      </w:pPr>
    </w:p>
    <w:p w14:paraId="33783F24" w14:textId="62DF51D6" w:rsidR="000B0971" w:rsidRPr="000B0971" w:rsidRDefault="00A439F2" w:rsidP="000B0971">
      <w:pPr>
        <w:rPr>
          <w:b/>
          <w:bCs/>
          <w:sz w:val="24"/>
          <w:szCs w:val="24"/>
        </w:rPr>
      </w:pPr>
      <w:r w:rsidRPr="000B0971">
        <w:rPr>
          <w:b/>
          <w:bCs/>
          <w:sz w:val="24"/>
          <w:szCs w:val="24"/>
        </w:rPr>
        <w:t xml:space="preserve">Graphique #4 : Sur quoi les gérants d’actifs sont-ils les plus haussiers dans leurs perspectives du 4e trimestre 2026 ?</w:t>
      </w:r>
    </w:p>
    <w:p w14:paraId="271B139C" w14:textId="77777777" w:rsidR="000B0971" w:rsidRPr="000B0971" w:rsidRDefault="000B0971" w:rsidP="000B0971">
      <w:pPr>
        <w:rPr>
          <w:b/>
          <w:bCs/>
          <w:sz w:val="24"/>
          <w:szCs w:val="24"/>
        </w:rPr>
      </w:pPr>
    </w:p>
    <w:p w14:paraId="54CBFEBE" w14:textId="77777777" w:rsidR="000B0971" w:rsidRPr="000B0971" w:rsidRDefault="000B0971" w:rsidP="000B0971">
      <w:pPr>
        <w:rPr>
          <w:sz w:val="24"/>
          <w:szCs w:val="24"/>
        </w:rPr>
      </w:pPr>
      <w:proofErr w:type="spellStart"/>
      <w:r w:rsidRPr="000B0971">
        <w:rPr>
          <w:sz w:val="24"/>
          <w:szCs w:val="24"/>
        </w:rPr>
        <w:t xml:space="preserve">ProAllocate a analysé plus de 120 publications de perspectives et d’allocation d’actifs émanant de 76 sociétés, qui couvrent des recommandations sur plus de 450 sous-classes d’actifs, facteurs, thèmes et marchés.</w:t>
      </w:r>
      <w:proofErr w:type="spellEnd"/>
      <w:proofErr w:type="spellStart"/>
      <w:proofErr w:type="spellEnd"/>
    </w:p>
    <w:p w14:paraId="30F8AC45" w14:textId="77777777" w:rsidR="000B0971" w:rsidRPr="000B0971" w:rsidRDefault="000B0971" w:rsidP="000B0971">
      <w:pPr>
        <w:rPr>
          <w:sz w:val="24"/>
          <w:szCs w:val="24"/>
        </w:rPr>
      </w:pPr>
    </w:p>
    <w:p w14:paraId="4EF5A676" w14:textId="77777777" w:rsidR="000B0971" w:rsidRPr="000B0971" w:rsidRDefault="000B0971" w:rsidP="000B0971">
      <w:pPr>
        <w:rPr>
          <w:sz w:val="24"/>
          <w:szCs w:val="24"/>
        </w:rPr>
      </w:pPr>
      <w:r w:rsidRPr="000B0971">
        <w:rPr>
          <w:sz w:val="24"/>
          <w:szCs w:val="24"/>
        </w:rPr>
        <w:lastRenderedPageBreak/>
        <w:t xml:space="preserve">Le consensus le plus fort concerne...</w:t>
      </w:r>
    </w:p>
    <w:p w14:paraId="40FFDD13" w14:textId="77777777" w:rsidR="000B0971" w:rsidRPr="000B0971" w:rsidRDefault="000B0971" w:rsidP="000B0971">
      <w:pPr>
        <w:rPr>
          <w:sz w:val="24"/>
          <w:szCs w:val="24"/>
        </w:rPr>
      </w:pPr>
    </w:p>
    <w:p w14:paraId="066F7660" w14:textId="4AC0ADCE" w:rsidR="000B0971" w:rsidRPr="000B0971" w:rsidRDefault="000B0971" w:rsidP="00B909A9">
      <w:pPr>
        <w:rPr>
          <w:sz w:val="24"/>
          <w:szCs w:val="24"/>
        </w:rPr>
      </w:pPr>
      <w:r w:rsidRPr="000B0971">
        <w:rPr>
          <w:sz w:val="24"/>
          <w:szCs w:val="24"/>
        </w:rPr>
        <w:t xml:space="preserve">Les actions</w:t>
      </w:r>
      <w:r w:rsidR="00D26C46">
        <w:rPr>
          <w:sz w:val="24"/>
          <w:szCs w:val="24"/>
        </w:rPr>
        <w:t xml:space="preserve"> </w:t>
      </w:r>
      <w:r w:rsidRPr="000B0971">
        <w:rPr>
          <w:rFonts w:ascii="Segoe UI Emoji" w:hAnsi="Segoe UI Emoji" w:cs="Segoe UI Emoji"/>
          <w:sz w:val="24"/>
          <w:szCs w:val="24"/>
        </w:rPr>
        <w:t xml:space="preserve">📈</w:t>
      </w:r>
      <w:r w:rsidR="00B909A9">
        <w:rPr>
          <w:rFonts w:ascii="Segoe UI Emoji" w:hAnsi="Segoe UI Emoji" w:cs="Segoe UI Emoji"/>
          <w:sz w:val="24"/>
          <w:szCs w:val="24"/>
        </w:rPr>
        <w:t xml:space="preserve"> : </w:t>
      </w:r>
      <w:r w:rsidRPr="000B0971">
        <w:rPr>
          <w:sz w:val="24"/>
          <w:szCs w:val="24"/>
        </w:rPr>
        <w:t xml:space="preserve">52 des 66 sociétés ayant exprimé une opinion les surpondèrent, 11 sont neutres et 3 seulement les sous-pondèrent. La plupart mettent en avant une croissance des bénéfices à deux chiffres, une croissance nominale résiliente et des investissements dans l’IA qui s’étendent au-delà des géants de la tech. La minorité prudente pointe les hausses de taux, la remontée des taux réels et les prix du pétrole.</w:t>
      </w:r>
    </w:p>
    <w:p w14:paraId="7D1CEDD4" w14:textId="77777777" w:rsidR="000B0971" w:rsidRPr="000B0971" w:rsidRDefault="000B0971" w:rsidP="000B0971">
      <w:pPr>
        <w:rPr>
          <w:sz w:val="24"/>
          <w:szCs w:val="24"/>
        </w:rPr>
      </w:pPr>
    </w:p>
    <w:p w14:paraId="59DCDD9E" w14:textId="77777777" w:rsidR="000B0971" w:rsidRPr="000B0971" w:rsidRDefault="000B0971" w:rsidP="000B0971">
      <w:pPr>
        <w:rPr>
          <w:sz w:val="24"/>
          <w:szCs w:val="24"/>
        </w:rPr>
      </w:pPr>
      <w:r w:rsidRPr="000B0971">
        <w:rPr>
          <w:sz w:val="24"/>
          <w:szCs w:val="24"/>
        </w:rPr>
        <w:t xml:space="preserve">Qu’apprécient encore les gérants d’actifs sur un horizon d’allocation tactique (6 à 12 mois) ?</w:t>
      </w:r>
    </w:p>
    <w:p w14:paraId="092EDD21" w14:textId="77777777" w:rsidR="000B0971" w:rsidRPr="000B0971" w:rsidRDefault="000B0971" w:rsidP="000B0971">
      <w:pPr>
        <w:rPr>
          <w:sz w:val="24"/>
          <w:szCs w:val="24"/>
        </w:rPr>
      </w:pPr>
    </w:p>
    <w:p w14:paraId="65E5EF96" w14:textId="77777777" w:rsidR="000B0971" w:rsidRPr="000B0971" w:rsidRDefault="000B0971" w:rsidP="000B0971">
      <w:pPr>
        <w:rPr>
          <w:sz w:val="24"/>
          <w:szCs w:val="24"/>
        </w:rPr>
      </w:pPr>
      <w:r w:rsidRPr="000B0971">
        <w:rPr>
          <w:rFonts w:ascii="Segoe UI Emoji" w:hAnsi="Segoe UI Emoji" w:cs="Segoe UI Emoji"/>
          <w:sz w:val="24"/>
          <w:szCs w:val="24"/>
        </w:rPr>
        <w:t xml:space="preserve">🌍</w:t>
      </w:r>
      <w:r w:rsidRPr="000B0971">
        <w:rPr>
          <w:sz w:val="24"/>
          <w:szCs w:val="24"/>
        </w:rPr>
        <w:t xml:space="preserve"> Côté actions, les gérants privilégient les États-Unis, les marchés émergents, le Japon et les valeurs liées à l’IA (de manière sélective).</w:t>
      </w:r>
      <w:proofErr w:type="spellStart"/>
      <w:proofErr w:type="spellEnd"/>
    </w:p>
    <w:p w14:paraId="4C53D7AB" w14:textId="77777777" w:rsidR="000B0971" w:rsidRPr="000B0971" w:rsidRDefault="000B0971" w:rsidP="000B0971">
      <w:pPr>
        <w:rPr>
          <w:sz w:val="24"/>
          <w:szCs w:val="24"/>
        </w:rPr>
      </w:pPr>
      <w:r w:rsidRPr="000B0971">
        <w:rPr>
          <w:rFonts w:ascii="Segoe UI Emoji" w:hAnsi="Segoe UI Emoji" w:cs="Segoe UI Emoji"/>
          <w:sz w:val="24"/>
          <w:szCs w:val="24"/>
        </w:rPr>
        <w:t xml:space="preserve">📄</w:t>
      </w:r>
      <w:r w:rsidRPr="000B0971">
        <w:rPr>
          <w:sz w:val="24"/>
          <w:szCs w:val="24"/>
        </w:rPr>
        <w:t xml:space="preserve"> En obligataire, seule la dette émergente en devise locale figure dans le top 10.</w:t>
      </w:r>
    </w:p>
    <w:p w14:paraId="134B36BF" w14:textId="69CA7D62" w:rsidR="00A439F2" w:rsidRDefault="000B0971" w:rsidP="000B0971">
      <w:pPr>
        <w:rPr>
          <w:sz w:val="24"/>
          <w:szCs w:val="24"/>
        </w:rPr>
      </w:pPr>
      <w:r w:rsidRPr="000B0971">
        <w:rPr>
          <w:sz w:val="24"/>
          <w:szCs w:val="24"/>
        </w:rPr>
        <w:t xml:space="preserve"> </w:t>
      </w:r>
      <w:r w:rsidRPr="000B0971">
        <w:rPr>
          <w:rFonts w:ascii="Segoe UI Emoji" w:hAnsi="Segoe UI Emoji" w:cs="Segoe UI Emoji"/>
          <w:sz w:val="24"/>
          <w:szCs w:val="24"/>
        </w:rPr>
        <w:t xml:space="preserve">🛣️</w:t>
      </w:r>
      <w:r w:rsidRPr="000B0971">
        <w:rPr>
          <w:sz w:val="24"/>
          <w:szCs w:val="24"/>
        </w:rPr>
        <w:t xml:space="preserve"> Parmi les actifs alternatifs, les sociétés restent positives sur l’or, les actifs réels, les infrastructures non cotées et les matières premières en général.</w:t>
      </w:r>
    </w:p>
    <w:p w14:paraId="7FBBCDBC" w14:textId="77777777" w:rsidR="000B0971" w:rsidRDefault="000B0971" w:rsidP="000B0971">
      <w:pPr>
        <w:rPr>
          <w:sz w:val="24"/>
          <w:szCs w:val="24"/>
        </w:rPr>
      </w:pPr>
    </w:p>
    <w:p w14:paraId="7730CADA" w14:textId="4E3A5548" w:rsidR="000B0971" w:rsidRDefault="00AF27EE" w:rsidP="000B0971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6E36FBF4" wp14:editId="3F4C4CAA">
            <wp:extent cx="4218256" cy="5273040"/>
            <wp:effectExtent l="0" t="0" r="0" b="3810"/>
            <wp:docPr id="14775851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1390" cy="5289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CD8D9" w14:textId="77777777" w:rsidR="000B0971" w:rsidRPr="00A439F2" w:rsidRDefault="000B0971" w:rsidP="000B0971">
      <w:pPr>
        <w:rPr>
          <w:sz w:val="24"/>
          <w:szCs w:val="24"/>
        </w:rPr>
      </w:pPr>
    </w:p>
    <w:p w14:paraId="1510FFE3" w14:textId="2F0F728A" w:rsidR="00A439F2" w:rsidRPr="00A439F2" w:rsidRDefault="000B0971" w:rsidP="00A439F2">
      <w:pPr>
        <w:rPr>
          <w:sz w:val="24"/>
          <w:szCs w:val="24"/>
        </w:rPr>
      </w:pPr>
      <w:r>
        <w:rPr>
          <w:sz w:val="24"/>
          <w:szCs w:val="24"/>
        </w:rPr>
        <w:t xml:space="preserve">Source : Stephen White</w:t>
      </w:r>
    </w:p>
    <w:p w14:paraId="48356847" w14:textId="77777777" w:rsidR="00A439F2" w:rsidRPr="00A439F2" w:rsidRDefault="00A439F2" w:rsidP="00A439F2">
      <w:pPr>
        <w:rPr>
          <w:sz w:val="24"/>
          <w:szCs w:val="24"/>
        </w:rPr>
      </w:pPr>
    </w:p>
    <w:p w14:paraId="43EE4A34" w14:textId="77777777" w:rsidR="00A439F2" w:rsidRPr="00A439F2" w:rsidRDefault="00A439F2" w:rsidP="00A439F2">
      <w:pPr>
        <w:rPr>
          <w:sz w:val="24"/>
          <w:szCs w:val="24"/>
        </w:rPr>
      </w:pPr>
    </w:p>
    <w:p w14:paraId="55E9B589" w14:textId="7E366A8A" w:rsidR="0077680F" w:rsidRPr="0077680F" w:rsidRDefault="00A439F2" w:rsidP="0077680F">
      <w:pPr>
        <w:rPr>
          <w:b/>
          <w:bCs/>
          <w:sz w:val="24"/>
          <w:szCs w:val="24"/>
        </w:rPr>
      </w:pPr>
      <w:r w:rsidRPr="0077680F">
        <w:rPr>
          <w:b/>
          <w:bCs/>
          <w:sz w:val="24"/>
          <w:szCs w:val="24"/>
        </w:rPr>
        <w:lastRenderedPageBreak/>
        <w:t xml:space="preserve">Graphique #5 : Anthropic génère un chiffre d’affaires exceptionnel de 6,6 millions de dollars par employé</w:t>
      </w:r>
    </w:p>
    <w:p w14:paraId="01E62A8E" w14:textId="77777777" w:rsidR="0077680F" w:rsidRPr="0077680F" w:rsidRDefault="0077680F" w:rsidP="0077680F">
      <w:pPr>
        <w:rPr>
          <w:sz w:val="24"/>
          <w:szCs w:val="24"/>
        </w:rPr>
      </w:pPr>
    </w:p>
    <w:p w14:paraId="5EE31524" w14:textId="71A5C60C" w:rsidR="0077680F" w:rsidRPr="0077680F" w:rsidRDefault="0077680F" w:rsidP="0077680F">
      <w:pPr>
        <w:rPr>
          <w:sz w:val="24"/>
          <w:szCs w:val="24"/>
        </w:rPr>
      </w:pPr>
      <w:r w:rsidRPr="0077680F">
        <w:rPr>
          <w:sz w:val="24"/>
          <w:szCs w:val="24"/>
        </w:rPr>
        <w:t xml:space="preserve">L’entreprise d’IA devance ainsi Nvidia, Meta, Apple et Google, et n’est battue que par OnlyFans parmi les sociétés de cette liste :</w:t>
      </w:r>
    </w:p>
    <w:p w14:paraId="48AEF978" w14:textId="77777777" w:rsidR="0077680F" w:rsidRPr="0077680F" w:rsidRDefault="0077680F" w:rsidP="0077680F">
      <w:pPr>
        <w:rPr>
          <w:sz w:val="24"/>
          <w:szCs w:val="24"/>
        </w:rPr>
      </w:pPr>
    </w:p>
    <w:p w14:paraId="0D92E81B" w14:textId="7D625EBC" w:rsidR="0077680F" w:rsidRPr="0077680F" w:rsidRDefault="0077680F" w:rsidP="0077680F">
      <w:pPr>
        <w:rPr>
          <w:sz w:val="24"/>
          <w:szCs w:val="24"/>
        </w:rPr>
      </w:pPr>
      <w:r w:rsidRPr="0077680F">
        <w:rPr>
          <w:rFonts w:ascii="Segoe UI Emoji" w:hAnsi="Segoe UI Emoji" w:cs="Segoe UI Emoji"/>
          <w:sz w:val="24"/>
          <w:szCs w:val="24"/>
        </w:rPr>
        <w:t xml:space="preserve">▫️</w:t>
      </w:r>
      <w:r w:rsidRPr="0077680F">
        <w:rPr>
          <w:sz w:val="24"/>
          <w:szCs w:val="24"/>
        </w:rPr>
        <w:t xml:space="preserve"> OnlyFans : 33,0 millions de dollars</w:t>
      </w:r>
    </w:p>
    <w:p w14:paraId="22554B20" w14:textId="7D785ADC" w:rsidR="0077680F" w:rsidRPr="0077680F" w:rsidRDefault="0077680F" w:rsidP="0077680F">
      <w:pPr>
        <w:rPr>
          <w:sz w:val="24"/>
          <w:szCs w:val="24"/>
        </w:rPr>
      </w:pPr>
      <w:r w:rsidRPr="0077680F">
        <w:rPr>
          <w:rFonts w:ascii="Segoe UI Emoji" w:hAnsi="Segoe UI Emoji" w:cs="Segoe UI Emoji"/>
          <w:sz w:val="24"/>
          <w:szCs w:val="24"/>
        </w:rPr>
        <w:t xml:space="preserve">▫️</w:t>
      </w:r>
      <w:r w:rsidRPr="0077680F">
        <w:rPr>
          <w:sz w:val="24"/>
          <w:szCs w:val="24"/>
        </w:rPr>
        <w:t xml:space="preserve"> Anthropic : 6,6 millions de dollars</w:t>
      </w:r>
    </w:p>
    <w:p w14:paraId="6D296B45" w14:textId="6F7E98F3" w:rsidR="0077680F" w:rsidRPr="0077680F" w:rsidRDefault="0077680F" w:rsidP="0077680F">
      <w:pPr>
        <w:rPr>
          <w:sz w:val="24"/>
          <w:szCs w:val="24"/>
        </w:rPr>
      </w:pPr>
      <w:r w:rsidRPr="0077680F">
        <w:rPr>
          <w:rFonts w:ascii="Segoe UI Emoji" w:hAnsi="Segoe UI Emoji" w:cs="Segoe UI Emoji"/>
          <w:sz w:val="24"/>
          <w:szCs w:val="24"/>
        </w:rPr>
        <w:t xml:space="preserve">▫️</w:t>
      </w:r>
      <w:r w:rsidRPr="0077680F">
        <w:rPr>
          <w:sz w:val="24"/>
          <w:szCs w:val="24"/>
        </w:rPr>
        <w:t xml:space="preserve"> </w:t>
      </w:r>
      <w:proofErr w:type="spellStart"/>
      <w:r w:rsidRPr="0077680F">
        <w:rPr>
          <w:sz w:val="24"/>
          <w:szCs w:val="24"/>
        </w:rPr>
        <w:t xml:space="preserve">AppLovin</w:t>
      </w:r>
      <w:proofErr w:type="spellEnd"/>
      <w:r w:rsidRPr="0077680F">
        <w:rPr>
          <w:sz w:val="24"/>
          <w:szCs w:val="24"/>
        </w:rPr>
        <w:t xml:space="preserve"> : 6,1 millions de dollars</w:t>
      </w:r>
    </w:p>
    <w:p w14:paraId="03317E2B" w14:textId="272526C2" w:rsidR="0077680F" w:rsidRPr="0077680F" w:rsidRDefault="0077680F" w:rsidP="0077680F">
      <w:pPr>
        <w:rPr>
          <w:sz w:val="24"/>
          <w:szCs w:val="24"/>
        </w:rPr>
      </w:pPr>
      <w:r w:rsidRPr="0077680F">
        <w:rPr>
          <w:rFonts w:ascii="Segoe UI Emoji" w:hAnsi="Segoe UI Emoji" w:cs="Segoe UI Emoji"/>
          <w:sz w:val="24"/>
          <w:szCs w:val="24"/>
        </w:rPr>
        <w:t xml:space="preserve">▫️</w:t>
      </w:r>
      <w:r w:rsidRPr="0077680F">
        <w:rPr>
          <w:sz w:val="24"/>
          <w:szCs w:val="24"/>
        </w:rPr>
        <w:t xml:space="preserve"> Nvidia : 5,1 millions de dollars</w:t>
      </w:r>
    </w:p>
    <w:p w14:paraId="573C860E" w14:textId="0ACC809F" w:rsidR="0077680F" w:rsidRPr="0077680F" w:rsidRDefault="0077680F" w:rsidP="0077680F">
      <w:pPr>
        <w:rPr>
          <w:sz w:val="24"/>
          <w:szCs w:val="24"/>
        </w:rPr>
      </w:pPr>
      <w:r w:rsidRPr="0077680F">
        <w:rPr>
          <w:rFonts w:ascii="Segoe UI Emoji" w:hAnsi="Segoe UI Emoji" w:cs="Segoe UI Emoji"/>
          <w:sz w:val="24"/>
          <w:szCs w:val="24"/>
        </w:rPr>
        <w:t xml:space="preserve">▫️</w:t>
      </w:r>
      <w:r w:rsidRPr="0077680F">
        <w:rPr>
          <w:sz w:val="24"/>
          <w:szCs w:val="24"/>
        </w:rPr>
        <w:t xml:space="preserve"> Netflix : 2,8 millions de dollars</w:t>
      </w:r>
    </w:p>
    <w:p w14:paraId="520B5298" w14:textId="3065D183" w:rsidR="0077680F" w:rsidRPr="0077680F" w:rsidRDefault="0077680F" w:rsidP="0077680F">
      <w:pPr>
        <w:rPr>
          <w:sz w:val="24"/>
          <w:szCs w:val="24"/>
        </w:rPr>
      </w:pPr>
      <w:r w:rsidRPr="0077680F">
        <w:rPr>
          <w:rFonts w:ascii="Segoe UI Emoji" w:hAnsi="Segoe UI Emoji" w:cs="Segoe UI Emoji"/>
          <w:sz w:val="24"/>
          <w:szCs w:val="24"/>
        </w:rPr>
        <w:t xml:space="preserve">▫️</w:t>
      </w:r>
      <w:r w:rsidRPr="0077680F">
        <w:rPr>
          <w:sz w:val="24"/>
          <w:szCs w:val="24"/>
        </w:rPr>
        <w:t xml:space="preserve"> Grindr : 2,7 millions de dollars</w:t>
      </w:r>
    </w:p>
    <w:p w14:paraId="3400BF62" w14:textId="4432D3DD" w:rsidR="0077680F" w:rsidRPr="0077680F" w:rsidRDefault="0077680F" w:rsidP="0077680F">
      <w:pPr>
        <w:rPr>
          <w:sz w:val="24"/>
          <w:szCs w:val="24"/>
        </w:rPr>
      </w:pPr>
      <w:r w:rsidRPr="0077680F">
        <w:rPr>
          <w:rFonts w:ascii="Segoe UI Emoji" w:hAnsi="Segoe UI Emoji" w:cs="Segoe UI Emoji"/>
          <w:sz w:val="24"/>
          <w:szCs w:val="24"/>
        </w:rPr>
        <w:t xml:space="preserve">▫️</w:t>
      </w:r>
      <w:r w:rsidRPr="0077680F">
        <w:rPr>
          <w:sz w:val="24"/>
          <w:szCs w:val="24"/>
        </w:rPr>
        <w:t xml:space="preserve"> Meta : 2,5 millions de dollars</w:t>
      </w:r>
    </w:p>
    <w:p w14:paraId="6B1F12F7" w14:textId="67022529" w:rsidR="0077680F" w:rsidRPr="0077680F" w:rsidRDefault="0077680F" w:rsidP="0077680F">
      <w:pPr>
        <w:rPr>
          <w:sz w:val="24"/>
          <w:szCs w:val="24"/>
        </w:rPr>
      </w:pPr>
      <w:r w:rsidRPr="0077680F">
        <w:rPr>
          <w:rFonts w:ascii="Segoe UI Emoji" w:hAnsi="Segoe UI Emoji" w:cs="Segoe UI Emoji"/>
          <w:sz w:val="24"/>
          <w:szCs w:val="24"/>
        </w:rPr>
        <w:t xml:space="preserve">▫️</w:t>
      </w:r>
      <w:r w:rsidRPr="0077680F">
        <w:rPr>
          <w:sz w:val="24"/>
          <w:szCs w:val="24"/>
        </w:rPr>
        <w:t xml:space="preserve"> Apple : 2,5 millions de dollars</w:t>
      </w:r>
    </w:p>
    <w:p w14:paraId="22277968" w14:textId="77777777" w:rsidR="0077680F" w:rsidRPr="0077680F" w:rsidRDefault="0077680F" w:rsidP="0077680F">
      <w:pPr>
        <w:rPr>
          <w:sz w:val="24"/>
          <w:szCs w:val="24"/>
        </w:rPr>
      </w:pPr>
      <w:r w:rsidRPr="0077680F">
        <w:rPr>
          <w:rFonts w:ascii="Segoe UI Emoji" w:hAnsi="Segoe UI Emoji" w:cs="Segoe UI Emoji"/>
          <w:sz w:val="24"/>
          <w:szCs w:val="24"/>
        </w:rPr>
        <w:t xml:space="preserve">▫️</w:t>
      </w:r>
      <w:r w:rsidRPr="0077680F">
        <w:rPr>
          <w:sz w:val="24"/>
          <w:szCs w:val="24"/>
        </w:rPr>
        <w:t xml:space="preserve"> Google : 2,1 millions de dollars</w:t>
      </w:r>
    </w:p>
    <w:p w14:paraId="5F693F01" w14:textId="77777777" w:rsidR="0077680F" w:rsidRPr="0077680F" w:rsidRDefault="0077680F" w:rsidP="0077680F">
      <w:pPr>
        <w:rPr>
          <w:sz w:val="24"/>
          <w:szCs w:val="24"/>
        </w:rPr>
      </w:pPr>
    </w:p>
    <w:p w14:paraId="754024EA" w14:textId="77777777" w:rsidR="0077680F" w:rsidRPr="0077680F" w:rsidRDefault="0077680F" w:rsidP="0077680F">
      <w:pPr>
        <w:rPr>
          <w:sz w:val="24"/>
          <w:szCs w:val="24"/>
        </w:rPr>
      </w:pPr>
      <w:r w:rsidRPr="0077680F">
        <w:rPr>
          <w:sz w:val="24"/>
          <w:szCs w:val="24"/>
        </w:rPr>
        <w:t xml:space="preserve">Une réserve de taille : le chiffre d’affaires par employé indique combien une entreprise génère de revenus au regard de ses effectifs, mais il en dit peu sur sa rentabilité ou le coût de ses infrastructures.</w:t>
      </w:r>
    </w:p>
    <w:p w14:paraId="38D51A6C" w14:textId="77777777" w:rsidR="0077680F" w:rsidRPr="0077680F" w:rsidRDefault="0077680F" w:rsidP="0077680F">
      <w:pPr>
        <w:rPr>
          <w:sz w:val="24"/>
          <w:szCs w:val="24"/>
        </w:rPr>
      </w:pPr>
    </w:p>
    <w:p w14:paraId="3E447259" w14:textId="77777777" w:rsidR="0077680F" w:rsidRPr="0077680F" w:rsidRDefault="0077680F" w:rsidP="0077680F">
      <w:pPr>
        <w:rPr>
          <w:sz w:val="24"/>
          <w:szCs w:val="24"/>
        </w:rPr>
      </w:pPr>
      <w:r w:rsidRPr="0077680F">
        <w:rPr>
          <w:sz w:val="24"/>
          <w:szCs w:val="24"/>
        </w:rPr>
        <w:t xml:space="preserve">Ce chiffre illustre néanmoins la rapidité avec laquelle Anthropic a changé d’échelle.</w:t>
      </w:r>
    </w:p>
    <w:p w14:paraId="62E394D9" w14:textId="77777777" w:rsidR="0077680F" w:rsidRPr="0077680F" w:rsidRDefault="0077680F" w:rsidP="0077680F">
      <w:pPr>
        <w:rPr>
          <w:sz w:val="24"/>
          <w:szCs w:val="24"/>
        </w:rPr>
      </w:pPr>
    </w:p>
    <w:p w14:paraId="4D2B6010" w14:textId="77777777" w:rsidR="0077680F" w:rsidRPr="0077680F" w:rsidRDefault="0077680F" w:rsidP="0077680F">
      <w:pPr>
        <w:rPr>
          <w:sz w:val="24"/>
          <w:szCs w:val="24"/>
        </w:rPr>
      </w:pPr>
      <w:r w:rsidRPr="0077680F">
        <w:rPr>
          <w:sz w:val="24"/>
          <w:szCs w:val="24"/>
        </w:rPr>
        <w:t xml:space="preserve">Est-ce un avant-goût de ce que les entreprises nativement IA peuvent accomplir avec des équipes plus réduites ?</w:t>
      </w:r>
    </w:p>
    <w:p w14:paraId="1411256D" w14:textId="77777777" w:rsidR="0077680F" w:rsidRPr="0077680F" w:rsidRDefault="0077680F" w:rsidP="0077680F">
      <w:pPr>
        <w:rPr>
          <w:sz w:val="24"/>
          <w:szCs w:val="24"/>
        </w:rPr>
      </w:pPr>
    </w:p>
    <w:p w14:paraId="70D57161" w14:textId="040117F2" w:rsidR="0077680F" w:rsidRPr="0077680F" w:rsidRDefault="00426D7F" w:rsidP="0077680F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7B2D62FC" wp14:editId="72211181">
            <wp:extent cx="6120130" cy="3442335"/>
            <wp:effectExtent l="0" t="0" r="0" b="5715"/>
            <wp:docPr id="1735461467" name="Picture 4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View 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B8B93" w14:textId="77777777" w:rsidR="0077680F" w:rsidRPr="0077680F" w:rsidRDefault="0077680F" w:rsidP="0077680F">
      <w:pPr>
        <w:rPr>
          <w:sz w:val="24"/>
          <w:szCs w:val="24"/>
        </w:rPr>
      </w:pPr>
    </w:p>
    <w:p w14:paraId="03D671A1" w14:textId="77777777" w:rsidR="0077680F" w:rsidRPr="0077680F" w:rsidRDefault="0077680F" w:rsidP="0077680F">
      <w:pPr>
        <w:rPr>
          <w:sz w:val="24"/>
          <w:szCs w:val="24"/>
        </w:rPr>
      </w:pPr>
      <w:r w:rsidRPr="0077680F">
        <w:rPr>
          <w:sz w:val="24"/>
          <w:szCs w:val="24"/>
        </w:rPr>
        <w:t xml:space="preserve">Source : Trung Phan</w:t>
      </w:r>
    </w:p>
    <w:p w14:paraId="54D1DE31" w14:textId="77777777" w:rsidR="0077680F" w:rsidRPr="0077680F" w:rsidRDefault="0077680F" w:rsidP="0077680F">
      <w:pPr>
        <w:rPr>
          <w:sz w:val="24"/>
          <w:szCs w:val="24"/>
        </w:rPr>
      </w:pPr>
    </w:p>
    <w:p w14:paraId="1D016649" w14:textId="77777777" w:rsidR="00A439F2" w:rsidRPr="00A439F2" w:rsidRDefault="00A439F2" w:rsidP="00A439F2">
      <w:pPr>
        <w:rPr>
          <w:sz w:val="24"/>
          <w:szCs w:val="24"/>
        </w:rPr>
      </w:pPr>
    </w:p>
    <w:p w14:paraId="69DBA61F" w14:textId="77777777" w:rsidR="00A439F2" w:rsidRPr="00A439F2" w:rsidRDefault="00A439F2" w:rsidP="00A439F2">
      <w:pPr>
        <w:rPr>
          <w:sz w:val="24"/>
          <w:szCs w:val="24"/>
        </w:rPr>
      </w:pPr>
    </w:p>
    <w:p w14:paraId="2A80F0D8" w14:textId="77777777" w:rsidR="00A439F2" w:rsidRPr="00A439F2" w:rsidRDefault="00A439F2" w:rsidP="00A439F2">
      <w:pPr>
        <w:rPr>
          <w:sz w:val="24"/>
          <w:szCs w:val="24"/>
        </w:rPr>
      </w:pPr>
    </w:p>
    <w:p w14:paraId="3114C667" w14:textId="4D0E9579" w:rsidR="00A2767E" w:rsidRPr="00692877" w:rsidRDefault="00A439F2" w:rsidP="00A2767E">
      <w:pPr>
        <w:rPr>
          <w:b/>
          <w:bCs/>
          <w:sz w:val="24"/>
          <w:szCs w:val="24"/>
        </w:rPr>
      </w:pPr>
      <w:r w:rsidRPr="00692877">
        <w:rPr>
          <w:b/>
          <w:bCs/>
          <w:sz w:val="24"/>
          <w:szCs w:val="24"/>
        </w:rPr>
        <w:t xml:space="preserve">Graphique #6 : Les actions françaises sont-elles trop bon marché pour être ignorées ?</w:t>
      </w:r>
    </w:p>
    <w:p w14:paraId="050C3636" w14:textId="77777777" w:rsidR="00A2767E" w:rsidRPr="00A2767E" w:rsidRDefault="00A2767E" w:rsidP="00A2767E">
      <w:pPr>
        <w:rPr>
          <w:sz w:val="24"/>
          <w:szCs w:val="24"/>
        </w:rPr>
      </w:pPr>
    </w:p>
    <w:p w14:paraId="40887276" w14:textId="77777777" w:rsidR="00A2767E" w:rsidRPr="00A2767E" w:rsidRDefault="00A2767E" w:rsidP="00A2767E">
      <w:pPr>
        <w:rPr>
          <w:sz w:val="24"/>
          <w:szCs w:val="24"/>
        </w:rPr>
      </w:pPr>
      <w:r w:rsidRPr="00A2767E">
        <w:rPr>
          <w:sz w:val="24"/>
          <w:szCs w:val="24"/>
        </w:rPr>
        <w:t xml:space="preserve">Les actions françaises sont profondément boudées, et l’écart de valorisation atteint des niveaux historiques. Après plus de trois années de sous-performance, le CAC 40 se traite à sa valorisation la plus faible jamais enregistrée par rapport à la zone euro, selon JPMorgan.</w:t>
      </w:r>
      <w:proofErr w:type="spellStart"/>
      <w:proofErr w:type="spellEnd"/>
    </w:p>
    <w:p w14:paraId="4D9BDF39" w14:textId="77777777" w:rsidR="00A2767E" w:rsidRPr="00A2767E" w:rsidRDefault="00A2767E" w:rsidP="00A2767E">
      <w:pPr>
        <w:rPr>
          <w:sz w:val="24"/>
          <w:szCs w:val="24"/>
        </w:rPr>
      </w:pPr>
    </w:p>
    <w:p w14:paraId="6FCF7D0C" w14:textId="77777777" w:rsidR="00A2767E" w:rsidRDefault="00A2767E" w:rsidP="00A2767E">
      <w:pPr>
        <w:rPr>
          <w:sz w:val="24"/>
          <w:szCs w:val="24"/>
        </w:rPr>
      </w:pPr>
      <w:r w:rsidRPr="00A2767E">
        <w:rPr>
          <w:sz w:val="24"/>
          <w:szCs w:val="24"/>
        </w:rPr>
        <w:t xml:space="preserve">Les investisseurs se sont détournés des actifs français, et le sentiment reste résolument morose.</w:t>
      </w:r>
    </w:p>
    <w:p w14:paraId="13D4C1C3" w14:textId="77777777" w:rsidR="00692877" w:rsidRPr="00A2767E" w:rsidRDefault="00692877" w:rsidP="00A2767E">
      <w:pPr>
        <w:rPr>
          <w:sz w:val="24"/>
          <w:szCs w:val="24"/>
        </w:rPr>
      </w:pPr>
    </w:p>
    <w:p w14:paraId="05FD326B" w14:textId="77777777" w:rsidR="00A2767E" w:rsidRDefault="00A2767E" w:rsidP="00A2767E">
      <w:pPr>
        <w:rPr>
          <w:sz w:val="24"/>
          <w:szCs w:val="24"/>
        </w:rPr>
      </w:pPr>
      <w:r w:rsidRPr="00A2767E">
        <w:rPr>
          <w:sz w:val="24"/>
          <w:szCs w:val="24"/>
        </w:rPr>
        <w:t xml:space="preserve">Pour les investisseurs à contre-courant, l’attrait est évident. La question plus délicate est de savoir si la décote actuelle constitue une véritable opportunité ou si elle reflète simplement les risques à venir.</w:t>
      </w:r>
    </w:p>
    <w:p w14:paraId="0B1298E2" w14:textId="77777777" w:rsidR="00692877" w:rsidRDefault="00692877" w:rsidP="00A2767E">
      <w:pPr>
        <w:rPr>
          <w:sz w:val="24"/>
          <w:szCs w:val="24"/>
        </w:rPr>
      </w:pPr>
    </w:p>
    <w:p w14:paraId="37DB0AA5" w14:textId="5526581D" w:rsidR="00692877" w:rsidRPr="00A2767E" w:rsidRDefault="00692877" w:rsidP="00A2767E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3DC3F2BC" wp14:editId="689BB99C">
            <wp:extent cx="6120130" cy="3926205"/>
            <wp:effectExtent l="0" t="0" r="0" b="0"/>
            <wp:docPr id="1429050196" name="Picture 3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View 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2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3EC7D" w14:textId="77777777" w:rsidR="00A2767E" w:rsidRPr="00A2767E" w:rsidRDefault="00A2767E" w:rsidP="00A2767E">
      <w:pPr>
        <w:rPr>
          <w:sz w:val="24"/>
          <w:szCs w:val="24"/>
        </w:rPr>
      </w:pPr>
    </w:p>
    <w:p w14:paraId="1FF281F0" w14:textId="29146B67" w:rsidR="00A439F2" w:rsidRPr="00A439F2" w:rsidRDefault="00A2767E" w:rsidP="00A2767E">
      <w:pPr>
        <w:rPr>
          <w:sz w:val="24"/>
          <w:szCs w:val="24"/>
        </w:rPr>
      </w:pPr>
      <w:r w:rsidRPr="00A2767E">
        <w:rPr>
          <w:sz w:val="24"/>
          <w:szCs w:val="24"/>
        </w:rPr>
        <w:t xml:space="preserve">Source : JPM, TME</w:t>
      </w:r>
    </w:p>
    <w:p w14:paraId="356F9873" w14:textId="77777777" w:rsidR="00A439F2" w:rsidRPr="00A439F2" w:rsidRDefault="00A439F2" w:rsidP="00A439F2">
      <w:pPr>
        <w:rPr>
          <w:sz w:val="24"/>
          <w:szCs w:val="24"/>
        </w:rPr>
      </w:pPr>
    </w:p>
    <w:p w14:paraId="2F3BDF57" w14:textId="77777777" w:rsidR="00A439F2" w:rsidRPr="00A439F2" w:rsidRDefault="00A439F2" w:rsidP="00A439F2">
      <w:pPr>
        <w:rPr>
          <w:sz w:val="24"/>
          <w:szCs w:val="24"/>
        </w:rPr>
      </w:pPr>
    </w:p>
    <w:p w14:paraId="26F3E925" w14:textId="712D886D" w:rsidR="00A439F2" w:rsidRPr="00457E6C" w:rsidRDefault="00A439F2" w:rsidP="00A439F2">
      <w:pPr>
        <w:rPr>
          <w:b/>
          <w:bCs/>
          <w:sz w:val="24"/>
          <w:szCs w:val="24"/>
        </w:rPr>
      </w:pPr>
      <w:r w:rsidRPr="00457E6C">
        <w:rPr>
          <w:b/>
          <w:bCs/>
          <w:sz w:val="24"/>
          <w:szCs w:val="24"/>
        </w:rPr>
        <w:t xml:space="preserve">Graphique #7 : La part de l’Europe dans la R&amp;D technologique mondiale recule</w:t>
      </w:r>
    </w:p>
    <w:p w14:paraId="7643F06D" w14:textId="77777777" w:rsidR="00A439F2" w:rsidRPr="00A439F2" w:rsidRDefault="00A439F2" w:rsidP="00A439F2">
      <w:pPr>
        <w:rPr>
          <w:sz w:val="24"/>
          <w:szCs w:val="24"/>
        </w:rPr>
      </w:pPr>
    </w:p>
    <w:p w14:paraId="1ED47C99" w14:textId="77777777" w:rsidR="00D92EA7" w:rsidRPr="00D92EA7" w:rsidRDefault="00D92EA7" w:rsidP="00D92EA7">
      <w:pPr>
        <w:rPr>
          <w:sz w:val="24"/>
          <w:szCs w:val="24"/>
        </w:rPr>
      </w:pPr>
      <w:r w:rsidRPr="00D92EA7">
        <w:rPr>
          <w:sz w:val="24"/>
          <w:szCs w:val="24"/>
        </w:rPr>
        <w:t xml:space="preserve">L’Europe veut réglementer l’avenir. Mais qui le construira ?</w:t>
      </w:r>
    </w:p>
    <w:p w14:paraId="58BCB2FA" w14:textId="77777777" w:rsidR="00D92EA7" w:rsidRPr="00D92EA7" w:rsidRDefault="00D92EA7" w:rsidP="00D92EA7">
      <w:pPr>
        <w:rPr>
          <w:sz w:val="24"/>
          <w:szCs w:val="24"/>
        </w:rPr>
      </w:pPr>
    </w:p>
    <w:p w14:paraId="5A2AFFE7" w14:textId="77777777" w:rsidR="00D92EA7" w:rsidRPr="00D92EA7" w:rsidRDefault="00D92EA7" w:rsidP="00D92EA7">
      <w:pPr>
        <w:rPr>
          <w:sz w:val="24"/>
          <w:szCs w:val="24"/>
        </w:rPr>
      </w:pPr>
      <w:r w:rsidRPr="00D92EA7">
        <w:rPr>
          <w:sz w:val="24"/>
          <w:szCs w:val="24"/>
        </w:rPr>
        <w:t xml:space="preserve">Part de l’Europe dans la R&amp;D technologique mondiale :</w:t>
      </w:r>
    </w:p>
    <w:p w14:paraId="3EA82E04" w14:textId="77777777" w:rsidR="00D92EA7" w:rsidRPr="00D92EA7" w:rsidRDefault="00D92EA7" w:rsidP="00D92EA7">
      <w:pPr>
        <w:rPr>
          <w:rFonts w:hint="eastAsia"/>
          <w:sz w:val="24"/>
          <w:szCs w:val="24"/>
        </w:rPr>
      </w:pPr>
      <w:r w:rsidRPr="00D92EA7">
        <w:rPr>
          <w:rFonts w:hint="eastAsia"/>
          <w:sz w:val="24"/>
          <w:szCs w:val="24"/>
        </w:rPr>
        <w:t xml:space="preserve">→</w:t>
      </w:r>
      <w:r w:rsidRPr="00D92EA7">
        <w:rPr>
          <w:rFonts w:hint="eastAsia"/>
          <w:sz w:val="24"/>
          <w:szCs w:val="24"/>
        </w:rPr>
        <w:t xml:space="preserve"> 2005 : 23 %</w:t>
      </w:r>
    </w:p>
    <w:p w14:paraId="54FA14E9" w14:textId="77777777" w:rsidR="00D92EA7" w:rsidRPr="00D92EA7" w:rsidRDefault="00D92EA7" w:rsidP="00D92EA7">
      <w:pPr>
        <w:rPr>
          <w:rFonts w:hint="eastAsia"/>
          <w:sz w:val="24"/>
          <w:szCs w:val="24"/>
        </w:rPr>
      </w:pPr>
      <w:r w:rsidRPr="00D92EA7">
        <w:rPr>
          <w:rFonts w:hint="eastAsia"/>
          <w:sz w:val="24"/>
          <w:szCs w:val="24"/>
        </w:rPr>
        <w:t xml:space="preserve">→</w:t>
      </w:r>
      <w:r w:rsidRPr="00D92EA7">
        <w:rPr>
          <w:rFonts w:hint="eastAsia"/>
          <w:sz w:val="24"/>
          <w:szCs w:val="24"/>
        </w:rPr>
        <w:t xml:space="preserve"> Aujourd’hui : 8 %</w:t>
      </w:r>
    </w:p>
    <w:p w14:paraId="19011719" w14:textId="77777777" w:rsidR="00D92EA7" w:rsidRPr="00D92EA7" w:rsidRDefault="00D92EA7" w:rsidP="00D92EA7">
      <w:pPr>
        <w:rPr>
          <w:sz w:val="24"/>
          <w:szCs w:val="24"/>
        </w:rPr>
      </w:pPr>
    </w:p>
    <w:p w14:paraId="59DFD580" w14:textId="77777777" w:rsidR="00D92EA7" w:rsidRPr="00D92EA7" w:rsidRDefault="00D92EA7" w:rsidP="00D92EA7">
      <w:pPr>
        <w:rPr>
          <w:sz w:val="24"/>
          <w:szCs w:val="24"/>
        </w:rPr>
      </w:pPr>
      <w:r w:rsidRPr="00D92EA7">
        <w:rPr>
          <w:sz w:val="24"/>
          <w:szCs w:val="24"/>
        </w:rPr>
        <w:t xml:space="preserve">Dans le même temps :</w:t>
      </w:r>
    </w:p>
    <w:p w14:paraId="7B0E6AE9" w14:textId="77777777" w:rsidR="00D92EA7" w:rsidRPr="00D92EA7" w:rsidRDefault="00D92EA7" w:rsidP="00D92EA7">
      <w:pPr>
        <w:rPr>
          <w:sz w:val="24"/>
          <w:szCs w:val="24"/>
        </w:rPr>
      </w:pPr>
      <w:r w:rsidRPr="00D92EA7">
        <w:rPr>
          <w:sz w:val="24"/>
          <w:szCs w:val="24"/>
        </w:rPr>
        <w:lastRenderedPageBreak/>
        <w:t xml:space="preserve">États-Unis : 62 %</w:t>
      </w:r>
    </w:p>
    <w:p w14:paraId="73285D8F" w14:textId="77777777" w:rsidR="00D92EA7" w:rsidRPr="00D92EA7" w:rsidRDefault="00D92EA7" w:rsidP="00D92EA7">
      <w:pPr>
        <w:rPr>
          <w:sz w:val="24"/>
          <w:szCs w:val="24"/>
        </w:rPr>
      </w:pPr>
      <w:r w:rsidRPr="00D92EA7">
        <w:rPr>
          <w:sz w:val="24"/>
          <w:szCs w:val="24"/>
        </w:rPr>
        <w:t xml:space="preserve">Chine : 15 %</w:t>
      </w:r>
    </w:p>
    <w:p w14:paraId="6E9A2CF5" w14:textId="77777777" w:rsidR="00D92EA7" w:rsidRPr="00D92EA7" w:rsidRDefault="00D92EA7" w:rsidP="00D92EA7">
      <w:pPr>
        <w:rPr>
          <w:sz w:val="24"/>
          <w:szCs w:val="24"/>
        </w:rPr>
      </w:pPr>
      <w:r w:rsidRPr="00D92EA7">
        <w:rPr>
          <w:sz w:val="24"/>
          <w:szCs w:val="24"/>
        </w:rPr>
        <w:t xml:space="preserve">La Corée du Sud investit désormais davantage que l’Allemagne, la France, le Royaume-Uni et l’Italie. Réunis.</w:t>
      </w:r>
    </w:p>
    <w:p w14:paraId="2BBBB681" w14:textId="77777777" w:rsidR="00D92EA7" w:rsidRPr="00D92EA7" w:rsidRDefault="00D92EA7" w:rsidP="00D92EA7">
      <w:pPr>
        <w:rPr>
          <w:sz w:val="24"/>
          <w:szCs w:val="24"/>
        </w:rPr>
      </w:pPr>
    </w:p>
    <w:p w14:paraId="5B55444F" w14:textId="77777777" w:rsidR="00D92EA7" w:rsidRPr="00D92EA7" w:rsidRDefault="00D92EA7" w:rsidP="00D92EA7">
      <w:pPr>
        <w:rPr>
          <w:sz w:val="24"/>
          <w:szCs w:val="24"/>
        </w:rPr>
      </w:pPr>
      <w:r w:rsidRPr="00D92EA7">
        <w:rPr>
          <w:sz w:val="24"/>
          <w:szCs w:val="24"/>
        </w:rPr>
        <w:t xml:space="preserve">L’Europe a des talents. Des universités. Des capitaux.</w:t>
      </w:r>
    </w:p>
    <w:p w14:paraId="712A758B" w14:textId="77777777" w:rsidR="00D92EA7" w:rsidRPr="00D92EA7" w:rsidRDefault="00D92EA7" w:rsidP="00D92EA7">
      <w:pPr>
        <w:rPr>
          <w:sz w:val="24"/>
          <w:szCs w:val="24"/>
        </w:rPr>
      </w:pPr>
    </w:p>
    <w:p w14:paraId="04EC5674" w14:textId="77777777" w:rsidR="00D92EA7" w:rsidRPr="00D92EA7" w:rsidRDefault="00D92EA7" w:rsidP="00D92EA7">
      <w:pPr>
        <w:rPr>
          <w:sz w:val="24"/>
          <w:szCs w:val="24"/>
        </w:rPr>
      </w:pPr>
      <w:r w:rsidRPr="00D92EA7">
        <w:rPr>
          <w:sz w:val="24"/>
          <w:szCs w:val="24"/>
        </w:rPr>
        <w:t xml:space="preserve">Ce qui lui manque de plus en plus, c’est un environnement qui récompense la transformation des idées en entreprises mondiales.</w:t>
      </w:r>
    </w:p>
    <w:p w14:paraId="79BD447A" w14:textId="77777777" w:rsidR="00D92EA7" w:rsidRPr="00D92EA7" w:rsidRDefault="00D92EA7" w:rsidP="00D92EA7">
      <w:pPr>
        <w:rPr>
          <w:sz w:val="24"/>
          <w:szCs w:val="24"/>
        </w:rPr>
      </w:pPr>
    </w:p>
    <w:p w14:paraId="5C040511" w14:textId="6341BD31" w:rsidR="00D92EA7" w:rsidRPr="00D92EA7" w:rsidRDefault="00D92EA7" w:rsidP="00D92EA7">
      <w:pPr>
        <w:rPr>
          <w:sz w:val="24"/>
          <w:szCs w:val="24"/>
        </w:rPr>
      </w:pPr>
      <w:r w:rsidRPr="00D92EA7">
        <w:rPr>
          <w:sz w:val="24"/>
          <w:szCs w:val="24"/>
        </w:rPr>
        <w:t xml:space="preserve">Chaque couche supplémentaire de conformité mobilise des ressources. Chaque obstacle au changement d’échelle pousse les opportunités ailleurs. Chaque réduction de la récompense de la prise de risque affaiblit l’incitation à innover.</w:t>
      </w:r>
    </w:p>
    <w:p w14:paraId="214343AE" w14:textId="77777777" w:rsidR="00D92EA7" w:rsidRPr="00D92EA7" w:rsidRDefault="00D92EA7" w:rsidP="00D92EA7">
      <w:pPr>
        <w:rPr>
          <w:sz w:val="24"/>
          <w:szCs w:val="24"/>
        </w:rPr>
      </w:pPr>
    </w:p>
    <w:p w14:paraId="352560F2" w14:textId="0CF047A0" w:rsidR="00D92EA7" w:rsidRPr="00D92EA7" w:rsidRDefault="00D92EA7" w:rsidP="00D92EA7">
      <w:pPr>
        <w:rPr>
          <w:sz w:val="24"/>
          <w:szCs w:val="24"/>
        </w:rPr>
      </w:pPr>
      <w:r w:rsidRPr="00D92EA7">
        <w:rPr>
          <w:sz w:val="24"/>
          <w:szCs w:val="24"/>
        </w:rPr>
        <w:t xml:space="preserve">La réglementation a sa raison d’être. La redistribution aussi. Mais aucune des deux ne peut se substituer à la création de richesse.</w:t>
      </w:r>
    </w:p>
    <w:p w14:paraId="76050265" w14:textId="77777777" w:rsidR="00D92EA7" w:rsidRPr="00D92EA7" w:rsidRDefault="00D92EA7" w:rsidP="00D92EA7">
      <w:pPr>
        <w:rPr>
          <w:sz w:val="24"/>
          <w:szCs w:val="24"/>
        </w:rPr>
      </w:pPr>
    </w:p>
    <w:p w14:paraId="3939DEC5" w14:textId="77777777" w:rsidR="00D92EA7" w:rsidRPr="00D92EA7" w:rsidRDefault="00D92EA7" w:rsidP="00D92EA7">
      <w:pPr>
        <w:rPr>
          <w:sz w:val="24"/>
          <w:szCs w:val="24"/>
        </w:rPr>
      </w:pPr>
      <w:r w:rsidRPr="00D92EA7">
        <w:rPr>
          <w:sz w:val="24"/>
          <w:szCs w:val="24"/>
        </w:rPr>
        <w:t xml:space="preserve">L’Europe a besoin de règles plus simples, d’incitations plus fortes à investir et d’une plus grande ambition de bâtir.</w:t>
      </w:r>
    </w:p>
    <w:p w14:paraId="7C23EBA0" w14:textId="77777777" w:rsidR="00D92EA7" w:rsidRPr="00D92EA7" w:rsidRDefault="00D92EA7" w:rsidP="00D92EA7">
      <w:pPr>
        <w:rPr>
          <w:sz w:val="24"/>
          <w:szCs w:val="24"/>
        </w:rPr>
      </w:pPr>
    </w:p>
    <w:p w14:paraId="091364F2" w14:textId="77777777" w:rsidR="00D92EA7" w:rsidRPr="00D92EA7" w:rsidRDefault="00D92EA7" w:rsidP="00D92EA7">
      <w:pPr>
        <w:rPr>
          <w:sz w:val="24"/>
          <w:szCs w:val="24"/>
        </w:rPr>
      </w:pPr>
      <w:r w:rsidRPr="00D92EA7">
        <w:rPr>
          <w:sz w:val="24"/>
          <w:szCs w:val="24"/>
        </w:rPr>
        <w:t xml:space="preserve">Car un continent ne peut pas financer la prospérité de demain en réglementant les succès d’hier.</w:t>
      </w:r>
    </w:p>
    <w:p w14:paraId="4814494B" w14:textId="77777777" w:rsidR="00D92EA7" w:rsidRPr="00D92EA7" w:rsidRDefault="00D92EA7" w:rsidP="00D92EA7">
      <w:pPr>
        <w:rPr>
          <w:sz w:val="24"/>
          <w:szCs w:val="24"/>
        </w:rPr>
      </w:pPr>
    </w:p>
    <w:p w14:paraId="4D4C909F" w14:textId="77777777" w:rsidR="00D92EA7" w:rsidRDefault="00D92EA7" w:rsidP="00D92EA7">
      <w:pPr>
        <w:rPr>
          <w:sz w:val="24"/>
          <w:szCs w:val="24"/>
        </w:rPr>
      </w:pPr>
      <w:r w:rsidRPr="00D92EA7">
        <w:rPr>
          <w:sz w:val="24"/>
          <w:szCs w:val="24"/>
        </w:rPr>
        <w:t xml:space="preserve">Le choix est simple : bâtir la prochaine génération de champions mondiaux, ou devenir un musée à ciel ouvert pour ceux qui le font.</w:t>
      </w:r>
    </w:p>
    <w:p w14:paraId="199E211A" w14:textId="77777777" w:rsidR="00457E6C" w:rsidRDefault="00457E6C" w:rsidP="00D92EA7">
      <w:pPr>
        <w:rPr>
          <w:sz w:val="24"/>
          <w:szCs w:val="24"/>
        </w:rPr>
      </w:pPr>
    </w:p>
    <w:p w14:paraId="65BBBD52" w14:textId="65F3D63F" w:rsidR="00457E6C" w:rsidRPr="00D92EA7" w:rsidRDefault="00457E6C" w:rsidP="00D92EA7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4D6127B4" wp14:editId="7E3F7401">
            <wp:extent cx="6120130" cy="3385185"/>
            <wp:effectExtent l="0" t="0" r="0" b="5715"/>
            <wp:docPr id="451680781" name="Picture 2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View 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8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4FD74" w14:textId="77777777" w:rsidR="00D92EA7" w:rsidRPr="00D92EA7" w:rsidRDefault="00D92EA7" w:rsidP="00D92EA7">
      <w:pPr>
        <w:rPr>
          <w:sz w:val="24"/>
          <w:szCs w:val="24"/>
        </w:rPr>
      </w:pPr>
    </w:p>
    <w:p w14:paraId="08527F25" w14:textId="799B4DEA" w:rsidR="00A439F2" w:rsidRPr="00A439F2" w:rsidRDefault="00D92EA7" w:rsidP="00D20FCE">
      <w:pPr>
        <w:rPr>
          <w:sz w:val="24"/>
          <w:szCs w:val="24"/>
        </w:rPr>
      </w:pPr>
      <w:r w:rsidRPr="00D92EA7">
        <w:rPr>
          <w:sz w:val="24"/>
          <w:szCs w:val="24"/>
        </w:rPr>
        <w:t xml:space="preserve">Source : Michel A.Arouet</w:t>
      </w:r>
      <w:proofErr w:type="spellStart"/>
      <w:proofErr w:type="spellEnd"/>
    </w:p>
    <w:p w14:paraId="5FE46B5B" w14:textId="77777777" w:rsidR="00A439F2" w:rsidRPr="00A439F2" w:rsidRDefault="00A439F2" w:rsidP="00A439F2">
      <w:pPr>
        <w:rPr>
          <w:sz w:val="24"/>
          <w:szCs w:val="24"/>
        </w:rPr>
      </w:pPr>
    </w:p>
    <w:p w14:paraId="50F1B1F8" w14:textId="77777777" w:rsidR="00A439F2" w:rsidRPr="00A439F2" w:rsidRDefault="00A439F2" w:rsidP="00F96FA4">
      <w:pPr>
        <w:rPr>
          <w:sz w:val="24"/>
          <w:szCs w:val="24"/>
        </w:rPr>
      </w:pPr>
    </w:p>
    <w:sectPr w:rsidR="00A439F2" w:rsidRPr="00A439F2" w:rsidSect="001C4809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 w:code="9"/>
      <w:pgMar w:top="1134" w:right="1134" w:bottom="851" w:left="1134" w:header="567" w:footer="2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C60209" w14:textId="77777777" w:rsidR="00A1367F" w:rsidRDefault="00A1367F" w:rsidP="00477C0A">
      <w:r>
        <w:separator/>
      </w:r>
    </w:p>
  </w:endnote>
  <w:endnote w:type="continuationSeparator" w:id="0">
    <w:p w14:paraId="122415A9" w14:textId="77777777" w:rsidR="00A1367F" w:rsidRDefault="00A1367F" w:rsidP="00477C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unito Sans ExtraBold">
    <w:altName w:val="Nunito Sans ExtraBold"/>
    <w:charset w:val="00"/>
    <w:family w:val="auto"/>
    <w:pitch w:val="variable"/>
    <w:sig w:usb0="A00002FF" w:usb1="5000204B" w:usb2="00000000" w:usb3="00000000" w:csb0="00000197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unito Sans">
    <w:charset w:val="00"/>
    <w:family w:val="auto"/>
    <w:pitch w:val="variable"/>
    <w:sig w:usb0="A00002FF" w:usb1="5000204B" w:usb2="00000000" w:usb3="00000000" w:csb0="00000197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Nunito Sans SemiBold">
    <w:altName w:val="Nunito Sans SemiBold"/>
    <w:charset w:val="00"/>
    <w:family w:val="auto"/>
    <w:pitch w:val="variable"/>
    <w:sig w:usb0="A00002FF" w:usb1="5000204B" w:usb2="00000000" w:usb3="00000000" w:csb0="00000197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36CC34" w14:textId="77777777" w:rsidR="00E10115" w:rsidRDefault="00E1011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168F0" w14:textId="77777777" w:rsidR="00E10115" w:rsidRDefault="00E1011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EB0BD" w14:textId="77777777" w:rsidR="00E10115" w:rsidRDefault="00E101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FF1390" w14:textId="77777777" w:rsidR="00A1367F" w:rsidRDefault="00A1367F" w:rsidP="00477C0A">
      <w:r>
        <w:separator/>
      </w:r>
    </w:p>
  </w:footnote>
  <w:footnote w:type="continuationSeparator" w:id="0">
    <w:p w14:paraId="733D50F9" w14:textId="77777777" w:rsidR="00A1367F" w:rsidRDefault="00A1367F" w:rsidP="00477C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5905B" w14:textId="77777777" w:rsidR="00E10115" w:rsidRDefault="00E1011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83F967" w14:textId="77777777" w:rsidR="00477C0A" w:rsidRPr="001C4809" w:rsidRDefault="00477C0A">
    <w:pPr>
      <w:pStyle w:val="Header"/>
      <w:rPr>
        <w:sz w:val="18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461C14" w14:textId="77777777" w:rsidR="00E10115" w:rsidRDefault="00E101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91C4973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1" w15:restartNumberingAfterBreak="0">
    <w:nsid w:val="FFFFFF7F"/>
    <w:multiLevelType w:val="singleLevel"/>
    <w:tmpl w:val="D48A547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2" w15:restartNumberingAfterBreak="0">
    <w:nsid w:val="FFFFFF82"/>
    <w:multiLevelType w:val="singleLevel"/>
    <w:tmpl w:val="FBE0675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D6589B0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A4A0B9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7F0C5C4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13B7625"/>
    <w:multiLevelType w:val="multilevel"/>
    <w:tmpl w:val="5DDA12F4"/>
    <w:numStyleLink w:val="NumberedSyz"/>
  </w:abstractNum>
  <w:abstractNum w:abstractNumId="7" w15:restartNumberingAfterBreak="0">
    <w:nsid w:val="08C47FD8"/>
    <w:multiLevelType w:val="multilevel"/>
    <w:tmpl w:val="1D84AC12"/>
    <w:styleLink w:val="TOCSyz"/>
    <w:lvl w:ilvl="0">
      <w:start w:val="1"/>
      <w:numFmt w:val="upperRoman"/>
      <w:pStyle w:val="Heading1"/>
      <w:lvlText w:val="%1."/>
      <w:lvlJc w:val="left"/>
      <w:pPr>
        <w:tabs>
          <w:tab w:val="num" w:pos="567"/>
        </w:tabs>
        <w:ind w:left="0" w:firstLine="0"/>
      </w:pPr>
      <w:rPr>
        <w:rFonts w:asciiTheme="majorHAnsi" w:hAnsiTheme="majorHAnsi" w:hint="default"/>
        <w:color w:val="FF8300"/>
        <w:sz w:val="24"/>
      </w:rPr>
    </w:lvl>
    <w:lvl w:ilvl="1">
      <w:start w:val="1"/>
      <w:numFmt w:val="decimal"/>
      <w:pStyle w:val="Heading2"/>
      <w:lvlText w:val="%2.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2">
      <w:start w:val="1"/>
      <w:numFmt w:val="decimal"/>
      <w:pStyle w:val="Heading3"/>
      <w:lvlText w:val="%2.%3.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3">
      <w:start w:val="1"/>
      <w:numFmt w:val="decimal"/>
      <w:pStyle w:val="Heading4"/>
      <w:lvlText w:val="%2.%3.%4.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4">
      <w:start w:val="1"/>
      <w:numFmt w:val="decimal"/>
      <w:pStyle w:val="Heading5"/>
      <w:lvlText w:val="%2.%3.%4.%5.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567"/>
        </w:tabs>
        <w:ind w:left="567" w:firstLine="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567"/>
        </w:tabs>
        <w:ind w:left="567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567"/>
        </w:tabs>
        <w:ind w:left="567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567"/>
        </w:tabs>
        <w:ind w:left="567" w:firstLine="0"/>
      </w:pPr>
      <w:rPr>
        <w:rFonts w:hint="default"/>
      </w:rPr>
    </w:lvl>
  </w:abstractNum>
  <w:abstractNum w:abstractNumId="8" w15:restartNumberingAfterBreak="0">
    <w:nsid w:val="22640790"/>
    <w:multiLevelType w:val="hybridMultilevel"/>
    <w:tmpl w:val="A0E615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763103"/>
    <w:multiLevelType w:val="multilevel"/>
    <w:tmpl w:val="5DDA12F4"/>
    <w:styleLink w:val="NumberedSyz"/>
    <w:lvl w:ilvl="0">
      <w:start w:val="1"/>
      <w:numFmt w:val="decimal"/>
      <w:pStyle w:val="ListNumber"/>
      <w:lvlText w:val="%1.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lowerLetter"/>
      <w:pStyle w:val="ListNumber2"/>
      <w:lvlText w:val="%2."/>
      <w:lvlJc w:val="left"/>
      <w:pPr>
        <w:tabs>
          <w:tab w:val="num" w:pos="284"/>
        </w:tabs>
        <w:ind w:left="567" w:hanging="283"/>
      </w:pPr>
      <w:rPr>
        <w:rFonts w:hint="default"/>
      </w:rPr>
    </w:lvl>
    <w:lvl w:ilvl="2">
      <w:start w:val="1"/>
      <w:numFmt w:val="lowerRoman"/>
      <w:pStyle w:val="ListNumber3"/>
      <w:lvlText w:val="%3."/>
      <w:lvlJc w:val="left"/>
      <w:pPr>
        <w:tabs>
          <w:tab w:val="num" w:pos="284"/>
        </w:tabs>
        <w:ind w:left="851" w:hanging="284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284"/>
        </w:tabs>
        <w:ind w:left="851" w:hanging="284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284"/>
        </w:tabs>
        <w:ind w:left="851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84"/>
        </w:tabs>
        <w:ind w:left="851" w:hanging="284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84"/>
        </w:tabs>
        <w:ind w:left="851" w:hanging="284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4"/>
        </w:tabs>
        <w:ind w:left="851" w:hanging="284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284"/>
        </w:tabs>
        <w:ind w:left="851" w:hanging="284"/>
      </w:pPr>
      <w:rPr>
        <w:rFonts w:hint="default"/>
      </w:rPr>
    </w:lvl>
  </w:abstractNum>
  <w:abstractNum w:abstractNumId="10" w15:restartNumberingAfterBreak="0">
    <w:nsid w:val="30B66453"/>
    <w:multiLevelType w:val="multilevel"/>
    <w:tmpl w:val="25407AF0"/>
    <w:numStyleLink w:val="BulletSyz"/>
  </w:abstractNum>
  <w:abstractNum w:abstractNumId="11" w15:restartNumberingAfterBreak="0">
    <w:nsid w:val="4AF00B82"/>
    <w:multiLevelType w:val="multilevel"/>
    <w:tmpl w:val="25407AF0"/>
    <w:styleLink w:val="BulletSyz"/>
    <w:lvl w:ilvl="0">
      <w:start w:val="1"/>
      <w:numFmt w:val="bullet"/>
      <w:pStyle w:val="ListBullet"/>
      <w:lvlText w:val="→"/>
      <w:lvlJc w:val="left"/>
      <w:pPr>
        <w:tabs>
          <w:tab w:val="num" w:pos="284"/>
        </w:tabs>
        <w:ind w:left="284" w:hanging="284"/>
      </w:pPr>
      <w:rPr>
        <w:rFonts w:ascii="Times New Roman" w:hAnsi="Times New Roman" w:cs="Times New Roman" w:hint="default"/>
        <w:color w:val="FFC000"/>
      </w:rPr>
    </w:lvl>
    <w:lvl w:ilvl="1">
      <w:start w:val="1"/>
      <w:numFmt w:val="bullet"/>
      <w:pStyle w:val="ListBullet2"/>
      <w:lvlText w:val="•"/>
      <w:lvlJc w:val="left"/>
      <w:pPr>
        <w:tabs>
          <w:tab w:val="num" w:pos="567"/>
        </w:tabs>
        <w:ind w:left="567" w:hanging="283"/>
      </w:pPr>
      <w:rPr>
        <w:rFonts w:ascii="Nunito Sans" w:hAnsi="Nunito Sans" w:hint="default"/>
      </w:rPr>
    </w:lvl>
    <w:lvl w:ilvl="2">
      <w:start w:val="1"/>
      <w:numFmt w:val="bullet"/>
      <w:pStyle w:val="ListBullet3"/>
      <w:lvlText w:val="­"/>
      <w:lvlJc w:val="left"/>
      <w:pPr>
        <w:tabs>
          <w:tab w:val="num" w:pos="284"/>
        </w:tabs>
        <w:ind w:left="851" w:hanging="284"/>
      </w:pPr>
      <w:rPr>
        <w:rFonts w:ascii="Courier New" w:hAnsi="Courier New" w:hint="default"/>
      </w:rPr>
    </w:lvl>
    <w:lvl w:ilvl="3">
      <w:start w:val="1"/>
      <w:numFmt w:val="bullet"/>
      <w:lvlText w:val="­"/>
      <w:lvlJc w:val="left"/>
      <w:pPr>
        <w:tabs>
          <w:tab w:val="num" w:pos="284"/>
        </w:tabs>
        <w:ind w:left="851" w:hanging="284"/>
      </w:pPr>
      <w:rPr>
        <w:rFonts w:ascii="Courier New" w:hAnsi="Courier New" w:hint="default"/>
      </w:rPr>
    </w:lvl>
    <w:lvl w:ilvl="4">
      <w:start w:val="1"/>
      <w:numFmt w:val="bullet"/>
      <w:lvlText w:val="­"/>
      <w:lvlJc w:val="left"/>
      <w:pPr>
        <w:tabs>
          <w:tab w:val="num" w:pos="284"/>
        </w:tabs>
        <w:ind w:left="851" w:hanging="284"/>
      </w:pPr>
      <w:rPr>
        <w:rFonts w:ascii="Courier New" w:hAnsi="Courier New" w:hint="default"/>
      </w:rPr>
    </w:lvl>
    <w:lvl w:ilvl="5">
      <w:start w:val="1"/>
      <w:numFmt w:val="bullet"/>
      <w:lvlText w:val="­"/>
      <w:lvlJc w:val="left"/>
      <w:pPr>
        <w:tabs>
          <w:tab w:val="num" w:pos="284"/>
        </w:tabs>
        <w:ind w:left="851" w:hanging="284"/>
      </w:pPr>
      <w:rPr>
        <w:rFonts w:ascii="Courier New" w:hAnsi="Courier New" w:hint="default"/>
      </w:rPr>
    </w:lvl>
    <w:lvl w:ilvl="6">
      <w:start w:val="1"/>
      <w:numFmt w:val="bullet"/>
      <w:lvlText w:val="­"/>
      <w:lvlJc w:val="left"/>
      <w:pPr>
        <w:tabs>
          <w:tab w:val="num" w:pos="284"/>
        </w:tabs>
        <w:ind w:left="851" w:hanging="284"/>
      </w:pPr>
      <w:rPr>
        <w:rFonts w:ascii="Courier New" w:hAnsi="Courier New" w:hint="default"/>
      </w:rPr>
    </w:lvl>
    <w:lvl w:ilvl="7">
      <w:start w:val="1"/>
      <w:numFmt w:val="bullet"/>
      <w:lvlText w:val="­"/>
      <w:lvlJc w:val="left"/>
      <w:pPr>
        <w:tabs>
          <w:tab w:val="num" w:pos="284"/>
        </w:tabs>
        <w:ind w:left="851" w:hanging="284"/>
      </w:pPr>
      <w:rPr>
        <w:rFonts w:ascii="Courier New" w:hAnsi="Courier New" w:hint="default"/>
      </w:rPr>
    </w:lvl>
    <w:lvl w:ilvl="8">
      <w:start w:val="1"/>
      <w:numFmt w:val="bullet"/>
      <w:lvlText w:val="­"/>
      <w:lvlJc w:val="left"/>
      <w:pPr>
        <w:tabs>
          <w:tab w:val="num" w:pos="284"/>
        </w:tabs>
        <w:ind w:left="851" w:hanging="284"/>
      </w:pPr>
      <w:rPr>
        <w:rFonts w:ascii="Courier New" w:hAnsi="Courier New" w:hint="default"/>
      </w:rPr>
    </w:lvl>
  </w:abstractNum>
  <w:abstractNum w:abstractNumId="12" w15:restartNumberingAfterBreak="0">
    <w:nsid w:val="51D76868"/>
    <w:multiLevelType w:val="multilevel"/>
    <w:tmpl w:val="1D84AC12"/>
    <w:numStyleLink w:val="TOCSyz"/>
  </w:abstractNum>
  <w:abstractNum w:abstractNumId="13" w15:restartNumberingAfterBreak="0">
    <w:nsid w:val="530A633E"/>
    <w:multiLevelType w:val="multilevel"/>
    <w:tmpl w:val="1D84AC12"/>
    <w:numStyleLink w:val="TOCSyz"/>
  </w:abstractNum>
  <w:abstractNum w:abstractNumId="14" w15:restartNumberingAfterBreak="0">
    <w:nsid w:val="624F2B4B"/>
    <w:multiLevelType w:val="multilevel"/>
    <w:tmpl w:val="1D84AC12"/>
    <w:numStyleLink w:val="TOCSyz"/>
  </w:abstractNum>
  <w:abstractNum w:abstractNumId="15" w15:restartNumberingAfterBreak="0">
    <w:nsid w:val="67CC38A4"/>
    <w:multiLevelType w:val="multilevel"/>
    <w:tmpl w:val="1D84AC12"/>
    <w:numStyleLink w:val="TOCSyz"/>
  </w:abstractNum>
  <w:abstractNum w:abstractNumId="16" w15:restartNumberingAfterBreak="0">
    <w:nsid w:val="767D7990"/>
    <w:multiLevelType w:val="multilevel"/>
    <w:tmpl w:val="25407AF0"/>
    <w:numStyleLink w:val="BulletSyz"/>
  </w:abstractNum>
  <w:num w:numId="1" w16cid:durableId="670134189">
    <w:abstractNumId w:val="5"/>
  </w:num>
  <w:num w:numId="2" w16cid:durableId="1257251069">
    <w:abstractNumId w:val="3"/>
  </w:num>
  <w:num w:numId="3" w16cid:durableId="1668243895">
    <w:abstractNumId w:val="2"/>
  </w:num>
  <w:num w:numId="4" w16cid:durableId="423889286">
    <w:abstractNumId w:val="4"/>
  </w:num>
  <w:num w:numId="5" w16cid:durableId="1020424888">
    <w:abstractNumId w:val="1"/>
  </w:num>
  <w:num w:numId="6" w16cid:durableId="776146634">
    <w:abstractNumId w:val="0"/>
  </w:num>
  <w:num w:numId="7" w16cid:durableId="535192521">
    <w:abstractNumId w:val="7"/>
  </w:num>
  <w:num w:numId="8" w16cid:durableId="1004824677">
    <w:abstractNumId w:val="12"/>
  </w:num>
  <w:num w:numId="9" w16cid:durableId="618730621">
    <w:abstractNumId w:val="15"/>
  </w:num>
  <w:num w:numId="10" w16cid:durableId="451484993">
    <w:abstractNumId w:val="14"/>
  </w:num>
  <w:num w:numId="11" w16cid:durableId="256404981">
    <w:abstractNumId w:val="11"/>
  </w:num>
  <w:num w:numId="12" w16cid:durableId="1516961829">
    <w:abstractNumId w:val="10"/>
  </w:num>
  <w:num w:numId="13" w16cid:durableId="286014430">
    <w:abstractNumId w:val="9"/>
  </w:num>
  <w:num w:numId="14" w16cid:durableId="1340736694">
    <w:abstractNumId w:val="6"/>
  </w:num>
  <w:num w:numId="15" w16cid:durableId="16196937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367218091">
    <w:abstractNumId w:val="14"/>
  </w:num>
  <w:num w:numId="17" w16cid:durableId="1324044082">
    <w:abstractNumId w:val="8"/>
  </w:num>
  <w:num w:numId="18" w16cid:durableId="1176850100">
    <w:abstractNumId w:val="11"/>
  </w:num>
  <w:num w:numId="19" w16cid:durableId="1786851725">
    <w:abstractNumId w:val="7"/>
  </w:num>
  <w:num w:numId="20" w16cid:durableId="1127240309">
    <w:abstractNumId w:val="9"/>
  </w:num>
  <w:num w:numId="21" w16cid:durableId="1407147384">
    <w:abstractNumId w:val="9"/>
  </w:num>
  <w:num w:numId="22" w16cid:durableId="1942882215">
    <w:abstractNumId w:val="9"/>
  </w:num>
  <w:num w:numId="23" w16cid:durableId="124273966">
    <w:abstractNumId w:val="16"/>
  </w:num>
  <w:num w:numId="24" w16cid:durableId="655960884">
    <w:abstractNumId w:val="16"/>
  </w:num>
  <w:num w:numId="25" w16cid:durableId="1220701573">
    <w:abstractNumId w:val="16"/>
  </w:num>
  <w:num w:numId="26" w16cid:durableId="526988341">
    <w:abstractNumId w:val="9"/>
  </w:num>
  <w:num w:numId="27" w16cid:durableId="555511280">
    <w:abstractNumId w:val="7"/>
  </w:num>
  <w:num w:numId="28" w16cid:durableId="261034063">
    <w:abstractNumId w:val="7"/>
  </w:num>
  <w:num w:numId="29" w16cid:durableId="1605916823">
    <w:abstractNumId w:val="7"/>
  </w:num>
  <w:num w:numId="30" w16cid:durableId="863983911">
    <w:abstractNumId w:val="7"/>
  </w:num>
  <w:num w:numId="31" w16cid:durableId="1349021860">
    <w:abstractNumId w:val="7"/>
  </w:num>
  <w:num w:numId="32" w16cid:durableId="1649355192">
    <w:abstractNumId w:val="13"/>
  </w:num>
  <w:num w:numId="33" w16cid:durableId="1282491307">
    <w:abstractNumId w:val="13"/>
  </w:num>
  <w:num w:numId="34" w16cid:durableId="1669479060">
    <w:abstractNumId w:val="13"/>
  </w:num>
  <w:num w:numId="35" w16cid:durableId="486820934">
    <w:abstractNumId w:val="13"/>
  </w:num>
  <w:num w:numId="36" w16cid:durableId="1963998072">
    <w:abstractNumId w:val="13"/>
  </w:num>
  <w:num w:numId="37" w16cid:durableId="19663503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39F2"/>
    <w:rsid w:val="00005069"/>
    <w:rsid w:val="000B0971"/>
    <w:rsid w:val="000B09C4"/>
    <w:rsid w:val="001129C4"/>
    <w:rsid w:val="00113774"/>
    <w:rsid w:val="00120C94"/>
    <w:rsid w:val="00175F43"/>
    <w:rsid w:val="00192124"/>
    <w:rsid w:val="001C4809"/>
    <w:rsid w:val="001C5C71"/>
    <w:rsid w:val="001E131E"/>
    <w:rsid w:val="00202C42"/>
    <w:rsid w:val="00204AFC"/>
    <w:rsid w:val="00204DB5"/>
    <w:rsid w:val="00206852"/>
    <w:rsid w:val="00216E78"/>
    <w:rsid w:val="00220318"/>
    <w:rsid w:val="0029540E"/>
    <w:rsid w:val="002A77D1"/>
    <w:rsid w:val="002B0BC9"/>
    <w:rsid w:val="002B3F9B"/>
    <w:rsid w:val="003302C3"/>
    <w:rsid w:val="0033391D"/>
    <w:rsid w:val="003B0D13"/>
    <w:rsid w:val="003D61F6"/>
    <w:rsid w:val="00426D7F"/>
    <w:rsid w:val="00436995"/>
    <w:rsid w:val="00447223"/>
    <w:rsid w:val="00457E6C"/>
    <w:rsid w:val="00477C0A"/>
    <w:rsid w:val="004F2BE3"/>
    <w:rsid w:val="005940F0"/>
    <w:rsid w:val="005B2E0C"/>
    <w:rsid w:val="005D788A"/>
    <w:rsid w:val="005E25AF"/>
    <w:rsid w:val="005E36FB"/>
    <w:rsid w:val="00613421"/>
    <w:rsid w:val="00614274"/>
    <w:rsid w:val="00623456"/>
    <w:rsid w:val="00627B5A"/>
    <w:rsid w:val="006302CC"/>
    <w:rsid w:val="00640676"/>
    <w:rsid w:val="0065442A"/>
    <w:rsid w:val="00657C53"/>
    <w:rsid w:val="0066596E"/>
    <w:rsid w:val="00692877"/>
    <w:rsid w:val="006B2AC6"/>
    <w:rsid w:val="006F040D"/>
    <w:rsid w:val="00711AEC"/>
    <w:rsid w:val="0075292A"/>
    <w:rsid w:val="0077680F"/>
    <w:rsid w:val="007805DD"/>
    <w:rsid w:val="0078447E"/>
    <w:rsid w:val="00790C9D"/>
    <w:rsid w:val="007A2892"/>
    <w:rsid w:val="007C073A"/>
    <w:rsid w:val="007D0053"/>
    <w:rsid w:val="007E11D7"/>
    <w:rsid w:val="008140FC"/>
    <w:rsid w:val="00825F8A"/>
    <w:rsid w:val="008315B8"/>
    <w:rsid w:val="00837F62"/>
    <w:rsid w:val="00862507"/>
    <w:rsid w:val="00887853"/>
    <w:rsid w:val="00887E16"/>
    <w:rsid w:val="008B1CF1"/>
    <w:rsid w:val="008B4FE6"/>
    <w:rsid w:val="008C4ADD"/>
    <w:rsid w:val="008D06D7"/>
    <w:rsid w:val="008E5205"/>
    <w:rsid w:val="008F1457"/>
    <w:rsid w:val="009014A3"/>
    <w:rsid w:val="0091493B"/>
    <w:rsid w:val="00915809"/>
    <w:rsid w:val="00925C3A"/>
    <w:rsid w:val="00932E79"/>
    <w:rsid w:val="0093404D"/>
    <w:rsid w:val="00967372"/>
    <w:rsid w:val="009705DE"/>
    <w:rsid w:val="00992153"/>
    <w:rsid w:val="009C0E1D"/>
    <w:rsid w:val="009E32FD"/>
    <w:rsid w:val="00A1367F"/>
    <w:rsid w:val="00A2767E"/>
    <w:rsid w:val="00A439F2"/>
    <w:rsid w:val="00A45D75"/>
    <w:rsid w:val="00A464E6"/>
    <w:rsid w:val="00A56492"/>
    <w:rsid w:val="00A612A7"/>
    <w:rsid w:val="00A64167"/>
    <w:rsid w:val="00AC17FC"/>
    <w:rsid w:val="00AC6E02"/>
    <w:rsid w:val="00AE791F"/>
    <w:rsid w:val="00AF27EE"/>
    <w:rsid w:val="00B2625F"/>
    <w:rsid w:val="00B31578"/>
    <w:rsid w:val="00B32335"/>
    <w:rsid w:val="00B34957"/>
    <w:rsid w:val="00B41799"/>
    <w:rsid w:val="00B4574D"/>
    <w:rsid w:val="00B909A9"/>
    <w:rsid w:val="00B93174"/>
    <w:rsid w:val="00BD5535"/>
    <w:rsid w:val="00C01FBE"/>
    <w:rsid w:val="00C174C3"/>
    <w:rsid w:val="00C354CD"/>
    <w:rsid w:val="00C51EC2"/>
    <w:rsid w:val="00C66534"/>
    <w:rsid w:val="00C85671"/>
    <w:rsid w:val="00CB7543"/>
    <w:rsid w:val="00CD54E5"/>
    <w:rsid w:val="00CD6A8F"/>
    <w:rsid w:val="00D20FCE"/>
    <w:rsid w:val="00D21C1C"/>
    <w:rsid w:val="00D26C46"/>
    <w:rsid w:val="00D92EA7"/>
    <w:rsid w:val="00DA62EC"/>
    <w:rsid w:val="00DA6EA3"/>
    <w:rsid w:val="00DB14BA"/>
    <w:rsid w:val="00DD69EB"/>
    <w:rsid w:val="00DF1EC0"/>
    <w:rsid w:val="00E10115"/>
    <w:rsid w:val="00E13578"/>
    <w:rsid w:val="00E31A6F"/>
    <w:rsid w:val="00E91007"/>
    <w:rsid w:val="00EC1469"/>
    <w:rsid w:val="00ED3D33"/>
    <w:rsid w:val="00F02B8E"/>
    <w:rsid w:val="00F125E4"/>
    <w:rsid w:val="00F6083A"/>
    <w:rsid w:val="00F96FA4"/>
    <w:rsid w:val="00FA780E"/>
    <w:rsid w:val="00FC4759"/>
    <w:rsid w:val="00FE1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19DF4C"/>
  <w15:chartTrackingRefBased/>
  <w15:docId w15:val="{886C9DD4-9AAD-4CBB-8060-7E8C49699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5" w:qFormat="1"/>
    <w:lsdException w:name="heading 2" w:semiHidden="1" w:uiPriority="5" w:unhideWhenUsed="1" w:qFormat="1"/>
    <w:lsdException w:name="heading 3" w:semiHidden="1" w:uiPriority="5" w:unhideWhenUsed="1" w:qFormat="1"/>
    <w:lsdException w:name="heading 4" w:uiPriority="5" w:qFormat="1"/>
    <w:lsdException w:name="heading 5" w:uiPriority="5" w:qFormat="1"/>
    <w:lsdException w:name="heading 6" w:semiHidden="1" w:uiPriority="3" w:qFormat="1"/>
    <w:lsdException w:name="heading 7" w:semiHidden="1" w:uiPriority="3" w:qFormat="1"/>
    <w:lsdException w:name="heading 8" w:semiHidden="1" w:uiPriority="3" w:qFormat="1"/>
    <w:lsdException w:name="heading 9" w:semiHidden="1" w:uiPriority="3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/>
    <w:lsdException w:name="toa heading" w:semiHidden="1" w:unhideWhenUsed="1"/>
    <w:lsdException w:name="List" w:semiHidden="1" w:unhideWhenUsed="1"/>
    <w:lsdException w:name="List Bullet" w:uiPriority="3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uiPriority="3"/>
    <w:lsdException w:name="List Bullet 3" w:uiPriority="3"/>
    <w:lsdException w:name="List Bullet 4" w:semiHidden="1"/>
    <w:lsdException w:name="List Bullet 5" w:semiHidden="1"/>
    <w:lsdException w:name="List Number 4" w:semiHidden="1"/>
    <w:lsdException w:name="List Number 5" w:semiHidden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6FA4"/>
    <w:pPr>
      <w:spacing w:after="0" w:line="240" w:lineRule="auto"/>
      <w:jc w:val="both"/>
    </w:pPr>
    <w:rPr>
      <w:sz w:val="18"/>
    </w:rPr>
  </w:style>
  <w:style w:type="paragraph" w:styleId="Heading1">
    <w:name w:val="heading 1"/>
    <w:basedOn w:val="Normal"/>
    <w:next w:val="Normal"/>
    <w:link w:val="Heading1Char"/>
    <w:uiPriority w:val="5"/>
    <w:qFormat/>
    <w:rsid w:val="00915809"/>
    <w:pPr>
      <w:keepNext/>
      <w:keepLines/>
      <w:numPr>
        <w:numId w:val="37"/>
      </w:numPr>
      <w:spacing w:after="120"/>
      <w:jc w:val="left"/>
      <w:outlineLvl w:val="0"/>
    </w:pPr>
    <w:rPr>
      <w:rFonts w:asciiTheme="majorHAnsi" w:eastAsiaTheme="majorEastAsia" w:hAnsiTheme="majorHAnsi" w:cstheme="majorBidi"/>
      <w:color w:val="000000" w:themeColor="text1"/>
      <w:sz w:val="24"/>
      <w:szCs w:val="32"/>
      <w14:textFill>
        <w14:gradFill>
          <w14:gsLst>
            <w14:gs w14:pos="0">
              <w14:schemeClr w14:val="accent4"/>
            </w14:gs>
            <w14:gs w14:pos="100000">
              <w14:srgbClr w14:val="FFA400"/>
            </w14:gs>
          </w14:gsLst>
          <w14:lin w14:ang="2700000" w14:scaled="0"/>
        </w14:gradFill>
      </w14:textFill>
    </w:rPr>
  </w:style>
  <w:style w:type="paragraph" w:styleId="Heading2">
    <w:name w:val="heading 2"/>
    <w:basedOn w:val="Normal"/>
    <w:next w:val="Normal"/>
    <w:link w:val="Heading2Char"/>
    <w:uiPriority w:val="5"/>
    <w:qFormat/>
    <w:rsid w:val="00915809"/>
    <w:pPr>
      <w:keepNext/>
      <w:keepLines/>
      <w:numPr>
        <w:ilvl w:val="1"/>
        <w:numId w:val="37"/>
      </w:numPr>
      <w:spacing w:before="40" w:after="120"/>
      <w:outlineLvl w:val="1"/>
    </w:pPr>
    <w:rPr>
      <w:rFonts w:asciiTheme="majorHAnsi" w:eastAsiaTheme="majorEastAsia" w:hAnsiTheme="majorHAnsi" w:cstheme="majorBidi"/>
      <w:color w:val="202945" w:themeColor="text2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5"/>
    <w:qFormat/>
    <w:rsid w:val="00915809"/>
    <w:pPr>
      <w:keepNext/>
      <w:keepLines/>
      <w:numPr>
        <w:ilvl w:val="2"/>
        <w:numId w:val="37"/>
      </w:numPr>
      <w:spacing w:before="40" w:after="120"/>
      <w:outlineLvl w:val="2"/>
    </w:pPr>
    <w:rPr>
      <w:rFonts w:asciiTheme="majorHAnsi" w:eastAsiaTheme="majorEastAsia" w:hAnsiTheme="majorHAnsi" w:cstheme="majorBidi"/>
      <w:color w:val="79D6FF" w:themeColor="accent1"/>
      <w:szCs w:val="24"/>
    </w:rPr>
  </w:style>
  <w:style w:type="paragraph" w:styleId="Heading4">
    <w:name w:val="heading 4"/>
    <w:basedOn w:val="Normal"/>
    <w:next w:val="Normal"/>
    <w:link w:val="Heading4Char"/>
    <w:uiPriority w:val="5"/>
    <w:qFormat/>
    <w:rsid w:val="00915809"/>
    <w:pPr>
      <w:keepNext/>
      <w:keepLines/>
      <w:numPr>
        <w:ilvl w:val="3"/>
        <w:numId w:val="37"/>
      </w:numPr>
      <w:spacing w:before="40" w:after="120"/>
      <w:outlineLvl w:val="3"/>
    </w:pPr>
    <w:rPr>
      <w:rFonts w:asciiTheme="majorHAnsi" w:eastAsiaTheme="majorEastAsia" w:hAnsiTheme="majorHAnsi" w:cstheme="majorBidi"/>
      <w:iCs/>
      <w:color w:val="79D6FF" w:themeColor="accent1"/>
    </w:rPr>
  </w:style>
  <w:style w:type="paragraph" w:styleId="Heading5">
    <w:name w:val="heading 5"/>
    <w:basedOn w:val="Normal"/>
    <w:next w:val="Normal"/>
    <w:link w:val="Heading5Char"/>
    <w:uiPriority w:val="5"/>
    <w:rsid w:val="00915809"/>
    <w:pPr>
      <w:keepNext/>
      <w:keepLines/>
      <w:numPr>
        <w:ilvl w:val="4"/>
        <w:numId w:val="37"/>
      </w:numPr>
      <w:spacing w:before="40" w:after="60"/>
      <w:outlineLvl w:val="4"/>
    </w:pPr>
    <w:rPr>
      <w:rFonts w:asciiTheme="majorHAnsi" w:eastAsiaTheme="majorEastAsia" w:hAnsiTheme="majorHAnsi" w:cstheme="majorBidi"/>
      <w:color w:val="79D6FF" w:themeColor="accent1"/>
    </w:rPr>
  </w:style>
  <w:style w:type="paragraph" w:styleId="Heading6">
    <w:name w:val="heading 6"/>
    <w:basedOn w:val="Normal"/>
    <w:next w:val="Normal"/>
    <w:link w:val="Heading6Char"/>
    <w:uiPriority w:val="3"/>
    <w:semiHidden/>
    <w:qFormat/>
    <w:rsid w:val="00A439F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3"/>
    <w:semiHidden/>
    <w:qFormat/>
    <w:rsid w:val="00A439F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3"/>
    <w:semiHidden/>
    <w:qFormat/>
    <w:rsid w:val="00A439F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3"/>
    <w:semiHidden/>
    <w:qFormat/>
    <w:rsid w:val="00A439F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E11D7"/>
    <w:pPr>
      <w:tabs>
        <w:tab w:val="center" w:pos="4680"/>
        <w:tab w:val="right" w:pos="9360"/>
      </w:tabs>
    </w:pPr>
    <w:rPr>
      <w:rFonts w:ascii="Nunito Sans ExtraBold" w:hAnsi="Nunito Sans ExtraBold"/>
      <w:color w:val="FF6C0E" w:themeColor="accent4"/>
      <w:sz w:val="24"/>
    </w:rPr>
  </w:style>
  <w:style w:type="character" w:customStyle="1" w:styleId="HeaderChar">
    <w:name w:val="Header Char"/>
    <w:basedOn w:val="DefaultParagraphFont"/>
    <w:link w:val="Header"/>
    <w:uiPriority w:val="99"/>
    <w:rsid w:val="007E11D7"/>
    <w:rPr>
      <w:rFonts w:ascii="Nunito Sans ExtraBold" w:hAnsi="Nunito Sans ExtraBold"/>
      <w:color w:val="FF6C0E" w:themeColor="accent4"/>
      <w:sz w:val="24"/>
    </w:rPr>
  </w:style>
  <w:style w:type="paragraph" w:styleId="Footer">
    <w:name w:val="footer"/>
    <w:basedOn w:val="Normal"/>
    <w:link w:val="FooterChar"/>
    <w:uiPriority w:val="99"/>
    <w:unhideWhenUsed/>
    <w:rsid w:val="007E11D7"/>
    <w:pPr>
      <w:tabs>
        <w:tab w:val="center" w:pos="4680"/>
        <w:tab w:val="right" w:pos="9360"/>
      </w:tabs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7E11D7"/>
    <w:rPr>
      <w:sz w:val="16"/>
    </w:rPr>
  </w:style>
  <w:style w:type="paragraph" w:styleId="Title">
    <w:name w:val="Title"/>
    <w:basedOn w:val="Normal"/>
    <w:next w:val="Normal"/>
    <w:link w:val="TitleChar"/>
    <w:uiPriority w:val="99"/>
    <w:qFormat/>
    <w:rsid w:val="007E11D7"/>
    <w:pPr>
      <w:contextualSpacing/>
    </w:pPr>
    <w:rPr>
      <w:rFonts w:asciiTheme="majorHAnsi" w:eastAsiaTheme="majorEastAsia" w:hAnsiTheme="majorHAnsi" w:cstheme="majorBidi"/>
      <w:spacing w:val="-10"/>
      <w:kern w:val="28"/>
      <w:sz w:val="52"/>
      <w:szCs w:val="56"/>
      <w14:textFill>
        <w14:gradFill>
          <w14:gsLst>
            <w14:gs w14:pos="0">
              <w14:schemeClr w14:val="accent4"/>
            </w14:gs>
            <w14:gs w14:pos="100000">
              <w14:srgbClr w14:val="FFA400"/>
            </w14:gs>
          </w14:gsLst>
          <w14:lin w14:ang="0" w14:scaled="0"/>
        </w14:gradFill>
      </w14:textFill>
    </w:rPr>
  </w:style>
  <w:style w:type="character" w:customStyle="1" w:styleId="TitleChar">
    <w:name w:val="Title Char"/>
    <w:basedOn w:val="DefaultParagraphFont"/>
    <w:link w:val="Title"/>
    <w:uiPriority w:val="99"/>
    <w:rsid w:val="007E11D7"/>
    <w:rPr>
      <w:rFonts w:asciiTheme="majorHAnsi" w:eastAsiaTheme="majorEastAsia" w:hAnsiTheme="majorHAnsi" w:cstheme="majorBidi"/>
      <w:spacing w:val="-10"/>
      <w:kern w:val="28"/>
      <w:sz w:val="52"/>
      <w:szCs w:val="56"/>
      <w14:textFill>
        <w14:gradFill>
          <w14:gsLst>
            <w14:gs w14:pos="0">
              <w14:schemeClr w14:val="accent4"/>
            </w14:gs>
            <w14:gs w14:pos="100000">
              <w14:srgbClr w14:val="FFA400"/>
            </w14:gs>
          </w14:gsLst>
          <w14:lin w14:ang="0" w14:scaled="0"/>
        </w14:gradFill>
      </w14:textFill>
    </w:rPr>
  </w:style>
  <w:style w:type="character" w:styleId="PlaceholderText">
    <w:name w:val="Placeholder Text"/>
    <w:basedOn w:val="DefaultParagraphFont"/>
    <w:uiPriority w:val="99"/>
    <w:semiHidden/>
    <w:rsid w:val="007E11D7"/>
    <w:rPr>
      <w:color w:val="808080"/>
    </w:rPr>
  </w:style>
  <w:style w:type="paragraph" w:styleId="Subtitle">
    <w:name w:val="Subtitle"/>
    <w:basedOn w:val="Normal"/>
    <w:next w:val="Normal"/>
    <w:link w:val="SubtitleChar"/>
    <w:uiPriority w:val="99"/>
    <w:rsid w:val="007E11D7"/>
    <w:pPr>
      <w:numPr>
        <w:ilvl w:val="1"/>
      </w:numPr>
    </w:pPr>
    <w:rPr>
      <w:color w:val="000000" w:themeColor="text1"/>
      <w:sz w:val="21"/>
    </w:rPr>
  </w:style>
  <w:style w:type="character" w:customStyle="1" w:styleId="SubtitleChar">
    <w:name w:val="Subtitle Char"/>
    <w:basedOn w:val="DefaultParagraphFont"/>
    <w:link w:val="Subtitle"/>
    <w:uiPriority w:val="99"/>
    <w:rsid w:val="007E11D7"/>
    <w:rPr>
      <w:rFonts w:eastAsiaTheme="minorEastAsia"/>
      <w:color w:val="000000" w:themeColor="text1"/>
      <w:sz w:val="21"/>
    </w:rPr>
  </w:style>
  <w:style w:type="character" w:styleId="Emphasis">
    <w:name w:val="Emphasis"/>
    <w:basedOn w:val="DefaultParagraphFont"/>
    <w:uiPriority w:val="20"/>
    <w:qFormat/>
    <w:rsid w:val="007E11D7"/>
    <w:rPr>
      <w:i/>
      <w:iCs/>
      <w:color w:val="000000" w:themeColor="text1"/>
      <w:sz w:val="24"/>
    </w:rPr>
  </w:style>
  <w:style w:type="character" w:customStyle="1" w:styleId="Heading1Char">
    <w:name w:val="Heading 1 Char"/>
    <w:basedOn w:val="DefaultParagraphFont"/>
    <w:link w:val="Heading1"/>
    <w:uiPriority w:val="5"/>
    <w:rsid w:val="00915809"/>
    <w:rPr>
      <w:rFonts w:asciiTheme="majorHAnsi" w:eastAsiaTheme="majorEastAsia" w:hAnsiTheme="majorHAnsi" w:cstheme="majorBidi"/>
      <w:color w:val="000000" w:themeColor="text1"/>
      <w:sz w:val="24"/>
      <w:szCs w:val="32"/>
      <w14:textFill>
        <w14:gradFill>
          <w14:gsLst>
            <w14:gs w14:pos="0">
              <w14:schemeClr w14:val="accent4"/>
            </w14:gs>
            <w14:gs w14:pos="100000">
              <w14:srgbClr w14:val="FFA400"/>
            </w14:gs>
          </w14:gsLst>
          <w14:lin w14:ang="2700000" w14:scaled="0"/>
        </w14:gradFill>
      </w14:textFill>
    </w:rPr>
  </w:style>
  <w:style w:type="character" w:customStyle="1" w:styleId="Heading2Char">
    <w:name w:val="Heading 2 Char"/>
    <w:basedOn w:val="DefaultParagraphFont"/>
    <w:link w:val="Heading2"/>
    <w:uiPriority w:val="5"/>
    <w:rsid w:val="00915809"/>
    <w:rPr>
      <w:rFonts w:asciiTheme="majorHAnsi" w:eastAsiaTheme="majorEastAsia" w:hAnsiTheme="majorHAnsi" w:cstheme="majorBidi"/>
      <w:color w:val="202945" w:themeColor="text2"/>
      <w:sz w:val="21"/>
      <w:szCs w:val="26"/>
    </w:rPr>
  </w:style>
  <w:style w:type="character" w:customStyle="1" w:styleId="Heading3Char">
    <w:name w:val="Heading 3 Char"/>
    <w:basedOn w:val="DefaultParagraphFont"/>
    <w:link w:val="Heading3"/>
    <w:uiPriority w:val="5"/>
    <w:rsid w:val="00915809"/>
    <w:rPr>
      <w:rFonts w:asciiTheme="majorHAnsi" w:eastAsiaTheme="majorEastAsia" w:hAnsiTheme="majorHAnsi" w:cstheme="majorBidi"/>
      <w:color w:val="79D6FF" w:themeColor="accent1"/>
      <w:sz w:val="18"/>
      <w:szCs w:val="24"/>
    </w:rPr>
  </w:style>
  <w:style w:type="numbering" w:customStyle="1" w:styleId="TOCSyz">
    <w:name w:val="TOC_Syz"/>
    <w:uiPriority w:val="99"/>
    <w:rsid w:val="00915809"/>
    <w:pPr>
      <w:numPr>
        <w:numId w:val="7"/>
      </w:numPr>
    </w:pPr>
  </w:style>
  <w:style w:type="paragraph" w:styleId="TOC1">
    <w:name w:val="toc 1"/>
    <w:basedOn w:val="Normal"/>
    <w:next w:val="Normal"/>
    <w:autoRedefine/>
    <w:uiPriority w:val="39"/>
    <w:rsid w:val="007E11D7"/>
    <w:pPr>
      <w:pBdr>
        <w:top w:val="single" w:sz="4" w:space="2" w:color="auto"/>
      </w:pBdr>
      <w:tabs>
        <w:tab w:val="left" w:pos="660"/>
        <w:tab w:val="right" w:pos="9628"/>
      </w:tabs>
      <w:spacing w:before="240" w:after="240"/>
    </w:pPr>
    <w:rPr>
      <w:rFonts w:ascii="Nunito Sans SemiBold" w:hAnsi="Nunito Sans SemiBold"/>
      <w:caps/>
      <w:noProof/>
      <w:color w:val="202945" w:themeColor="text2"/>
      <w:sz w:val="21"/>
    </w:rPr>
  </w:style>
  <w:style w:type="character" w:customStyle="1" w:styleId="Heading4Char">
    <w:name w:val="Heading 4 Char"/>
    <w:basedOn w:val="DefaultParagraphFont"/>
    <w:link w:val="Heading4"/>
    <w:uiPriority w:val="5"/>
    <w:rsid w:val="00915809"/>
    <w:rPr>
      <w:rFonts w:asciiTheme="majorHAnsi" w:eastAsiaTheme="majorEastAsia" w:hAnsiTheme="majorHAnsi" w:cstheme="majorBidi"/>
      <w:iCs/>
      <w:color w:val="79D6FF" w:themeColor="accent1"/>
      <w:sz w:val="18"/>
    </w:rPr>
  </w:style>
  <w:style w:type="character" w:customStyle="1" w:styleId="Heading5Char">
    <w:name w:val="Heading 5 Char"/>
    <w:basedOn w:val="DefaultParagraphFont"/>
    <w:link w:val="Heading5"/>
    <w:uiPriority w:val="5"/>
    <w:rsid w:val="00915809"/>
    <w:rPr>
      <w:rFonts w:asciiTheme="majorHAnsi" w:eastAsiaTheme="majorEastAsia" w:hAnsiTheme="majorHAnsi" w:cstheme="majorBidi"/>
      <w:color w:val="79D6FF" w:themeColor="accent1"/>
      <w:sz w:val="18"/>
    </w:rPr>
  </w:style>
  <w:style w:type="paragraph" w:styleId="TOC2">
    <w:name w:val="toc 2"/>
    <w:basedOn w:val="Normal"/>
    <w:next w:val="Normal"/>
    <w:autoRedefine/>
    <w:uiPriority w:val="39"/>
    <w:rsid w:val="007E11D7"/>
    <w:pPr>
      <w:pBdr>
        <w:top w:val="dashSmallGap" w:sz="4" w:space="2" w:color="000000" w:themeColor="text1"/>
      </w:pBdr>
      <w:spacing w:after="100"/>
    </w:pPr>
    <w:rPr>
      <w:caps/>
      <w:color w:val="202945" w:themeColor="text2"/>
    </w:rPr>
  </w:style>
  <w:style w:type="paragraph" w:styleId="TOC3">
    <w:name w:val="toc 3"/>
    <w:basedOn w:val="Normal"/>
    <w:next w:val="Normal"/>
    <w:autoRedefine/>
    <w:uiPriority w:val="39"/>
    <w:rsid w:val="007E11D7"/>
    <w:pPr>
      <w:spacing w:after="100"/>
    </w:pPr>
  </w:style>
  <w:style w:type="paragraph" w:styleId="TOCHeading">
    <w:name w:val="TOC Heading"/>
    <w:basedOn w:val="Heading1"/>
    <w:next w:val="Normal"/>
    <w:uiPriority w:val="39"/>
    <w:unhideWhenUsed/>
    <w:rsid w:val="007E11D7"/>
    <w:pPr>
      <w:numPr>
        <w:numId w:val="0"/>
      </w:numPr>
      <w:pBdr>
        <w:top w:val="single" w:sz="4" w:space="2" w:color="auto"/>
      </w:pBdr>
      <w:spacing w:before="240" w:line="259" w:lineRule="auto"/>
      <w:outlineLvl w:val="9"/>
    </w:pPr>
    <w:rPr>
      <w:rFonts w:ascii="Nunito Sans SemiBold" w:hAnsi="Nunito Sans SemiBold"/>
      <w:caps/>
      <w:color w:val="202945" w:themeColor="text2"/>
      <w:sz w:val="18"/>
      <w14:textFill>
        <w14:solidFill>
          <w14:schemeClr w14:val="tx2"/>
        </w14:solidFill>
      </w14:textFill>
    </w:rPr>
  </w:style>
  <w:style w:type="character" w:styleId="Hyperlink">
    <w:name w:val="Hyperlink"/>
    <w:basedOn w:val="DefaultParagraphFont"/>
    <w:uiPriority w:val="99"/>
    <w:unhideWhenUsed/>
    <w:rsid w:val="007E11D7"/>
    <w:rPr>
      <w:color w:val="E6A4AD" w:themeColor="hyperlink"/>
      <w:u w:val="single"/>
    </w:rPr>
  </w:style>
  <w:style w:type="table" w:styleId="TableGrid">
    <w:name w:val="Table Grid"/>
    <w:basedOn w:val="TableNormal"/>
    <w:uiPriority w:val="39"/>
    <w:rsid w:val="007E11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uiPriority w:val="3"/>
    <w:qFormat/>
    <w:rsid w:val="007E11D7"/>
    <w:pPr>
      <w:numPr>
        <w:numId w:val="25"/>
      </w:numPr>
      <w:contextualSpacing/>
    </w:pPr>
  </w:style>
  <w:style w:type="paragraph" w:styleId="ListBullet2">
    <w:name w:val="List Bullet 2"/>
    <w:basedOn w:val="Normal"/>
    <w:uiPriority w:val="3"/>
    <w:rsid w:val="007E11D7"/>
    <w:pPr>
      <w:numPr>
        <w:ilvl w:val="1"/>
        <w:numId w:val="25"/>
      </w:numPr>
      <w:contextualSpacing/>
    </w:pPr>
  </w:style>
  <w:style w:type="paragraph" w:styleId="ListBullet3">
    <w:name w:val="List Bullet 3"/>
    <w:basedOn w:val="Normal"/>
    <w:uiPriority w:val="3"/>
    <w:rsid w:val="007E11D7"/>
    <w:pPr>
      <w:numPr>
        <w:ilvl w:val="2"/>
        <w:numId w:val="25"/>
      </w:numPr>
      <w:contextualSpacing/>
    </w:pPr>
  </w:style>
  <w:style w:type="paragraph" w:styleId="ListNumber">
    <w:name w:val="List Number"/>
    <w:basedOn w:val="Normal"/>
    <w:uiPriority w:val="4"/>
    <w:qFormat/>
    <w:rsid w:val="007E11D7"/>
    <w:pPr>
      <w:numPr>
        <w:numId w:val="26"/>
      </w:numPr>
      <w:contextualSpacing/>
    </w:pPr>
  </w:style>
  <w:style w:type="paragraph" w:styleId="ListNumber2">
    <w:name w:val="List Number 2"/>
    <w:basedOn w:val="Normal"/>
    <w:uiPriority w:val="4"/>
    <w:rsid w:val="007E11D7"/>
    <w:pPr>
      <w:numPr>
        <w:ilvl w:val="1"/>
        <w:numId w:val="26"/>
      </w:numPr>
      <w:contextualSpacing/>
    </w:pPr>
  </w:style>
  <w:style w:type="paragraph" w:styleId="ListNumber3">
    <w:name w:val="List Number 3"/>
    <w:basedOn w:val="Normal"/>
    <w:uiPriority w:val="4"/>
    <w:rsid w:val="007E11D7"/>
    <w:pPr>
      <w:numPr>
        <w:ilvl w:val="2"/>
        <w:numId w:val="26"/>
      </w:numPr>
      <w:contextualSpacing/>
    </w:pPr>
  </w:style>
  <w:style w:type="numbering" w:customStyle="1" w:styleId="BulletSyz">
    <w:name w:val="Bullet_Syz"/>
    <w:uiPriority w:val="99"/>
    <w:rsid w:val="007E11D7"/>
    <w:pPr>
      <w:numPr>
        <w:numId w:val="11"/>
      </w:numPr>
    </w:pPr>
  </w:style>
  <w:style w:type="character" w:styleId="IntenseEmphasis">
    <w:name w:val="Intense Emphasis"/>
    <w:basedOn w:val="DefaultParagraphFont"/>
    <w:uiPriority w:val="21"/>
    <w:qFormat/>
    <w:rsid w:val="007E11D7"/>
    <w:rPr>
      <w:rFonts w:ascii="Nunito Sans SemiBold" w:hAnsi="Nunito Sans SemiBold"/>
      <w:i w:val="0"/>
      <w:iCs/>
      <w:color w:val="auto"/>
      <w:sz w:val="72"/>
      <w14:textFill>
        <w14:gradFill>
          <w14:gsLst>
            <w14:gs w14:pos="0">
              <w14:schemeClr w14:val="accent4"/>
            </w14:gs>
            <w14:gs w14:pos="100000">
              <w14:srgbClr w14:val="FFA400"/>
            </w14:gs>
          </w14:gsLst>
          <w14:lin w14:ang="2700000" w14:scaled="0"/>
        </w14:gradFill>
      </w14:textFill>
    </w:rPr>
  </w:style>
  <w:style w:type="numbering" w:customStyle="1" w:styleId="NumberedSyz">
    <w:name w:val="Numbered_Syz"/>
    <w:uiPriority w:val="99"/>
    <w:rsid w:val="007E11D7"/>
    <w:pPr>
      <w:numPr>
        <w:numId w:val="13"/>
      </w:numPr>
    </w:pPr>
  </w:style>
  <w:style w:type="character" w:styleId="Strong">
    <w:name w:val="Strong"/>
    <w:basedOn w:val="DefaultParagraphFont"/>
    <w:uiPriority w:val="2"/>
    <w:qFormat/>
    <w:rsid w:val="007E11D7"/>
    <w:rPr>
      <w:b/>
      <w:bCs/>
    </w:rPr>
  </w:style>
  <w:style w:type="paragraph" w:styleId="ListParagraph">
    <w:name w:val="List Paragraph"/>
    <w:basedOn w:val="Normal"/>
    <w:uiPriority w:val="34"/>
    <w:semiHidden/>
    <w:qFormat/>
    <w:rsid w:val="00202C42"/>
    <w:pPr>
      <w:ind w:left="720"/>
      <w:contextualSpacing/>
    </w:pPr>
  </w:style>
  <w:style w:type="character" w:customStyle="1" w:styleId="Heading6Char">
    <w:name w:val="Heading 6 Char"/>
    <w:basedOn w:val="DefaultParagraphFont"/>
    <w:link w:val="Heading6"/>
    <w:uiPriority w:val="3"/>
    <w:semiHidden/>
    <w:rsid w:val="00A439F2"/>
    <w:rPr>
      <w:rFonts w:eastAsiaTheme="majorEastAsia" w:cstheme="majorBidi"/>
      <w:i/>
      <w:iCs/>
      <w:color w:val="595959" w:themeColor="text1" w:themeTint="A6"/>
      <w:sz w:val="18"/>
    </w:rPr>
  </w:style>
  <w:style w:type="character" w:customStyle="1" w:styleId="Heading7Char">
    <w:name w:val="Heading 7 Char"/>
    <w:basedOn w:val="DefaultParagraphFont"/>
    <w:link w:val="Heading7"/>
    <w:uiPriority w:val="3"/>
    <w:semiHidden/>
    <w:rsid w:val="00A439F2"/>
    <w:rPr>
      <w:rFonts w:eastAsiaTheme="majorEastAsia" w:cstheme="majorBidi"/>
      <w:color w:val="595959" w:themeColor="text1" w:themeTint="A6"/>
      <w:sz w:val="18"/>
    </w:rPr>
  </w:style>
  <w:style w:type="character" w:customStyle="1" w:styleId="Heading8Char">
    <w:name w:val="Heading 8 Char"/>
    <w:basedOn w:val="DefaultParagraphFont"/>
    <w:link w:val="Heading8"/>
    <w:uiPriority w:val="3"/>
    <w:semiHidden/>
    <w:rsid w:val="00A439F2"/>
    <w:rPr>
      <w:rFonts w:eastAsiaTheme="majorEastAsia" w:cstheme="majorBidi"/>
      <w:i/>
      <w:iCs/>
      <w:color w:val="272727" w:themeColor="text1" w:themeTint="D8"/>
      <w:sz w:val="18"/>
    </w:rPr>
  </w:style>
  <w:style w:type="character" w:customStyle="1" w:styleId="Heading9Char">
    <w:name w:val="Heading 9 Char"/>
    <w:basedOn w:val="DefaultParagraphFont"/>
    <w:link w:val="Heading9"/>
    <w:uiPriority w:val="3"/>
    <w:semiHidden/>
    <w:rsid w:val="00A439F2"/>
    <w:rPr>
      <w:rFonts w:eastAsiaTheme="majorEastAsia" w:cstheme="majorBidi"/>
      <w:color w:val="272727" w:themeColor="text1" w:themeTint="D8"/>
      <w:sz w:val="18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A439F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A439F2"/>
    <w:rPr>
      <w:i/>
      <w:iCs/>
      <w:color w:val="404040" w:themeColor="text1" w:themeTint="BF"/>
      <w:sz w:val="18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A439F2"/>
    <w:pPr>
      <w:pBdr>
        <w:top w:val="single" w:sz="4" w:space="10" w:color="1AB8FF" w:themeColor="accent1" w:themeShade="BF"/>
        <w:bottom w:val="single" w:sz="4" w:space="10" w:color="1AB8FF" w:themeColor="accent1" w:themeShade="BF"/>
      </w:pBdr>
      <w:spacing w:before="360" w:after="360"/>
      <w:ind w:left="864" w:right="864"/>
      <w:jc w:val="center"/>
    </w:pPr>
    <w:rPr>
      <w:i/>
      <w:iCs/>
      <w:color w:val="1AB8FF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A439F2"/>
    <w:rPr>
      <w:i/>
      <w:iCs/>
      <w:color w:val="1AB8FF" w:themeColor="accent1" w:themeShade="BF"/>
      <w:sz w:val="18"/>
    </w:rPr>
  </w:style>
  <w:style w:type="character" w:styleId="IntenseReference">
    <w:name w:val="Intense Reference"/>
    <w:basedOn w:val="DefaultParagraphFont"/>
    <w:uiPriority w:val="32"/>
    <w:semiHidden/>
    <w:qFormat/>
    <w:rsid w:val="00A439F2"/>
    <w:rPr>
      <w:b/>
      <w:bCs/>
      <w:smallCaps/>
      <w:color w:val="1AB8FF" w:themeColor="accent1" w:themeShade="BF"/>
      <w:spacing w:val="5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B93174"/>
  </w:style>
  <w:style w:type="character" w:customStyle="1" w:styleId="DateChar">
    <w:name w:val="Date Char"/>
    <w:basedOn w:val="DefaultParagraphFont"/>
    <w:link w:val="Date"/>
    <w:uiPriority w:val="99"/>
    <w:semiHidden/>
    <w:rsid w:val="00B93174"/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jpeg"/><Relationship Id="rId18" Type="http://schemas.openxmlformats.org/officeDocument/2006/relationships/image" Target="media/image7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tyles" Target="styles.xml"/><Relationship Id="rId12" Type="http://schemas.openxmlformats.org/officeDocument/2006/relationships/image" Target="media/image1.jpeg"/><Relationship Id="rId17" Type="http://schemas.openxmlformats.org/officeDocument/2006/relationships/image" Target="media/image6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5.jpe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footer" Target="footer3.xml"/><Relationship Id="rId5" Type="http://schemas.openxmlformats.org/officeDocument/2006/relationships/customXml" Target="../customXml/item5.xml"/><Relationship Id="rId15" Type="http://schemas.openxmlformats.org/officeDocument/2006/relationships/image" Target="media/image4.jpeg"/><Relationship Id="rId23" Type="http://schemas.openxmlformats.org/officeDocument/2006/relationships/header" Target="header3.xml"/><Relationship Id="rId10" Type="http://schemas.openxmlformats.org/officeDocument/2006/relationships/footnotes" Target="foot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SYZ">
  <a:themeElements>
    <a:clrScheme name="Syz 2024">
      <a:dk1>
        <a:srgbClr val="000000"/>
      </a:dk1>
      <a:lt1>
        <a:srgbClr val="FFFFFF"/>
      </a:lt1>
      <a:dk2>
        <a:srgbClr val="202945"/>
      </a:dk2>
      <a:lt2>
        <a:srgbClr val="FFC545"/>
      </a:lt2>
      <a:accent1>
        <a:srgbClr val="79D6FF"/>
      </a:accent1>
      <a:accent2>
        <a:srgbClr val="3BAF90"/>
      </a:accent2>
      <a:accent3>
        <a:srgbClr val="FFA400"/>
      </a:accent3>
      <a:accent4>
        <a:srgbClr val="FF6C0E"/>
      </a:accent4>
      <a:accent5>
        <a:srgbClr val="AC5D85"/>
      </a:accent5>
      <a:accent6>
        <a:srgbClr val="4B5F80"/>
      </a:accent6>
      <a:hlink>
        <a:srgbClr val="E6A4AD"/>
      </a:hlink>
      <a:folHlink>
        <a:srgbClr val="9DD9D2"/>
      </a:folHlink>
    </a:clrScheme>
    <a:fontScheme name="SYZ 2021">
      <a:majorFont>
        <a:latin typeface="Nunito Sans ExtraBold"/>
        <a:ea typeface=""/>
        <a:cs typeface=""/>
      </a:majorFont>
      <a:minorFont>
        <a:latin typeface="Nunito Sans"/>
        <a:ea typeface=""/>
        <a:cs typeface=""/>
      </a:minorFont>
    </a:fontScheme>
    <a:fmtScheme name="Thème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accent1"/>
        </a:solidFill>
        <a:ln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>
        <a:defPPr algn="ctr">
          <a:defRPr sz="1400" dirty="0"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txDef>
      <a:spPr>
        <a:noFill/>
      </a:spPr>
      <a:bodyPr vert="horz" wrap="square" lIns="0" tIns="0" rIns="0" bIns="0" rtlCol="0">
        <a:noAutofit/>
      </a:bodyPr>
      <a:lstStyle>
        <a:defPPr algn="l">
          <a:defRPr sz="1400" dirty="0" err="1" smtClean="0"/>
        </a:defPPr>
      </a:lstStyle>
    </a:txDef>
  </a:objectDefaults>
  <a:extraClrSchemeLst/>
  <a:custClrLst>
    <a:custClr name="Yellow">
      <a:srgbClr val="FFA400"/>
    </a:custClr>
    <a:custClr name="Grey Blue">
      <a:srgbClr val="4B5F80"/>
    </a:custClr>
    <a:custClr name="Light Orange">
      <a:srgbClr val="FF8300"/>
    </a:custClr>
    <a:custClr name="Red">
      <a:srgbClr val="EE3B2A"/>
    </a:custClr>
    <a:custClr name="Pink">
      <a:srgbClr val="EB3F8E"/>
    </a:custClr>
    <a:custClr name="Blue Violet">
      <a:srgbClr val="7C83C7"/>
    </a:custClr>
    <a:custClr name="Mint">
      <a:srgbClr val="00CEB0"/>
    </a:custClr>
    <a:custClr name="Gold">
      <a:srgbClr val="AA9561"/>
    </a:custClr>
  </a:custClrLst>
  <a:extLst>
    <a:ext uri="{05A4C25C-085E-4340-85A3-A5531E510DB2}">
      <thm15:themeFamily xmlns:thm15="http://schemas.microsoft.com/office/thememl/2012/main" name="SYZPrintEN.potx" id="{EE430BA9-556D-467B-961E-55B2AE9783C2}" vid="{DBD18493-7CD8-451D-9330-5D673754ABDB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[Date]</PublishDate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78CE09F451044085BD20AE26165FED" ma:contentTypeVersion="12" ma:contentTypeDescription="Create a new document." ma:contentTypeScope="" ma:versionID="6d41ab264704158c264d05c82a953a67">
  <xsd:schema xmlns:xsd="http://www.w3.org/2001/XMLSchema" xmlns:xs="http://www.w3.org/2001/XMLSchema" xmlns:p="http://schemas.microsoft.com/office/2006/metadata/properties" xmlns:ns2="e5e58b11-f745-45e3-9bae-2ebf80225d14" xmlns:ns3="ad2e9ad2-38b0-4b2b-a771-3ca98dc4e31f" targetNamespace="http://schemas.microsoft.com/office/2006/metadata/properties" ma:root="true" ma:fieldsID="91d7ba420e008b6918d39fdfede3273a" ns2:_="" ns3:_="">
    <xsd:import namespace="e5e58b11-f745-45e3-9bae-2ebf80225d14"/>
    <xsd:import namespace="ad2e9ad2-38b0-4b2b-a771-3ca98dc4e31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e58b11-f745-45e3-9bae-2ebf80225d1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2e9ad2-38b0-4b2b-a771-3ca98dc4e31f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EC34C74-EE0B-4222-9B5A-A8301E4D467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D5AEBF6-094F-4912-AE7D-266EAC8FADD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5e58b11-f745-45e3-9bae-2ebf80225d14"/>
    <ds:schemaRef ds:uri="ad2e9ad2-38b0-4b2b-a771-3ca98dc4e31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D67D8CA-3641-4FEE-821E-FF5AD669A79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B57C5C5D-CFDB-4F89-8942-AE631B6721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855</Words>
  <Characters>4879</Characters>
  <Application>Microsoft Office Word</Application>
  <DocSecurity>0</DocSecurity>
  <Lines>40</Lines>
  <Paragraphs>11</Paragraphs>
  <ScaleCrop>false</ScaleCrop>
  <Company/>
  <LinksUpToDate>false</LinksUpToDate>
  <CharactersWithSpaces>5723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[Title]</dc:title>
  <dc:subject/>
  <dc:creator>Charles-Henry Monchau</dc:creator>
  <cp:keywords/>
  <dc:description/>
  <cp:lastModifiedBy>Charles-Henry Monchau</cp:lastModifiedBy>
  <cp:revision>26</cp:revision>
  <dcterms:created xsi:type="dcterms:W3CDTF">2026-10-29T22:35:00Z</dcterms:created>
  <dcterms:modified xsi:type="dcterms:W3CDTF">2026-10-30T07:36:00Z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35c314-1da2-4782-8a1f-782d8d951436_Enabled">
    <vt:lpwstr>true</vt:lpwstr>
  </property>
  <property fmtid="{D5CDD505-2E9C-101B-9397-08002B2CF9AE}" pid="3" name="MSIP_Label_e635c314-1da2-4782-8a1f-782d8d951436_SetDate">
    <vt:lpwstr>2026-10-29T22:40:15Z</vt:lpwstr>
  </property>
  <property fmtid="{D5CDD505-2E9C-101B-9397-08002B2CF9AE}" pid="4" name="MSIP_Label_e635c314-1da2-4782-8a1f-782d8d951436_Method">
    <vt:lpwstr>Standard</vt:lpwstr>
  </property>
  <property fmtid="{D5CDD505-2E9C-101B-9397-08002B2CF9AE}" pid="5" name="MSIP_Label_e635c314-1da2-4782-8a1f-782d8d951436_Name">
    <vt:lpwstr>C1-Internal</vt:lpwstr>
  </property>
  <property fmtid="{D5CDD505-2E9C-101B-9397-08002B2CF9AE}" pid="6" name="MSIP_Label_e635c314-1da2-4782-8a1f-782d8d951436_SiteId">
    <vt:lpwstr>00137d3d-3556-4d89-bdd6-8cf30cc386e2</vt:lpwstr>
  </property>
  <property fmtid="{D5CDD505-2E9C-101B-9397-08002B2CF9AE}" pid="7" name="MSIP_Label_e635c314-1da2-4782-8a1f-782d8d951436_ActionId">
    <vt:lpwstr>99948d68-ac27-4943-8b7e-414a06b66a9d</vt:lpwstr>
  </property>
  <property fmtid="{D5CDD505-2E9C-101B-9397-08002B2CF9AE}" pid="8" name="MSIP_Label_e635c314-1da2-4782-8a1f-782d8d951436_ContentBits">
    <vt:lpwstr>0</vt:lpwstr>
  </property>
  <property fmtid="{D5CDD505-2E9C-101B-9397-08002B2CF9AE}" pid="9" name="MSIP_Label_e635c314-1da2-4782-8a1f-782d8d951436_Tag">
    <vt:lpwstr>10, 3, 0, 1</vt:lpwstr>
  </property>
</Properties>
</file>