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C93B" w14:textId="64F0060A" w:rsidR="00A1136F" w:rsidRPr="00336033" w:rsidRDefault="00A1136F" w:rsidP="00336033">
      <w:pPr>
        <w:jc w:val="center"/>
        <w:rPr>
          <w:b/>
          <w:bCs/>
          <w:sz w:val="32"/>
          <w:szCs w:val="32"/>
        </w:rPr>
      </w:pPr>
      <w:r w:rsidRPr="00336033">
        <w:rPr>
          <w:b/>
          <w:bCs/>
          <w:sz w:val="32"/>
          <w:szCs w:val="32"/>
        </w:rPr>
        <w:t xml:space="preserve">LA SEMAINE EN 7 GRAPHIQUES</w:t>
      </w:r>
    </w:p>
    <w:p w14:paraId="59C07075" w14:textId="2BD30F38" w:rsidR="00336033" w:rsidRPr="00336033" w:rsidRDefault="00336033" w:rsidP="00336033">
      <w:pPr>
        <w:jc w:val="center"/>
        <w:rPr>
          <w:sz w:val="32"/>
          <w:szCs w:val="32"/>
        </w:rPr>
      </w:pPr>
      <w:r w:rsidRPr="00336033">
        <w:rPr>
          <w:sz w:val="32"/>
          <w:szCs w:val="32"/>
        </w:rPr>
        <w:t xml:space="preserve">19</w:t>
      </w:r>
      <w:r w:rsidRPr="00336033">
        <w:rPr>
          <w:sz w:val="32"/>
          <w:szCs w:val="32"/>
        </w:rPr>
        <w:t xml:space="preserve"> octobre</w:t>
      </w:r>
    </w:p>
    <w:p w14:paraId="471DAED3" w14:textId="77777777" w:rsidR="00A1136F" w:rsidRDefault="00A1136F" w:rsidP="00F96FA4"/>
    <w:p w14:paraId="2342E752" w14:textId="16283177" w:rsidR="00A1136F" w:rsidRDefault="00A1136F" w:rsidP="00F96FA4">
      <w:r>
        <w:t>------------------------------------------------------------------------------------------------------------------------------</w:t>
      </w:r>
    </w:p>
    <w:p w14:paraId="5660FE23" w14:textId="77777777" w:rsidR="00A1136F" w:rsidRDefault="00A1136F" w:rsidP="00F96FA4"/>
    <w:p w14:paraId="386768EE" w14:textId="3FE88884" w:rsidR="00A1136F" w:rsidRPr="00A1136F" w:rsidRDefault="00A1136F" w:rsidP="00A1136F">
      <w:pPr>
        <w:rPr>
          <w:b/>
          <w:bCs/>
        </w:rPr>
      </w:pPr>
      <w:r w:rsidRPr="00A1136F">
        <w:rPr>
          <w:b/>
          <w:bCs/>
        </w:rPr>
        <w:t xml:space="preserve">Graphique # : L’inflation américaine repart à la hausse</w:t>
      </w:r>
    </w:p>
    <w:p w14:paraId="723139F1" w14:textId="77777777" w:rsidR="00A1136F" w:rsidRDefault="00A1136F" w:rsidP="00A1136F"/>
    <w:p w14:paraId="6588B754" w14:textId="77777777" w:rsidR="00A1136F" w:rsidRDefault="00A1136F" w:rsidP="00A1136F">
      <w:r>
        <w:t xml:space="preserve">L’inflation globale a bondi à 3,7 % sur un an en septembre, son plus haut niveau depuis mai.</w:t>
      </w:r>
    </w:p>
    <w:p w14:paraId="48EDF731" w14:textId="77777777" w:rsidR="00A1136F" w:rsidRDefault="00A1136F" w:rsidP="00A1136F"/>
    <w:p w14:paraId="6C30FF4B" w14:textId="77777777" w:rsidR="00A1136F" w:rsidRDefault="00A1136F" w:rsidP="00A1136F">
      <w:r>
        <w:t xml:space="preserve">La hausse des prix de l’essence et du gazole explique une grande partie de cette progression. Le renchérissement des billets d’avion et des voitures d’occasion a accentué la pression, portant l’inflation mensuelle à 0,6 %, sa plus forte hausse depuis mai.</w:t>
      </w:r>
    </w:p>
    <w:p w14:paraId="2EBEE10D" w14:textId="77777777" w:rsidR="00A1136F" w:rsidRDefault="00A1136F" w:rsidP="00A1136F"/>
    <w:p w14:paraId="4AB36182" w14:textId="3986F84F" w:rsidR="00A1136F" w:rsidRDefault="00A1136F" w:rsidP="00336033">
      <w:r>
        <w:t xml:space="preserve">Même hors alimentation et énergie, la situation s’est dégradée : l’inflation sous-jacente est passée de 2,4 % en août à 2,6 %, au-dessus des attentes.</w:t>
      </w:r>
    </w:p>
    <w:p w14:paraId="5EB09C7B" w14:textId="77777777" w:rsidR="00A1136F" w:rsidRDefault="00A1136F" w:rsidP="00A1136F"/>
    <w:p w14:paraId="386FF5DF" w14:textId="77777777" w:rsidR="00A1136F" w:rsidRDefault="00A1136F" w:rsidP="00A1136F">
      <w:r>
        <w:t xml:space="preserve">Les ménages sont clairement sous pression : les prix ont augmenté de 3,7 % sur un an, plus vite que les salaires moyens, en hausse de 3 %.</w:t>
      </w:r>
    </w:p>
    <w:p w14:paraId="1E00B847" w14:textId="77777777" w:rsidR="00A1136F" w:rsidRDefault="00A1136F" w:rsidP="00A1136F"/>
    <w:p w14:paraId="48B6124C" w14:textId="050EE0B3" w:rsidR="00A1136F" w:rsidRDefault="00A1136F" w:rsidP="00A1136F">
      <w:r>
        <w:rPr>
          <w:noProof/>
        </w:rPr>
        <w:drawing>
          <wp:inline distT="0" distB="0" distL="0" distR="0" wp14:anchorId="79C9E77B" wp14:editId="0B9FCBED">
            <wp:extent cx="2768445" cy="2066998"/>
            <wp:effectExtent l="0" t="0" r="0" b="0"/>
            <wp:docPr id="979574602"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ew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5478" cy="2079715"/>
                    </a:xfrm>
                    <a:prstGeom prst="rect">
                      <a:avLst/>
                    </a:prstGeom>
                    <a:noFill/>
                    <a:ln>
                      <a:noFill/>
                    </a:ln>
                  </pic:spPr>
                </pic:pic>
              </a:graphicData>
            </a:graphic>
          </wp:inline>
        </w:drawing>
      </w:r>
    </w:p>
    <w:p w14:paraId="3A384806" w14:textId="77777777" w:rsidR="00A1136F" w:rsidRDefault="00A1136F" w:rsidP="00A1136F"/>
    <w:p w14:paraId="1C2FEA1F" w14:textId="77777777" w:rsidR="00A1136F" w:rsidRDefault="00A1136F" w:rsidP="00A1136F">
      <w:r>
        <w:t xml:space="preserve">Source : Heather Long sur X, BLS</w:t>
      </w:r>
    </w:p>
    <w:p w14:paraId="217F237E" w14:textId="77777777" w:rsidR="00A1136F" w:rsidRDefault="00A1136F" w:rsidP="00F96FA4"/>
    <w:p w14:paraId="350E8C7C" w14:textId="77777777" w:rsidR="00A1136F" w:rsidRDefault="00A1136F" w:rsidP="00F96FA4"/>
    <w:p w14:paraId="3C7A7AAC" w14:textId="77777777" w:rsidR="00A1136F" w:rsidRDefault="00A1136F" w:rsidP="00F96FA4"/>
    <w:p w14:paraId="5EC2C60D" w14:textId="34E46123" w:rsidR="00A1136F" w:rsidRPr="00A1136F" w:rsidRDefault="00A1136F" w:rsidP="00F96FA4">
      <w:pPr>
        <w:rPr>
          <w:b/>
          <w:bCs/>
        </w:rPr>
      </w:pPr>
      <w:r w:rsidRPr="00A1136F">
        <w:rPr>
          <w:b/>
          <w:bCs/>
        </w:rPr>
        <w:t xml:space="preserve">Graphique # : Le pouvoir des couvertures de magazines</w:t>
      </w:r>
    </w:p>
    <w:p w14:paraId="1A268696" w14:textId="77777777" w:rsidR="00A1136F" w:rsidRPr="00A1136F" w:rsidRDefault="00A1136F" w:rsidP="00F96FA4">
      <w:pPr>
        <w:rPr>
          <w:b/>
          <w:bCs/>
        </w:rPr>
      </w:pPr>
    </w:p>
    <w:p w14:paraId="300B446C" w14:textId="46DC7F64" w:rsidR="00A1136F" w:rsidRDefault="00A1136F" w:rsidP="00A1136F">
      <w:r>
        <w:t xml:space="preserve">Malgré des chiffres d’inflation CPI et PPI américains supérieurs aux attentes, les rendements des bons du Trésor américain s’effondrent. Ce repli intervient quelques jours après une couverture de The Economist qui se demandait si le marché obligataire allait exploser.</w:t>
      </w:r>
    </w:p>
    <w:p w14:paraId="3B4CB8BA" w14:textId="77777777" w:rsidR="00A1136F" w:rsidRDefault="00A1136F" w:rsidP="00A1136F"/>
    <w:p w14:paraId="09579B14" w14:textId="0EFF6B59" w:rsidR="00A1136F" w:rsidRDefault="00A1136F" w:rsidP="00A1136F">
      <w:r>
        <w:t xml:space="preserve">Les couvertures de magazines se sont souvent révélées de puissants signaux d’investissement à contre-courant.</w:t>
      </w:r>
    </w:p>
    <w:p w14:paraId="00E50A23" w14:textId="77777777" w:rsidR="00A1136F" w:rsidRDefault="00A1136F" w:rsidP="00A1136F"/>
    <w:p w14:paraId="7E224323" w14:textId="262D455E" w:rsidR="00A1136F" w:rsidRDefault="00A1136F" w:rsidP="00A1136F">
      <w:r w:rsidRPr="00A1136F">
        <w:drawing>
          <wp:inline distT="0" distB="0" distL="0" distR="0" wp14:anchorId="31CAF1C8" wp14:editId="22F307F5">
            <wp:extent cx="3076984" cy="2181472"/>
            <wp:effectExtent l="0" t="0" r="9525" b="0"/>
            <wp:docPr id="183708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82637" name=""/>
                    <pic:cNvPicPr/>
                  </pic:nvPicPr>
                  <pic:blipFill>
                    <a:blip r:embed="rId13"/>
                    <a:stretch>
                      <a:fillRect/>
                    </a:stretch>
                  </pic:blipFill>
                  <pic:spPr>
                    <a:xfrm>
                      <a:off x="0" y="0"/>
                      <a:ext cx="3093927" cy="2193484"/>
                    </a:xfrm>
                    <a:prstGeom prst="rect">
                      <a:avLst/>
                    </a:prstGeom>
                  </pic:spPr>
                </pic:pic>
              </a:graphicData>
            </a:graphic>
          </wp:inline>
        </w:drawing>
      </w:r>
    </w:p>
    <w:p w14:paraId="28355F98" w14:textId="77777777" w:rsidR="00A1136F" w:rsidRDefault="00A1136F" w:rsidP="00A1136F"/>
    <w:p w14:paraId="221C930B" w14:textId="6DC29935" w:rsidR="00A1136F" w:rsidRDefault="00A1136F" w:rsidP="00A1136F">
      <w:r>
        <w:t xml:space="preserve">Source : Ryan Detrick</w:t>
      </w:r>
    </w:p>
    <w:p w14:paraId="44A75CD8" w14:textId="617ED1A9" w:rsidR="00FD727A" w:rsidRPr="00FD727A" w:rsidRDefault="00FD727A" w:rsidP="00336033">
      <w:pPr>
        <w:rPr>
          <w:b/>
          <w:bCs/>
        </w:rPr>
      </w:pPr>
      <w:r w:rsidRPr="00FD727A">
        <w:rPr>
          <w:b/>
          <w:bCs/>
        </w:rPr>
        <w:lastRenderedPageBreak/>
        <w:t xml:space="preserve">Graphique # : Depuis le début du second semestre, les émissions de dette des hyperscalers éclipsent celles des marchés émergents</w:t>
      </w:r>
    </w:p>
    <w:p w14:paraId="49D32BC3" w14:textId="77777777" w:rsidR="00FD727A" w:rsidRDefault="00FD727A" w:rsidP="00336033"/>
    <w:p w14:paraId="5C4DB7A7" w14:textId="4379AAB3" w:rsidR="00336033" w:rsidRDefault="00336033" w:rsidP="00336033">
      <w:r w:rsidR="00FD727A">
        <w:t xml:space="preserve">Depuis le 1</w:t>
      </w:r>
      <w:r w:rsidR="00FD727A" w:rsidRPr="00FD727A">
        <w:rPr>
          <w:vertAlign w:val="superscript"/>
        </w:rPr>
        <w:t xml:space="preserve">er</w:t>
      </w:r>
      <w:r w:rsidR="00FD727A">
        <w:t xml:space="preserve"> juillet, deux hyperscalers à eux seuls (Amazon et Alphabet) ont émis davantage de dette que l’ensemble des États émergents réunis.</w:t>
      </w:r>
    </w:p>
    <w:p w14:paraId="2C8B6BFE" w14:textId="77777777" w:rsidR="00336033" w:rsidRDefault="00336033" w:rsidP="00336033"/>
    <w:p w14:paraId="7BBABF72" w14:textId="0E8CD0D9" w:rsidR="00336033" w:rsidRDefault="00336033" w:rsidP="00336033">
      <w:r>
        <w:t xml:space="preserve">Amazon et Alphabet ont levé environ 126 milliards de dollars cette année, contre quelque 41 milliards pour les émetteurs souverains émergents.</w:t>
      </w:r>
    </w:p>
    <w:p w14:paraId="464F5FE4" w14:textId="77777777" w:rsidR="00336033" w:rsidRDefault="00336033" w:rsidP="00336033"/>
    <w:p w14:paraId="2B740A20" w14:textId="1B3FBACB" w:rsidR="00336033" w:rsidRDefault="00F177D4" w:rsidP="00336033">
      <w:r>
        <w:rPr>
          <w:noProof/>
        </w:rPr>
        <w:drawing>
          <wp:inline distT="0" distB="0" distL="0" distR="0" wp14:anchorId="50882FF6" wp14:editId="26C7FB71">
            <wp:extent cx="3029301" cy="2213672"/>
            <wp:effectExtent l="0" t="0" r="0" b="0"/>
            <wp:docPr id="1148967001"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ew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3444" cy="2216700"/>
                    </a:xfrm>
                    <a:prstGeom prst="rect">
                      <a:avLst/>
                    </a:prstGeom>
                    <a:noFill/>
                    <a:ln>
                      <a:noFill/>
                    </a:ln>
                  </pic:spPr>
                </pic:pic>
              </a:graphicData>
            </a:graphic>
          </wp:inline>
        </w:drawing>
      </w:r>
    </w:p>
    <w:p w14:paraId="4D52BF9C" w14:textId="77777777" w:rsidR="00336033" w:rsidRDefault="00336033" w:rsidP="00336033"/>
    <w:p w14:paraId="6E1E81D2" w14:textId="77777777" w:rsidR="00336033" w:rsidRDefault="00336033" w:rsidP="00336033">
      <w:r>
        <w:t xml:space="preserve">Source : Nic</w:t>
      </w:r>
    </w:p>
    <w:p w14:paraId="2CC63144" w14:textId="236746E2" w:rsidR="00A1136F" w:rsidRDefault="00336033" w:rsidP="00336033">
      <w:r>
        <w:t xml:space="preserve">@puckrin sur X</w:t>
      </w:r>
    </w:p>
    <w:p w14:paraId="25EE0C3D" w14:textId="06E5E00A" w:rsidR="00A1136F" w:rsidRDefault="00A1136F" w:rsidP="00A1136F"/>
    <w:p w14:paraId="6A42A4E7" w14:textId="77777777" w:rsidR="00336033" w:rsidRDefault="00336033" w:rsidP="00A1136F"/>
    <w:p w14:paraId="06840B9D" w14:textId="77777777" w:rsidR="00336033" w:rsidRDefault="00336033" w:rsidP="00A1136F"/>
    <w:p w14:paraId="29350B4B" w14:textId="77777777" w:rsidR="00336033" w:rsidRDefault="00336033" w:rsidP="00A1136F"/>
    <w:p w14:paraId="3EC4450E" w14:textId="10E35216" w:rsidR="00A1136F" w:rsidRPr="00A1136F" w:rsidRDefault="00A1136F" w:rsidP="00A1136F">
      <w:pPr>
        <w:rPr>
          <w:b/>
          <w:bCs/>
        </w:rPr>
      </w:pPr>
      <w:r w:rsidRPr="00A1136F">
        <w:rPr>
          <w:b/>
          <w:bCs/>
        </w:rPr>
        <w:t xml:space="preserve">Graphique # : Le monde dépense toujours davantage en alcool qu’en infrastructures d’IA</w:t>
      </w:r>
    </w:p>
    <w:p w14:paraId="0A99F312" w14:textId="77777777" w:rsidR="00A1136F" w:rsidRDefault="00A1136F" w:rsidP="00A1136F"/>
    <w:p w14:paraId="4F0EA9DE" w14:textId="77777777" w:rsidR="00A1136F" w:rsidRDefault="00A1136F" w:rsidP="00A1136F">
      <w:r>
        <w:t xml:space="preserve">Dépenses en 2026 :</w:t>
      </w:r>
    </w:p>
    <w:p w14:paraId="00978990" w14:textId="77777777" w:rsidR="00A1136F" w:rsidRDefault="00A1136F" w:rsidP="00A1136F">
      <w:r>
        <w:t xml:space="preserve">• Alcool : 1,70 milliard de dollars</w:t>
      </w:r>
    </w:p>
    <w:p w14:paraId="5084F99B" w14:textId="77777777" w:rsidR="00A1136F" w:rsidRDefault="00A1136F" w:rsidP="00A1136F">
      <w:r>
        <w:t xml:space="preserve">• Infrastructures d’IA : 1,484 milliard de dollars</w:t>
      </w:r>
    </w:p>
    <w:p w14:paraId="1868942A" w14:textId="77777777" w:rsidR="00A1136F" w:rsidRDefault="00A1136F" w:rsidP="00A1136F"/>
    <w:p w14:paraId="7F08E0ED" w14:textId="5C5CEC8E" w:rsidR="00A1136F" w:rsidRDefault="00A1136F" w:rsidP="00A1136F">
      <w:r>
        <w:t xml:space="preserve">Selon les projections, les dépenses d’IA dépasseront pour la première fois celles consacrées à l’alcool l’an prochain.</w:t>
      </w:r>
    </w:p>
    <w:p w14:paraId="12A9E3DA" w14:textId="77777777" w:rsidR="00A1136F" w:rsidRDefault="00A1136F" w:rsidP="00A1136F"/>
    <w:p w14:paraId="15F2D991" w14:textId="7778E4B1" w:rsidR="00A1136F" w:rsidRDefault="00A1136F" w:rsidP="00A1136F">
      <w:r>
        <w:rPr>
          <w:noProof/>
        </w:rPr>
        <w:drawing>
          <wp:inline distT="0" distB="0" distL="0" distR="0" wp14:anchorId="639B31A9" wp14:editId="52D8A5C9">
            <wp:extent cx="3974555" cy="2384733"/>
            <wp:effectExtent l="0" t="0" r="6985" b="0"/>
            <wp:docPr id="2024814475"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ew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0256" cy="2388153"/>
                    </a:xfrm>
                    <a:prstGeom prst="rect">
                      <a:avLst/>
                    </a:prstGeom>
                    <a:noFill/>
                    <a:ln>
                      <a:noFill/>
                    </a:ln>
                  </pic:spPr>
                </pic:pic>
              </a:graphicData>
            </a:graphic>
          </wp:inline>
        </w:drawing>
      </w:r>
    </w:p>
    <w:p w14:paraId="1A96F07F" w14:textId="77777777" w:rsidR="00A1136F" w:rsidRDefault="00A1136F" w:rsidP="00A1136F">
      <w:r>
        <w:t xml:space="preserve">Source : Michael Burry Stock Tracker </w:t>
      </w:r>
      <w:r>
        <w:rPr>
          <w:rFonts w:ascii="Segoe UI Symbol" w:hAnsi="Segoe UI Symbol" w:cs="Segoe UI Symbol"/>
        </w:rPr>
        <w:t xml:space="preserve">♟</w:t>
      </w:r>
    </w:p>
    <w:p w14:paraId="4D6BB68A" w14:textId="2B950ADC" w:rsidR="00A1136F" w:rsidRDefault="00A1136F" w:rsidP="00A1136F">
      <w:r>
        <w:t>@burrytracker</w:t>
      </w:r>
    </w:p>
    <w:p w14:paraId="48CACA61" w14:textId="77777777" w:rsidR="00A1136F" w:rsidRDefault="00A1136F" w:rsidP="00A1136F"/>
    <w:p w14:paraId="1EEAA3E9" w14:textId="77777777" w:rsidR="0065005C" w:rsidRDefault="0065005C" w:rsidP="00A1136F"/>
    <w:p w14:paraId="683B0007" w14:textId="59B5236B" w:rsidR="003F6EFA" w:rsidRPr="0065005C" w:rsidRDefault="0065005C" w:rsidP="0065005C">
      <w:pPr>
        <w:rPr>
          <w:b/>
          <w:bCs/>
        </w:rPr>
      </w:pPr>
      <w:r w:rsidRPr="0065005C">
        <w:rPr>
          <w:b/>
          <w:bCs/>
        </w:rPr>
        <w:t xml:space="preserve">Graphique # : La plus grande disruption de l’IA pourrait être l’effondrement de son coût</w:t>
      </w:r>
    </w:p>
    <w:p w14:paraId="7090D7BE" w14:textId="77777777" w:rsidR="003F6EFA" w:rsidRDefault="003F6EFA" w:rsidP="003F6EFA"/>
    <w:p w14:paraId="2CB11483" w14:textId="01A6A191" w:rsidR="003F6EFA" w:rsidRDefault="003F6EFA" w:rsidP="003F6EFA">
      <w:r>
        <w:t xml:space="preserve">Le coût de l’IA baisse plus vite que celui de toute autre technologie transformatrice de l’histoire, 54 fois plus vite que l’électricité, et ce rythme n’a pas faibli depuis GPT-3.</w:t>
      </w:r>
    </w:p>
    <w:p w14:paraId="206CAF8C" w14:textId="77777777" w:rsidR="003F6EFA" w:rsidRDefault="003F6EFA" w:rsidP="003F6EFA"/>
    <w:p w14:paraId="22527DC4" w14:textId="77777777" w:rsidR="003F6EFA" w:rsidRDefault="003F6EFA" w:rsidP="003F6EFA">
      <w:r>
        <w:t xml:space="preserve">Ce qui a pris des décennies à d’autres technologies semble se produire en quelques années dans l’IA.</w:t>
      </w:r>
    </w:p>
    <w:p w14:paraId="51AF7F46" w14:textId="77777777" w:rsidR="003F6EFA" w:rsidRDefault="003F6EFA" w:rsidP="003F6EFA"/>
    <w:p w14:paraId="3DF39FBB" w14:textId="77777777" w:rsidR="003F6EFA" w:rsidRDefault="003F6EFA" w:rsidP="003F6EFA">
      <w:r>
        <w:t xml:space="preserve">Les implications économiques sont considérables : à mesure que l’intelligence devient moins chère, davantage de tâches peuvent être automatisées, personnalisées ou améliorées de façon rentable. La baisse des coûts peut faire bondir la demande, même si les prix reculent.</w:t>
      </w:r>
    </w:p>
    <w:p w14:paraId="4643AB77" w14:textId="77777777" w:rsidR="003F6EFA" w:rsidRDefault="003F6EFA" w:rsidP="003F6EFA"/>
    <w:p w14:paraId="7C7070FC" w14:textId="77777777" w:rsidR="003F6EFA" w:rsidRDefault="003F6EFA" w:rsidP="003F6EFA">
      <w:r>
        <w:t xml:space="preserve">Pour les investisseurs, cette dynamique est à la fois une opportunité et une source de pression. Une IA moins chère pourrait profiter aux entreprises qui l’utilisent, tout en comprimant les marges des fournisseurs dont les produits deviennent interchangeables. L’explosion des usages ne se traduit pas automatiquement par une hausse des bénéfices.</w:t>
      </w:r>
    </w:p>
    <w:p w14:paraId="00AB7327" w14:textId="77777777" w:rsidR="003F6EFA" w:rsidRDefault="003F6EFA" w:rsidP="003F6EFA"/>
    <w:p w14:paraId="07187216" w14:textId="77777777" w:rsidR="003F6EFA" w:rsidRDefault="003F6EFA" w:rsidP="003F6EFA">
      <w:r>
        <w:t xml:space="preserve">Une réserve : le graphique ne précise ni l’indicateur retenu pour mesurer le coût de l’IA ni sa source. L’ampleur spectaculaire de la baisse reste à vérifier, et ces technologies sont mesurées dans des unités différentes.</w:t>
      </w:r>
    </w:p>
    <w:p w14:paraId="4FDD6FE9" w14:textId="77777777" w:rsidR="003F6EFA" w:rsidRDefault="003F6EFA" w:rsidP="003F6EFA"/>
    <w:p w14:paraId="7D1B2724" w14:textId="4E10935B" w:rsidR="003F6EFA" w:rsidRDefault="006300FE" w:rsidP="003F6EFA">
      <w:r>
        <w:rPr>
          <w:noProof/>
        </w:rPr>
        <w:drawing>
          <wp:inline distT="0" distB="0" distL="0" distR="0" wp14:anchorId="47E27CF3" wp14:editId="1C98614C">
            <wp:extent cx="2970199" cy="2041973"/>
            <wp:effectExtent l="0" t="0" r="1905" b="0"/>
            <wp:docPr id="1908001857"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ew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7465" cy="2046968"/>
                    </a:xfrm>
                    <a:prstGeom prst="rect">
                      <a:avLst/>
                    </a:prstGeom>
                    <a:noFill/>
                    <a:ln>
                      <a:noFill/>
                    </a:ln>
                  </pic:spPr>
                </pic:pic>
              </a:graphicData>
            </a:graphic>
          </wp:inline>
        </w:drawing>
      </w:r>
    </w:p>
    <w:p w14:paraId="15B986B1" w14:textId="77777777" w:rsidR="003F6EFA" w:rsidRDefault="003F6EFA" w:rsidP="003F6EFA"/>
    <w:p w14:paraId="0970FC76" w14:textId="77777777" w:rsidR="003F6EFA" w:rsidRDefault="003F6EFA" w:rsidP="003F6EFA">
      <w:r>
        <w:t xml:space="preserve">Source : Linus </w:t>
      </w:r>
      <w:r>
        <w:rPr>
          <w:rFonts w:ascii="Segoe UI Symbol" w:hAnsi="Segoe UI Symbol" w:cs="Segoe UI Symbol"/>
        </w:rPr>
        <w:t xml:space="preserve">✦</w:t>
      </w:r>
      <w:r>
        <w:t xml:space="preserve"> Ekenstam</w:t>
      </w:r>
    </w:p>
    <w:p w14:paraId="4EA36869" w14:textId="4EFB9CF1" w:rsidR="003F6EFA" w:rsidRDefault="003F6EFA" w:rsidP="003F6EFA">
      <w:r>
        <w:t>@LinusEkenstam</w:t>
      </w:r>
    </w:p>
    <w:p w14:paraId="2EE0E609" w14:textId="77777777" w:rsidR="003F6EFA" w:rsidRDefault="003F6EFA" w:rsidP="00A1136F"/>
    <w:p w14:paraId="7C9E674E" w14:textId="77777777" w:rsidR="003F6EFA" w:rsidRDefault="003F6EFA" w:rsidP="00A1136F"/>
    <w:p w14:paraId="6105027B" w14:textId="0B544C6D" w:rsidR="00B97E32" w:rsidRPr="00B97E32" w:rsidRDefault="00B97E32" w:rsidP="00B97E32">
      <w:pPr>
        <w:rPr>
          <w:b/>
          <w:bCs/>
        </w:rPr>
      </w:pPr>
      <w:r w:rsidRPr="00B97E32">
        <w:rPr>
          <w:b/>
          <w:bCs/>
        </w:rPr>
        <w:t xml:space="preserve">Graphique # : Le Royaume-Uni est le pays qui a acheté le plus d’obligations françaises</w:t>
      </w:r>
    </w:p>
    <w:p w14:paraId="183D2032" w14:textId="77777777" w:rsidR="00B97E32" w:rsidRDefault="00B97E32" w:rsidP="00B97E32"/>
    <w:p w14:paraId="6FD50896" w14:textId="094AE5E4" w:rsidR="00B97E32" w:rsidRDefault="00B97E32" w:rsidP="00B97E32">
      <w:r>
        <w:t xml:space="preserve">Le Royaume-Uni est donc le plus exposé à un risque de contagion et de pertes si la France venait à faire défaut sur sa dette ou à devoir solliciter un prêt du FMI et de la Banque centrale européenne.</w:t>
      </w:r>
    </w:p>
    <w:p w14:paraId="5AB74E2A" w14:textId="77777777" w:rsidR="00B97E32" w:rsidRDefault="00B97E32" w:rsidP="00B97E32"/>
    <w:p w14:paraId="782BCB68" w14:textId="77777777" w:rsidR="00B97E32" w:rsidRDefault="00B97E32" w:rsidP="00B97E32">
      <w:r>
        <w:t xml:space="preserve">Lorsque la Grèce a connu cette situation lors de la crise bancaire européenne de 2011, le chômage des jeunes a grimpé jusqu’à 60 % en 2013.</w:t>
      </w:r>
    </w:p>
    <w:p w14:paraId="43274D1E" w14:textId="77777777" w:rsidR="00B97E32" w:rsidRDefault="00B97E32" w:rsidP="00B97E32"/>
    <w:p w14:paraId="511BEC3F" w14:textId="17703433" w:rsidR="002B57AF" w:rsidRDefault="002B57AF" w:rsidP="00B97E32">
      <w:r w:rsidRPr="002B57AF">
        <w:drawing>
          <wp:inline distT="0" distB="0" distL="0" distR="0" wp14:anchorId="468F4239" wp14:editId="659AE8A4">
            <wp:extent cx="5435912" cy="2901259"/>
            <wp:effectExtent l="0" t="0" r="0" b="0"/>
            <wp:docPr id="145478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7758" name=""/>
                    <pic:cNvPicPr/>
                  </pic:nvPicPr>
                  <pic:blipFill>
                    <a:blip r:embed="rId17"/>
                    <a:stretch>
                      <a:fillRect/>
                    </a:stretch>
                  </pic:blipFill>
                  <pic:spPr>
                    <a:xfrm>
                      <a:off x="0" y="0"/>
                      <a:ext cx="5444692" cy="2905945"/>
                    </a:xfrm>
                    <a:prstGeom prst="rect">
                      <a:avLst/>
                    </a:prstGeom>
                  </pic:spPr>
                </pic:pic>
              </a:graphicData>
            </a:graphic>
          </wp:inline>
        </w:drawing>
      </w:r>
    </w:p>
    <w:p w14:paraId="55C646F2" w14:textId="77777777" w:rsidR="00B97E32" w:rsidRDefault="00B97E32" w:rsidP="00B97E32"/>
    <w:p w14:paraId="3E4AB303" w14:textId="77777777" w:rsidR="00B97E32" w:rsidRDefault="00B97E32" w:rsidP="00B97E32">
      <w:r>
        <w:t xml:space="preserve">Source : Financelot</w:t>
      </w:r>
    </w:p>
    <w:p w14:paraId="50D10D4C" w14:textId="05C6EFDE" w:rsidR="00B97E32" w:rsidRDefault="00B97E32" w:rsidP="00B97E32">
      <w:r>
        <w:t>@FinanceLancelot</w:t>
      </w:r>
    </w:p>
    <w:p w14:paraId="0D5CA16C" w14:textId="77777777" w:rsidR="00B97E32" w:rsidRDefault="00B97E32" w:rsidP="00A1136F"/>
    <w:p w14:paraId="3E3C959E" w14:textId="77777777" w:rsidR="00B97E32" w:rsidRDefault="00B97E32" w:rsidP="00A1136F"/>
    <w:p w14:paraId="2430D244" w14:textId="77777777" w:rsidR="00B97E32" w:rsidRDefault="00B97E32" w:rsidP="00A1136F"/>
    <w:p w14:paraId="320F06A2" w14:textId="1D66D092" w:rsidR="00A1136F" w:rsidRPr="00A1136F" w:rsidRDefault="00A1136F" w:rsidP="00A1136F">
      <w:pPr>
        <w:rPr>
          <w:b/>
          <w:bCs/>
        </w:rPr>
      </w:pPr>
      <w:r w:rsidRPr="00A1136F">
        <w:rPr>
          <w:b/>
          <w:bCs/>
        </w:rPr>
        <w:t xml:space="preserve">Graphique # : La Chine, une économie en K</w:t>
      </w:r>
    </w:p>
    <w:p w14:paraId="606D6F78" w14:textId="77777777" w:rsidR="00A1136F" w:rsidRDefault="00A1136F" w:rsidP="00A1136F"/>
    <w:p w14:paraId="615A4A99" w14:textId="16FA3280" w:rsidR="00A1136F" w:rsidRDefault="00A1136F" w:rsidP="00A1136F">
      <w:r>
        <w:t xml:space="preserve">En Chine, septembre a de nouveau affiché un excédent commercial colossal de 133,5 milliards de dollars, avec des exportations en hausse de 36,3 % sur un an.</w:t>
      </w:r>
    </w:p>
    <w:p w14:paraId="5FECC106" w14:textId="77777777" w:rsidR="00A1136F" w:rsidRDefault="00A1136F" w:rsidP="00A1136F"/>
    <w:p w14:paraId="18B5DD2C" w14:textId="77777777" w:rsidR="00A1136F" w:rsidRDefault="00A1136F" w:rsidP="00A1136F">
      <w:r>
        <w:t xml:space="preserve">Il paraît illusoire d’espérer que Pékin renonce de sitôt à une croissance tirée par les exportations.</w:t>
      </w:r>
    </w:p>
    <w:p w14:paraId="13F29A3C" w14:textId="77777777" w:rsidR="00A1136F" w:rsidRDefault="00A1136F" w:rsidP="00A1136F"/>
    <w:p w14:paraId="5D139A94" w14:textId="77777777" w:rsidR="00A1136F" w:rsidRDefault="00A1136F" w:rsidP="00A1136F">
      <w:r>
        <w:t xml:space="preserve">L’économie chinoise prend de plus en plus la forme d’un K :</w:t>
      </w:r>
    </w:p>
    <w:p w14:paraId="541E151A" w14:textId="77777777" w:rsidR="00A1136F" w:rsidRDefault="00A1136F" w:rsidP="00A1136F"/>
    <w:p w14:paraId="211C7185" w14:textId="77777777" w:rsidR="00A1136F" w:rsidRDefault="00A1136F" w:rsidP="00A1136F">
      <w:r>
        <w:t xml:space="preserve">• La branche haute : les exportateurs et l’industrie de pointe profitent de la demande mondiale de semi-conducteurs, d’infrastructures d’IA et de technologies vertes.</w:t>
      </w:r>
    </w:p>
    <w:p w14:paraId="5B3BC472" w14:textId="77777777" w:rsidR="00A1136F" w:rsidRDefault="00A1136F" w:rsidP="00A1136F"/>
    <w:p w14:paraId="1EEC2E0C" w14:textId="77777777" w:rsidR="00A1136F" w:rsidRDefault="00A1136F" w:rsidP="00A1136F">
      <w:r>
        <w:t xml:space="preserve">• La branche basse : les ménages subissent les pertes de patrimoine liées à l’immobilier, un marché de l’emploi atone et la nécessité de se désendetter. La consommation reste faible, les familles privilégiant la protection de leurs finances.</w:t>
      </w:r>
    </w:p>
    <w:p w14:paraId="65AF33A9" w14:textId="77777777" w:rsidR="00A1136F" w:rsidRDefault="00A1136F" w:rsidP="00A1136F"/>
    <w:p w14:paraId="0D5DC82B" w14:textId="77777777" w:rsidR="00A1136F" w:rsidRDefault="00A1136F" w:rsidP="00A1136F">
      <w:r>
        <w:t xml:space="preserve">Les usines peuvent prospérer alors même que les consommateurs se sentent plus pauvres.</w:t>
      </w:r>
    </w:p>
    <w:p w14:paraId="61D4D111" w14:textId="77777777" w:rsidR="00A1136F" w:rsidRDefault="00A1136F" w:rsidP="00A1136F"/>
    <w:p w14:paraId="3C6562E6" w14:textId="77777777" w:rsidR="00A1136F" w:rsidRDefault="00A1136F" w:rsidP="00A1136F">
      <w:r>
        <w:t xml:space="preserve">Pékin dépend donc fortement de la demande extérieure pour compenser la faiblesse intérieure, ce qui rend peu probable un virage rapide hors des exportations.</w:t>
      </w:r>
    </w:p>
    <w:p w14:paraId="188FF6B6" w14:textId="77777777" w:rsidR="00A1136F" w:rsidRDefault="00A1136F" w:rsidP="00A1136F"/>
    <w:p w14:paraId="65F85FD5" w14:textId="77777777" w:rsidR="00A1136F" w:rsidRDefault="00A1136F" w:rsidP="00A1136F">
      <w:r>
        <w:t xml:space="preserve">Tant que les ménages chinois n’auront pas retrouvé la confiance nécessaire pour dépenser, le reste du monde continuera d’absorber la production des usines chinoises.</w:t>
      </w:r>
    </w:p>
    <w:p w14:paraId="048165AB" w14:textId="1C01F836" w:rsidR="00A1136F" w:rsidRDefault="00A1136F" w:rsidP="00A1136F">
      <w:r w:rsidRPr="00A1136F">
        <w:drawing>
          <wp:inline distT="0" distB="0" distL="0" distR="0" wp14:anchorId="129BE425" wp14:editId="2C3E485A">
            <wp:extent cx="3062960" cy="2763591"/>
            <wp:effectExtent l="0" t="0" r="4445" b="0"/>
            <wp:docPr id="84833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6039" name=""/>
                    <pic:cNvPicPr/>
                  </pic:nvPicPr>
                  <pic:blipFill>
                    <a:blip r:embed="rId18"/>
                    <a:stretch>
                      <a:fillRect/>
                    </a:stretch>
                  </pic:blipFill>
                  <pic:spPr>
                    <a:xfrm>
                      <a:off x="0" y="0"/>
                      <a:ext cx="3069853" cy="2769810"/>
                    </a:xfrm>
                    <a:prstGeom prst="rect">
                      <a:avLst/>
                    </a:prstGeom>
                  </pic:spPr>
                </pic:pic>
              </a:graphicData>
            </a:graphic>
          </wp:inline>
        </w:drawing>
      </w:r>
    </w:p>
    <w:p w14:paraId="42992FB2" w14:textId="77777777" w:rsidR="00A1136F" w:rsidRDefault="00A1136F" w:rsidP="00A1136F"/>
    <w:p w14:paraId="33AEB3F3" w14:textId="73260B30" w:rsidR="00A1136F" w:rsidRPr="00F6083A" w:rsidRDefault="00A1136F" w:rsidP="00A1136F">
      <w:r>
        <w:t xml:space="preserve">Source : Robin Brooks</w:t>
      </w:r>
    </w:p>
    <w:sectPr w:rsidR="00A1136F" w:rsidRPr="00F6083A" w:rsidSect="001C4809">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851" w:left="1134"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3E39" w14:textId="77777777" w:rsidR="00246251" w:rsidRDefault="00246251" w:rsidP="00477C0A">
      <w:r>
        <w:separator/>
      </w:r>
    </w:p>
  </w:endnote>
  <w:endnote w:type="continuationSeparator" w:id="0">
    <w:p w14:paraId="2A9DE23F" w14:textId="77777777" w:rsidR="00246251" w:rsidRDefault="00246251" w:rsidP="0047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ExtraBold">
    <w:altName w:val="Nunito Sans ExtraBold"/>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Nunito Sans SemiBold">
    <w:altName w:val="Nunito Sans SemiBold"/>
    <w:charset w:val="00"/>
    <w:family w:val="auto"/>
    <w:pitch w:val="variable"/>
    <w:sig w:usb0="20000007" w:usb1="00000001" w:usb2="00000000" w:usb3="00000000" w:csb0="000001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FC5F" w14:textId="77777777" w:rsidR="00E10115" w:rsidRDefault="00E10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6366" w14:textId="77777777" w:rsidR="00E10115" w:rsidRDefault="00E10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9AD3" w14:textId="77777777" w:rsidR="00E10115" w:rsidRDefault="00E10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10F0D" w14:textId="77777777" w:rsidR="00246251" w:rsidRDefault="00246251" w:rsidP="00477C0A">
      <w:r>
        <w:separator/>
      </w:r>
    </w:p>
  </w:footnote>
  <w:footnote w:type="continuationSeparator" w:id="0">
    <w:p w14:paraId="638E0487" w14:textId="77777777" w:rsidR="00246251" w:rsidRDefault="00246251" w:rsidP="0047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613C" w14:textId="77777777" w:rsidR="00E10115" w:rsidRDefault="00E10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FF26" w14:textId="77777777" w:rsidR="00477C0A" w:rsidRPr="001C4809" w:rsidRDefault="00477C0A">
    <w:pPr>
      <w:pStyle w:val="Header"/>
      <w:rPr>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3CFA" w14:textId="77777777" w:rsidR="00E10115" w:rsidRDefault="00E10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C4973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48A547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FBE0675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6589B0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A4A0B9C"/>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F0C5C4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3B7625"/>
    <w:multiLevelType w:val="multilevel"/>
    <w:tmpl w:val="5DDA12F4"/>
    <w:numStyleLink w:val="NumberedSyz"/>
  </w:abstractNum>
  <w:abstractNum w:abstractNumId="7" w15:restartNumberingAfterBreak="0">
    <w:nsid w:val="08C47FD8"/>
    <w:multiLevelType w:val="multilevel"/>
    <w:tmpl w:val="1D84AC12"/>
    <w:styleLink w:val="TOCSyz"/>
    <w:lvl w:ilvl="0">
      <w:start w:val="1"/>
      <w:numFmt w:val="upperRoman"/>
      <w:pStyle w:val="Heading1"/>
      <w:lvlText w:val="%1."/>
      <w:lvlJc w:val="left"/>
      <w:pPr>
        <w:tabs>
          <w:tab w:val="num" w:pos="567"/>
        </w:tabs>
        <w:ind w:left="0" w:firstLine="0"/>
      </w:pPr>
      <w:rPr>
        <w:rFonts w:asciiTheme="majorHAnsi" w:hAnsiTheme="majorHAnsi" w:hint="default"/>
        <w:color w:val="FF8300"/>
        <w:sz w:val="24"/>
      </w:rPr>
    </w:lvl>
    <w:lvl w:ilvl="1">
      <w:start w:val="1"/>
      <w:numFmt w:val="decimal"/>
      <w:pStyle w:val="Heading2"/>
      <w:lvlText w:val="%2."/>
      <w:lvlJc w:val="left"/>
      <w:pPr>
        <w:tabs>
          <w:tab w:val="num" w:pos="567"/>
        </w:tabs>
        <w:ind w:left="0" w:firstLine="0"/>
      </w:pPr>
      <w:rPr>
        <w:rFonts w:hint="default"/>
      </w:rPr>
    </w:lvl>
    <w:lvl w:ilvl="2">
      <w:start w:val="1"/>
      <w:numFmt w:val="decimal"/>
      <w:pStyle w:val="Heading3"/>
      <w:lvlText w:val="%2.%3."/>
      <w:lvlJc w:val="left"/>
      <w:pPr>
        <w:tabs>
          <w:tab w:val="num" w:pos="567"/>
        </w:tabs>
        <w:ind w:left="0" w:firstLine="0"/>
      </w:pPr>
      <w:rPr>
        <w:rFonts w:hint="default"/>
      </w:rPr>
    </w:lvl>
    <w:lvl w:ilvl="3">
      <w:start w:val="1"/>
      <w:numFmt w:val="decimal"/>
      <w:pStyle w:val="Heading4"/>
      <w:lvlText w:val="%2.%3.%4."/>
      <w:lvlJc w:val="left"/>
      <w:pPr>
        <w:tabs>
          <w:tab w:val="num" w:pos="567"/>
        </w:tabs>
        <w:ind w:left="0" w:firstLine="0"/>
      </w:pPr>
      <w:rPr>
        <w:rFonts w:hint="default"/>
      </w:rPr>
    </w:lvl>
    <w:lvl w:ilvl="4">
      <w:start w:val="1"/>
      <w:numFmt w:val="decimal"/>
      <w:pStyle w:val="Heading5"/>
      <w:lvlText w:val="%2.%3.%4.%5."/>
      <w:lvlJc w:val="left"/>
      <w:pPr>
        <w:tabs>
          <w:tab w:val="num" w:pos="567"/>
        </w:tabs>
        <w:ind w:left="0"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8" w15:restartNumberingAfterBreak="0">
    <w:nsid w:val="22640790"/>
    <w:multiLevelType w:val="hybridMultilevel"/>
    <w:tmpl w:val="A0E6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63103"/>
    <w:multiLevelType w:val="multilevel"/>
    <w:tmpl w:val="5DDA12F4"/>
    <w:styleLink w:val="NumberedSyz"/>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284"/>
        </w:tabs>
        <w:ind w:left="567" w:hanging="283"/>
      </w:pPr>
      <w:rPr>
        <w:rFonts w:hint="default"/>
      </w:rPr>
    </w:lvl>
    <w:lvl w:ilvl="2">
      <w:start w:val="1"/>
      <w:numFmt w:val="lowerRoman"/>
      <w:pStyle w:val="ListNumber3"/>
      <w:lvlText w:val="%3."/>
      <w:lvlJc w:val="left"/>
      <w:pPr>
        <w:tabs>
          <w:tab w:val="num" w:pos="284"/>
        </w:tabs>
        <w:ind w:left="851" w:hanging="284"/>
      </w:pPr>
      <w:rPr>
        <w:rFonts w:hint="default"/>
      </w:rPr>
    </w:lvl>
    <w:lvl w:ilvl="3">
      <w:start w:val="1"/>
      <w:numFmt w:val="none"/>
      <w:lvlText w:val=""/>
      <w:lvlJc w:val="left"/>
      <w:pPr>
        <w:tabs>
          <w:tab w:val="num" w:pos="284"/>
        </w:tabs>
        <w:ind w:left="851" w:hanging="284"/>
      </w:pPr>
      <w:rPr>
        <w:rFonts w:hint="default"/>
      </w:rPr>
    </w:lvl>
    <w:lvl w:ilvl="4">
      <w:start w:val="1"/>
      <w:numFmt w:val="none"/>
      <w:lvlText w:val=""/>
      <w:lvlJc w:val="left"/>
      <w:pPr>
        <w:tabs>
          <w:tab w:val="num" w:pos="284"/>
        </w:tabs>
        <w:ind w:left="851" w:hanging="284"/>
      </w:pPr>
      <w:rPr>
        <w:rFonts w:hint="default"/>
      </w:rPr>
    </w:lvl>
    <w:lvl w:ilvl="5">
      <w:start w:val="1"/>
      <w:numFmt w:val="none"/>
      <w:lvlText w:val=""/>
      <w:lvlJc w:val="left"/>
      <w:pPr>
        <w:tabs>
          <w:tab w:val="num" w:pos="284"/>
        </w:tabs>
        <w:ind w:left="851" w:hanging="284"/>
      </w:pPr>
      <w:rPr>
        <w:rFonts w:hint="default"/>
      </w:rPr>
    </w:lvl>
    <w:lvl w:ilvl="6">
      <w:start w:val="1"/>
      <w:numFmt w:val="none"/>
      <w:lvlText w:val=""/>
      <w:lvlJc w:val="left"/>
      <w:pPr>
        <w:tabs>
          <w:tab w:val="num" w:pos="284"/>
        </w:tabs>
        <w:ind w:left="851" w:hanging="284"/>
      </w:pPr>
      <w:rPr>
        <w:rFonts w:hint="default"/>
      </w:rPr>
    </w:lvl>
    <w:lvl w:ilvl="7">
      <w:start w:val="1"/>
      <w:numFmt w:val="none"/>
      <w:lvlText w:val=""/>
      <w:lvlJc w:val="left"/>
      <w:pPr>
        <w:tabs>
          <w:tab w:val="num" w:pos="284"/>
        </w:tabs>
        <w:ind w:left="851" w:hanging="284"/>
      </w:pPr>
      <w:rPr>
        <w:rFonts w:hint="default"/>
      </w:rPr>
    </w:lvl>
    <w:lvl w:ilvl="8">
      <w:start w:val="1"/>
      <w:numFmt w:val="none"/>
      <w:lvlText w:val=""/>
      <w:lvlJc w:val="left"/>
      <w:pPr>
        <w:tabs>
          <w:tab w:val="num" w:pos="284"/>
        </w:tabs>
        <w:ind w:left="851" w:hanging="284"/>
      </w:pPr>
      <w:rPr>
        <w:rFonts w:hint="default"/>
      </w:rPr>
    </w:lvl>
  </w:abstractNum>
  <w:abstractNum w:abstractNumId="10" w15:restartNumberingAfterBreak="0">
    <w:nsid w:val="30B66453"/>
    <w:multiLevelType w:val="multilevel"/>
    <w:tmpl w:val="25407AF0"/>
    <w:numStyleLink w:val="BulletSyz"/>
  </w:abstractNum>
  <w:abstractNum w:abstractNumId="11" w15:restartNumberingAfterBreak="0">
    <w:nsid w:val="4AF00B82"/>
    <w:multiLevelType w:val="multilevel"/>
    <w:tmpl w:val="25407AF0"/>
    <w:styleLink w:val="BulletSyz"/>
    <w:lvl w:ilvl="0">
      <w:start w:val="1"/>
      <w:numFmt w:val="bullet"/>
      <w:pStyle w:val="ListBullet"/>
      <w:lvlText w:val="→"/>
      <w:lvlJc w:val="left"/>
      <w:pPr>
        <w:tabs>
          <w:tab w:val="num" w:pos="284"/>
        </w:tabs>
        <w:ind w:left="284" w:hanging="284"/>
      </w:pPr>
      <w:rPr>
        <w:rFonts w:ascii="Times New Roman" w:hAnsi="Times New Roman" w:cs="Times New Roman" w:hint="default"/>
        <w:color w:val="FFC000"/>
      </w:rPr>
    </w:lvl>
    <w:lvl w:ilvl="1">
      <w:start w:val="1"/>
      <w:numFmt w:val="bullet"/>
      <w:pStyle w:val="ListBullet2"/>
      <w:lvlText w:val="•"/>
      <w:lvlJc w:val="left"/>
      <w:pPr>
        <w:tabs>
          <w:tab w:val="num" w:pos="567"/>
        </w:tabs>
        <w:ind w:left="567" w:hanging="283"/>
      </w:pPr>
      <w:rPr>
        <w:rFonts w:ascii="Nunito Sans" w:hAnsi="Nunito Sans" w:hint="default"/>
      </w:rPr>
    </w:lvl>
    <w:lvl w:ilvl="2">
      <w:start w:val="1"/>
      <w:numFmt w:val="bullet"/>
      <w:pStyle w:val="ListBullet3"/>
      <w:lvlText w:val="­"/>
      <w:lvlJc w:val="left"/>
      <w:pPr>
        <w:tabs>
          <w:tab w:val="num" w:pos="284"/>
        </w:tabs>
        <w:ind w:left="851" w:hanging="284"/>
      </w:pPr>
      <w:rPr>
        <w:rFonts w:ascii="Courier New" w:hAnsi="Courier New" w:hint="default"/>
      </w:rPr>
    </w:lvl>
    <w:lvl w:ilvl="3">
      <w:start w:val="1"/>
      <w:numFmt w:val="bullet"/>
      <w:lvlText w:val="­"/>
      <w:lvlJc w:val="left"/>
      <w:pPr>
        <w:tabs>
          <w:tab w:val="num" w:pos="284"/>
        </w:tabs>
        <w:ind w:left="851" w:hanging="284"/>
      </w:pPr>
      <w:rPr>
        <w:rFonts w:ascii="Courier New" w:hAnsi="Courier New" w:hint="default"/>
      </w:rPr>
    </w:lvl>
    <w:lvl w:ilvl="4">
      <w:start w:val="1"/>
      <w:numFmt w:val="bullet"/>
      <w:lvlText w:val="­"/>
      <w:lvlJc w:val="left"/>
      <w:pPr>
        <w:tabs>
          <w:tab w:val="num" w:pos="284"/>
        </w:tabs>
        <w:ind w:left="851" w:hanging="284"/>
      </w:pPr>
      <w:rPr>
        <w:rFonts w:ascii="Courier New" w:hAnsi="Courier New" w:hint="default"/>
      </w:rPr>
    </w:lvl>
    <w:lvl w:ilvl="5">
      <w:start w:val="1"/>
      <w:numFmt w:val="bullet"/>
      <w:lvlText w:val="­"/>
      <w:lvlJc w:val="left"/>
      <w:pPr>
        <w:tabs>
          <w:tab w:val="num" w:pos="284"/>
        </w:tabs>
        <w:ind w:left="851" w:hanging="284"/>
      </w:pPr>
      <w:rPr>
        <w:rFonts w:ascii="Courier New" w:hAnsi="Courier New" w:hint="default"/>
      </w:rPr>
    </w:lvl>
    <w:lvl w:ilvl="6">
      <w:start w:val="1"/>
      <w:numFmt w:val="bullet"/>
      <w:lvlText w:val="­"/>
      <w:lvlJc w:val="left"/>
      <w:pPr>
        <w:tabs>
          <w:tab w:val="num" w:pos="284"/>
        </w:tabs>
        <w:ind w:left="851" w:hanging="284"/>
      </w:pPr>
      <w:rPr>
        <w:rFonts w:ascii="Courier New" w:hAnsi="Courier New" w:hint="default"/>
      </w:rPr>
    </w:lvl>
    <w:lvl w:ilvl="7">
      <w:start w:val="1"/>
      <w:numFmt w:val="bullet"/>
      <w:lvlText w:val="­"/>
      <w:lvlJc w:val="left"/>
      <w:pPr>
        <w:tabs>
          <w:tab w:val="num" w:pos="284"/>
        </w:tabs>
        <w:ind w:left="851" w:hanging="284"/>
      </w:pPr>
      <w:rPr>
        <w:rFonts w:ascii="Courier New" w:hAnsi="Courier New" w:hint="default"/>
      </w:rPr>
    </w:lvl>
    <w:lvl w:ilvl="8">
      <w:start w:val="1"/>
      <w:numFmt w:val="bullet"/>
      <w:lvlText w:val="­"/>
      <w:lvlJc w:val="left"/>
      <w:pPr>
        <w:tabs>
          <w:tab w:val="num" w:pos="284"/>
        </w:tabs>
        <w:ind w:left="851" w:hanging="284"/>
      </w:pPr>
      <w:rPr>
        <w:rFonts w:ascii="Courier New" w:hAnsi="Courier New" w:hint="default"/>
      </w:rPr>
    </w:lvl>
  </w:abstractNum>
  <w:abstractNum w:abstractNumId="12" w15:restartNumberingAfterBreak="0">
    <w:nsid w:val="51D76868"/>
    <w:multiLevelType w:val="multilevel"/>
    <w:tmpl w:val="1D84AC12"/>
    <w:numStyleLink w:val="TOCSyz"/>
  </w:abstractNum>
  <w:abstractNum w:abstractNumId="13" w15:restartNumberingAfterBreak="0">
    <w:nsid w:val="530A633E"/>
    <w:multiLevelType w:val="multilevel"/>
    <w:tmpl w:val="1D84AC12"/>
    <w:numStyleLink w:val="TOCSyz"/>
  </w:abstractNum>
  <w:abstractNum w:abstractNumId="14" w15:restartNumberingAfterBreak="0">
    <w:nsid w:val="624F2B4B"/>
    <w:multiLevelType w:val="multilevel"/>
    <w:tmpl w:val="1D84AC12"/>
    <w:numStyleLink w:val="TOCSyz"/>
  </w:abstractNum>
  <w:abstractNum w:abstractNumId="15" w15:restartNumberingAfterBreak="0">
    <w:nsid w:val="67CC38A4"/>
    <w:multiLevelType w:val="multilevel"/>
    <w:tmpl w:val="1D84AC12"/>
    <w:numStyleLink w:val="TOCSyz"/>
  </w:abstractNum>
  <w:abstractNum w:abstractNumId="16" w15:restartNumberingAfterBreak="0">
    <w:nsid w:val="767D7990"/>
    <w:multiLevelType w:val="multilevel"/>
    <w:tmpl w:val="25407AF0"/>
    <w:numStyleLink w:val="BulletSyz"/>
  </w:abstractNum>
  <w:num w:numId="1" w16cid:durableId="670134189">
    <w:abstractNumId w:val="5"/>
  </w:num>
  <w:num w:numId="2" w16cid:durableId="1257251069">
    <w:abstractNumId w:val="3"/>
  </w:num>
  <w:num w:numId="3" w16cid:durableId="1668243895">
    <w:abstractNumId w:val="2"/>
  </w:num>
  <w:num w:numId="4" w16cid:durableId="423889286">
    <w:abstractNumId w:val="4"/>
  </w:num>
  <w:num w:numId="5" w16cid:durableId="1020424888">
    <w:abstractNumId w:val="1"/>
  </w:num>
  <w:num w:numId="6" w16cid:durableId="776146634">
    <w:abstractNumId w:val="0"/>
  </w:num>
  <w:num w:numId="7" w16cid:durableId="535192521">
    <w:abstractNumId w:val="7"/>
  </w:num>
  <w:num w:numId="8" w16cid:durableId="1004824677">
    <w:abstractNumId w:val="12"/>
  </w:num>
  <w:num w:numId="9" w16cid:durableId="618730621">
    <w:abstractNumId w:val="15"/>
  </w:num>
  <w:num w:numId="10" w16cid:durableId="451484993">
    <w:abstractNumId w:val="14"/>
  </w:num>
  <w:num w:numId="11" w16cid:durableId="256404981">
    <w:abstractNumId w:val="11"/>
  </w:num>
  <w:num w:numId="12" w16cid:durableId="1516961829">
    <w:abstractNumId w:val="10"/>
  </w:num>
  <w:num w:numId="13" w16cid:durableId="286014430">
    <w:abstractNumId w:val="9"/>
  </w:num>
  <w:num w:numId="14" w16cid:durableId="1340736694">
    <w:abstractNumId w:val="6"/>
  </w:num>
  <w:num w:numId="15" w16cid:durableId="1619693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7218091">
    <w:abstractNumId w:val="14"/>
  </w:num>
  <w:num w:numId="17" w16cid:durableId="1324044082">
    <w:abstractNumId w:val="8"/>
  </w:num>
  <w:num w:numId="18" w16cid:durableId="1176850100">
    <w:abstractNumId w:val="11"/>
  </w:num>
  <w:num w:numId="19" w16cid:durableId="1786851725">
    <w:abstractNumId w:val="7"/>
  </w:num>
  <w:num w:numId="20" w16cid:durableId="1127240309">
    <w:abstractNumId w:val="9"/>
  </w:num>
  <w:num w:numId="21" w16cid:durableId="1407147384">
    <w:abstractNumId w:val="9"/>
  </w:num>
  <w:num w:numId="22" w16cid:durableId="1942882215">
    <w:abstractNumId w:val="9"/>
  </w:num>
  <w:num w:numId="23" w16cid:durableId="124273966">
    <w:abstractNumId w:val="16"/>
  </w:num>
  <w:num w:numId="24" w16cid:durableId="655960884">
    <w:abstractNumId w:val="16"/>
  </w:num>
  <w:num w:numId="25" w16cid:durableId="1220701573">
    <w:abstractNumId w:val="16"/>
  </w:num>
  <w:num w:numId="26" w16cid:durableId="526988341">
    <w:abstractNumId w:val="9"/>
  </w:num>
  <w:num w:numId="27" w16cid:durableId="555511280">
    <w:abstractNumId w:val="7"/>
  </w:num>
  <w:num w:numId="28" w16cid:durableId="261034063">
    <w:abstractNumId w:val="7"/>
  </w:num>
  <w:num w:numId="29" w16cid:durableId="1605916823">
    <w:abstractNumId w:val="7"/>
  </w:num>
  <w:num w:numId="30" w16cid:durableId="863983911">
    <w:abstractNumId w:val="7"/>
  </w:num>
  <w:num w:numId="31" w16cid:durableId="1349021860">
    <w:abstractNumId w:val="7"/>
  </w:num>
  <w:num w:numId="32" w16cid:durableId="1649355192">
    <w:abstractNumId w:val="13"/>
  </w:num>
  <w:num w:numId="33" w16cid:durableId="1282491307">
    <w:abstractNumId w:val="13"/>
  </w:num>
  <w:num w:numId="34" w16cid:durableId="1669479060">
    <w:abstractNumId w:val="13"/>
  </w:num>
  <w:num w:numId="35" w16cid:durableId="486820934">
    <w:abstractNumId w:val="13"/>
  </w:num>
  <w:num w:numId="36" w16cid:durableId="1963998072">
    <w:abstractNumId w:val="13"/>
  </w:num>
  <w:num w:numId="37" w16cid:durableId="1966350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36F"/>
    <w:rsid w:val="00005069"/>
    <w:rsid w:val="000B09C4"/>
    <w:rsid w:val="001129C4"/>
    <w:rsid w:val="00113774"/>
    <w:rsid w:val="00120C94"/>
    <w:rsid w:val="00192124"/>
    <w:rsid w:val="001C4809"/>
    <w:rsid w:val="001C5C71"/>
    <w:rsid w:val="001E131E"/>
    <w:rsid w:val="00202C42"/>
    <w:rsid w:val="00204AFC"/>
    <w:rsid w:val="00204DB5"/>
    <w:rsid w:val="00206852"/>
    <w:rsid w:val="00216E78"/>
    <w:rsid w:val="00220318"/>
    <w:rsid w:val="00246251"/>
    <w:rsid w:val="002A77D1"/>
    <w:rsid w:val="002B0BC9"/>
    <w:rsid w:val="002B3F9B"/>
    <w:rsid w:val="002B57AF"/>
    <w:rsid w:val="0033391D"/>
    <w:rsid w:val="00336033"/>
    <w:rsid w:val="00382AB2"/>
    <w:rsid w:val="003B0D13"/>
    <w:rsid w:val="003D61F6"/>
    <w:rsid w:val="003F6EFA"/>
    <w:rsid w:val="00436995"/>
    <w:rsid w:val="00447223"/>
    <w:rsid w:val="00477C0A"/>
    <w:rsid w:val="004F2BE3"/>
    <w:rsid w:val="005940F0"/>
    <w:rsid w:val="005D788A"/>
    <w:rsid w:val="005E25AF"/>
    <w:rsid w:val="005E36FB"/>
    <w:rsid w:val="00613421"/>
    <w:rsid w:val="00614274"/>
    <w:rsid w:val="00623456"/>
    <w:rsid w:val="00627B5A"/>
    <w:rsid w:val="006300FE"/>
    <w:rsid w:val="006302CC"/>
    <w:rsid w:val="00640676"/>
    <w:rsid w:val="0065005C"/>
    <w:rsid w:val="0065442A"/>
    <w:rsid w:val="00657C53"/>
    <w:rsid w:val="0066596E"/>
    <w:rsid w:val="006B2AC6"/>
    <w:rsid w:val="006F040D"/>
    <w:rsid w:val="00711AEC"/>
    <w:rsid w:val="0075292A"/>
    <w:rsid w:val="007805DD"/>
    <w:rsid w:val="0078447E"/>
    <w:rsid w:val="00790C9D"/>
    <w:rsid w:val="007A2892"/>
    <w:rsid w:val="007C073A"/>
    <w:rsid w:val="007D0053"/>
    <w:rsid w:val="007E11D7"/>
    <w:rsid w:val="008140FC"/>
    <w:rsid w:val="00825F8A"/>
    <w:rsid w:val="008315B8"/>
    <w:rsid w:val="00837F62"/>
    <w:rsid w:val="00862507"/>
    <w:rsid w:val="00887853"/>
    <w:rsid w:val="00887E16"/>
    <w:rsid w:val="008B1CF1"/>
    <w:rsid w:val="008B4FE6"/>
    <w:rsid w:val="008C4ADD"/>
    <w:rsid w:val="008D06D7"/>
    <w:rsid w:val="008E5205"/>
    <w:rsid w:val="008F1457"/>
    <w:rsid w:val="009014A3"/>
    <w:rsid w:val="0091493B"/>
    <w:rsid w:val="00915809"/>
    <w:rsid w:val="00925C3A"/>
    <w:rsid w:val="00932E79"/>
    <w:rsid w:val="0093404D"/>
    <w:rsid w:val="00967372"/>
    <w:rsid w:val="009705DE"/>
    <w:rsid w:val="00992153"/>
    <w:rsid w:val="009C0E1D"/>
    <w:rsid w:val="009E32FD"/>
    <w:rsid w:val="00A1136F"/>
    <w:rsid w:val="00A45D75"/>
    <w:rsid w:val="00A464E6"/>
    <w:rsid w:val="00A56492"/>
    <w:rsid w:val="00A612A7"/>
    <w:rsid w:val="00A64167"/>
    <w:rsid w:val="00AC17FC"/>
    <w:rsid w:val="00AE791F"/>
    <w:rsid w:val="00B2625F"/>
    <w:rsid w:val="00B31578"/>
    <w:rsid w:val="00B32335"/>
    <w:rsid w:val="00B34957"/>
    <w:rsid w:val="00B41799"/>
    <w:rsid w:val="00B4574D"/>
    <w:rsid w:val="00B97E32"/>
    <w:rsid w:val="00BD5535"/>
    <w:rsid w:val="00C01FBE"/>
    <w:rsid w:val="00C354CD"/>
    <w:rsid w:val="00C51EC2"/>
    <w:rsid w:val="00C66534"/>
    <w:rsid w:val="00C85671"/>
    <w:rsid w:val="00D21C1C"/>
    <w:rsid w:val="00DA62EC"/>
    <w:rsid w:val="00DA6EA3"/>
    <w:rsid w:val="00DB14BA"/>
    <w:rsid w:val="00DD69EB"/>
    <w:rsid w:val="00DF1EC0"/>
    <w:rsid w:val="00E10115"/>
    <w:rsid w:val="00E91007"/>
    <w:rsid w:val="00EC1469"/>
    <w:rsid w:val="00ED3D33"/>
    <w:rsid w:val="00F02B8E"/>
    <w:rsid w:val="00F125E4"/>
    <w:rsid w:val="00F177D4"/>
    <w:rsid w:val="00F6083A"/>
    <w:rsid w:val="00F96FA4"/>
    <w:rsid w:val="00FA780E"/>
    <w:rsid w:val="00FC4759"/>
    <w:rsid w:val="00FD727A"/>
    <w:rsid w:val="00FE1E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AB7267"/>
  <w15:chartTrackingRefBased/>
  <w15:docId w15:val="{E921F400-E505-4941-BCE8-83F3BC16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5" w:unhideWhenUsed="1" w:qFormat="1"/>
    <w:lsdException w:name="heading 4" w:uiPriority="5" w:qFormat="1"/>
    <w:lsdException w:name="heading 5" w:uiPriority="5" w:qFormat="1"/>
    <w:lsdException w:name="heading 6" w:semiHidden="1" w:uiPriority="3" w:qFormat="1"/>
    <w:lsdException w:name="heading 7" w:semiHidden="1" w:uiPriority="3" w:qFormat="1"/>
    <w:lsdException w:name="heading 8" w:semiHidden="1" w:uiPriority="3" w:qFormat="1"/>
    <w:lsdException w:name="heading 9" w:semiHidden="1"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uiPriority="3"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3"/>
    <w:lsdException w:name="List Bullet 3" w:uiPriority="3"/>
    <w:lsdException w:name="List Bullet 4" w:semiHidden="1"/>
    <w:lsdException w:name="List Bullet 5"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4"/>
    <w:pPr>
      <w:spacing w:after="0" w:line="240" w:lineRule="auto"/>
      <w:jc w:val="both"/>
    </w:pPr>
    <w:rPr>
      <w:sz w:val="18"/>
    </w:rPr>
  </w:style>
  <w:style w:type="paragraph" w:styleId="Heading1">
    <w:name w:val="heading 1"/>
    <w:basedOn w:val="Normal"/>
    <w:next w:val="Normal"/>
    <w:link w:val="Heading1Char"/>
    <w:uiPriority w:val="5"/>
    <w:qFormat/>
    <w:rsid w:val="00915809"/>
    <w:pPr>
      <w:keepNext/>
      <w:keepLines/>
      <w:numPr>
        <w:numId w:val="37"/>
      </w:numPr>
      <w:spacing w:after="120"/>
      <w:jc w:val="left"/>
      <w:outlineLvl w:val="0"/>
    </w:pPr>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paragraph" w:styleId="Heading2">
    <w:name w:val="heading 2"/>
    <w:basedOn w:val="Normal"/>
    <w:next w:val="Normal"/>
    <w:link w:val="Heading2Char"/>
    <w:uiPriority w:val="5"/>
    <w:qFormat/>
    <w:rsid w:val="00915809"/>
    <w:pPr>
      <w:keepNext/>
      <w:keepLines/>
      <w:numPr>
        <w:ilvl w:val="1"/>
        <w:numId w:val="37"/>
      </w:numPr>
      <w:spacing w:before="40" w:after="120"/>
      <w:outlineLvl w:val="1"/>
    </w:pPr>
    <w:rPr>
      <w:rFonts w:asciiTheme="majorHAnsi" w:eastAsiaTheme="majorEastAsia" w:hAnsiTheme="majorHAnsi" w:cstheme="majorBidi"/>
      <w:color w:val="202945" w:themeColor="text2"/>
      <w:sz w:val="21"/>
      <w:szCs w:val="26"/>
    </w:rPr>
  </w:style>
  <w:style w:type="paragraph" w:styleId="Heading3">
    <w:name w:val="heading 3"/>
    <w:basedOn w:val="Normal"/>
    <w:next w:val="Normal"/>
    <w:link w:val="Heading3Char"/>
    <w:uiPriority w:val="5"/>
    <w:qFormat/>
    <w:rsid w:val="00915809"/>
    <w:pPr>
      <w:keepNext/>
      <w:keepLines/>
      <w:numPr>
        <w:ilvl w:val="2"/>
        <w:numId w:val="37"/>
      </w:numPr>
      <w:spacing w:before="40" w:after="120"/>
      <w:outlineLvl w:val="2"/>
    </w:pPr>
    <w:rPr>
      <w:rFonts w:asciiTheme="majorHAnsi" w:eastAsiaTheme="majorEastAsia" w:hAnsiTheme="majorHAnsi" w:cstheme="majorBidi"/>
      <w:color w:val="79D6FF" w:themeColor="accent1"/>
      <w:szCs w:val="24"/>
    </w:rPr>
  </w:style>
  <w:style w:type="paragraph" w:styleId="Heading4">
    <w:name w:val="heading 4"/>
    <w:basedOn w:val="Normal"/>
    <w:next w:val="Normal"/>
    <w:link w:val="Heading4Char"/>
    <w:uiPriority w:val="5"/>
    <w:qFormat/>
    <w:rsid w:val="00915809"/>
    <w:pPr>
      <w:keepNext/>
      <w:keepLines/>
      <w:numPr>
        <w:ilvl w:val="3"/>
        <w:numId w:val="37"/>
      </w:numPr>
      <w:spacing w:before="40" w:after="120"/>
      <w:outlineLvl w:val="3"/>
    </w:pPr>
    <w:rPr>
      <w:rFonts w:asciiTheme="majorHAnsi" w:eastAsiaTheme="majorEastAsia" w:hAnsiTheme="majorHAnsi" w:cstheme="majorBidi"/>
      <w:iCs/>
      <w:color w:val="79D6FF" w:themeColor="accent1"/>
    </w:rPr>
  </w:style>
  <w:style w:type="paragraph" w:styleId="Heading5">
    <w:name w:val="heading 5"/>
    <w:basedOn w:val="Normal"/>
    <w:next w:val="Normal"/>
    <w:link w:val="Heading5Char"/>
    <w:uiPriority w:val="5"/>
    <w:rsid w:val="00915809"/>
    <w:pPr>
      <w:keepNext/>
      <w:keepLines/>
      <w:numPr>
        <w:ilvl w:val="4"/>
        <w:numId w:val="37"/>
      </w:numPr>
      <w:spacing w:before="40" w:after="60"/>
      <w:outlineLvl w:val="4"/>
    </w:pPr>
    <w:rPr>
      <w:rFonts w:asciiTheme="majorHAnsi" w:eastAsiaTheme="majorEastAsia" w:hAnsiTheme="majorHAnsi" w:cstheme="majorBidi"/>
      <w:color w:val="79D6FF" w:themeColor="accent1"/>
    </w:rPr>
  </w:style>
  <w:style w:type="paragraph" w:styleId="Heading6">
    <w:name w:val="heading 6"/>
    <w:basedOn w:val="Normal"/>
    <w:next w:val="Normal"/>
    <w:link w:val="Heading6Char"/>
    <w:uiPriority w:val="3"/>
    <w:semiHidden/>
    <w:qFormat/>
    <w:rsid w:val="00A113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3"/>
    <w:semiHidden/>
    <w:qFormat/>
    <w:rsid w:val="00A113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3"/>
    <w:semiHidden/>
    <w:qFormat/>
    <w:rsid w:val="00A113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3"/>
    <w:semiHidden/>
    <w:qFormat/>
    <w:rsid w:val="00A113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1D7"/>
    <w:pPr>
      <w:tabs>
        <w:tab w:val="center" w:pos="4680"/>
        <w:tab w:val="right" w:pos="9360"/>
      </w:tabs>
    </w:pPr>
    <w:rPr>
      <w:rFonts w:ascii="Nunito Sans ExtraBold" w:hAnsi="Nunito Sans ExtraBold"/>
      <w:color w:val="FF6C0E" w:themeColor="accent4"/>
      <w:sz w:val="24"/>
    </w:rPr>
  </w:style>
  <w:style w:type="character" w:customStyle="1" w:styleId="HeaderChar">
    <w:name w:val="Header Char"/>
    <w:basedOn w:val="DefaultParagraphFont"/>
    <w:link w:val="Header"/>
    <w:uiPriority w:val="99"/>
    <w:rsid w:val="007E11D7"/>
    <w:rPr>
      <w:rFonts w:ascii="Nunito Sans ExtraBold" w:hAnsi="Nunito Sans ExtraBold"/>
      <w:color w:val="FF6C0E" w:themeColor="accent4"/>
      <w:sz w:val="24"/>
    </w:rPr>
  </w:style>
  <w:style w:type="paragraph" w:styleId="Footer">
    <w:name w:val="footer"/>
    <w:basedOn w:val="Normal"/>
    <w:link w:val="FooterChar"/>
    <w:uiPriority w:val="99"/>
    <w:unhideWhenUsed/>
    <w:rsid w:val="007E11D7"/>
    <w:pPr>
      <w:tabs>
        <w:tab w:val="center" w:pos="4680"/>
        <w:tab w:val="right" w:pos="9360"/>
      </w:tabs>
    </w:pPr>
    <w:rPr>
      <w:sz w:val="16"/>
    </w:rPr>
  </w:style>
  <w:style w:type="character" w:customStyle="1" w:styleId="FooterChar">
    <w:name w:val="Footer Char"/>
    <w:basedOn w:val="DefaultParagraphFont"/>
    <w:link w:val="Footer"/>
    <w:uiPriority w:val="99"/>
    <w:rsid w:val="007E11D7"/>
    <w:rPr>
      <w:sz w:val="16"/>
    </w:rPr>
  </w:style>
  <w:style w:type="paragraph" w:styleId="Title">
    <w:name w:val="Title"/>
    <w:basedOn w:val="Normal"/>
    <w:next w:val="Normal"/>
    <w:link w:val="TitleChar"/>
    <w:uiPriority w:val="99"/>
    <w:qFormat/>
    <w:rsid w:val="007E11D7"/>
    <w:pPr>
      <w:contextualSpacing/>
    </w:pPr>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customStyle="1" w:styleId="TitleChar">
    <w:name w:val="Title Char"/>
    <w:basedOn w:val="DefaultParagraphFont"/>
    <w:link w:val="Title"/>
    <w:uiPriority w:val="99"/>
    <w:rsid w:val="007E11D7"/>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styleId="PlaceholderText">
    <w:name w:val="Placeholder Text"/>
    <w:basedOn w:val="DefaultParagraphFont"/>
    <w:uiPriority w:val="99"/>
    <w:semiHidden/>
    <w:rsid w:val="007E11D7"/>
    <w:rPr>
      <w:color w:val="808080"/>
    </w:rPr>
  </w:style>
  <w:style w:type="paragraph" w:styleId="Subtitle">
    <w:name w:val="Subtitle"/>
    <w:basedOn w:val="Normal"/>
    <w:next w:val="Normal"/>
    <w:link w:val="SubtitleChar"/>
    <w:uiPriority w:val="99"/>
    <w:rsid w:val="007E11D7"/>
    <w:pPr>
      <w:numPr>
        <w:ilvl w:val="1"/>
      </w:numPr>
    </w:pPr>
    <w:rPr>
      <w:color w:val="000000" w:themeColor="text1"/>
      <w:sz w:val="21"/>
    </w:rPr>
  </w:style>
  <w:style w:type="character" w:customStyle="1" w:styleId="SubtitleChar">
    <w:name w:val="Subtitle Char"/>
    <w:basedOn w:val="DefaultParagraphFont"/>
    <w:link w:val="Subtitle"/>
    <w:uiPriority w:val="99"/>
    <w:rsid w:val="007E11D7"/>
    <w:rPr>
      <w:rFonts w:eastAsiaTheme="minorEastAsia"/>
      <w:color w:val="000000" w:themeColor="text1"/>
      <w:sz w:val="21"/>
    </w:rPr>
  </w:style>
  <w:style w:type="character" w:styleId="Emphasis">
    <w:name w:val="Emphasis"/>
    <w:basedOn w:val="DefaultParagraphFont"/>
    <w:uiPriority w:val="20"/>
    <w:qFormat/>
    <w:rsid w:val="007E11D7"/>
    <w:rPr>
      <w:i/>
      <w:iCs/>
      <w:color w:val="000000" w:themeColor="text1"/>
      <w:sz w:val="24"/>
    </w:rPr>
  </w:style>
  <w:style w:type="character" w:customStyle="1" w:styleId="Heading1Char">
    <w:name w:val="Heading 1 Char"/>
    <w:basedOn w:val="DefaultParagraphFont"/>
    <w:link w:val="Heading1"/>
    <w:uiPriority w:val="5"/>
    <w:rsid w:val="00915809"/>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character" w:customStyle="1" w:styleId="Heading2Char">
    <w:name w:val="Heading 2 Char"/>
    <w:basedOn w:val="DefaultParagraphFont"/>
    <w:link w:val="Heading2"/>
    <w:uiPriority w:val="5"/>
    <w:rsid w:val="00915809"/>
    <w:rPr>
      <w:rFonts w:asciiTheme="majorHAnsi" w:eastAsiaTheme="majorEastAsia" w:hAnsiTheme="majorHAnsi" w:cstheme="majorBidi"/>
      <w:color w:val="202945" w:themeColor="text2"/>
      <w:sz w:val="21"/>
      <w:szCs w:val="26"/>
    </w:rPr>
  </w:style>
  <w:style w:type="character" w:customStyle="1" w:styleId="Heading3Char">
    <w:name w:val="Heading 3 Char"/>
    <w:basedOn w:val="DefaultParagraphFont"/>
    <w:link w:val="Heading3"/>
    <w:uiPriority w:val="5"/>
    <w:rsid w:val="00915809"/>
    <w:rPr>
      <w:rFonts w:asciiTheme="majorHAnsi" w:eastAsiaTheme="majorEastAsia" w:hAnsiTheme="majorHAnsi" w:cstheme="majorBidi"/>
      <w:color w:val="79D6FF" w:themeColor="accent1"/>
      <w:sz w:val="18"/>
      <w:szCs w:val="24"/>
    </w:rPr>
  </w:style>
  <w:style w:type="numbering" w:customStyle="1" w:styleId="TOCSyz">
    <w:name w:val="TOC_Syz"/>
    <w:uiPriority w:val="99"/>
    <w:rsid w:val="00915809"/>
    <w:pPr>
      <w:numPr>
        <w:numId w:val="7"/>
      </w:numPr>
    </w:pPr>
  </w:style>
  <w:style w:type="paragraph" w:styleId="TOC1">
    <w:name w:val="toc 1"/>
    <w:basedOn w:val="Normal"/>
    <w:next w:val="Normal"/>
    <w:autoRedefine/>
    <w:uiPriority w:val="39"/>
    <w:rsid w:val="007E11D7"/>
    <w:pPr>
      <w:pBdr>
        <w:top w:val="single" w:sz="4" w:space="2" w:color="auto"/>
      </w:pBdr>
      <w:tabs>
        <w:tab w:val="left" w:pos="660"/>
        <w:tab w:val="right" w:pos="9628"/>
      </w:tabs>
      <w:spacing w:before="240" w:after="240"/>
    </w:pPr>
    <w:rPr>
      <w:rFonts w:ascii="Nunito Sans SemiBold" w:hAnsi="Nunito Sans SemiBold"/>
      <w:caps/>
      <w:noProof/>
      <w:color w:val="202945" w:themeColor="text2"/>
      <w:sz w:val="21"/>
    </w:rPr>
  </w:style>
  <w:style w:type="character" w:customStyle="1" w:styleId="Heading4Char">
    <w:name w:val="Heading 4 Char"/>
    <w:basedOn w:val="DefaultParagraphFont"/>
    <w:link w:val="Heading4"/>
    <w:uiPriority w:val="5"/>
    <w:rsid w:val="00915809"/>
    <w:rPr>
      <w:rFonts w:asciiTheme="majorHAnsi" w:eastAsiaTheme="majorEastAsia" w:hAnsiTheme="majorHAnsi" w:cstheme="majorBidi"/>
      <w:iCs/>
      <w:color w:val="79D6FF" w:themeColor="accent1"/>
      <w:sz w:val="18"/>
    </w:rPr>
  </w:style>
  <w:style w:type="character" w:customStyle="1" w:styleId="Heading5Char">
    <w:name w:val="Heading 5 Char"/>
    <w:basedOn w:val="DefaultParagraphFont"/>
    <w:link w:val="Heading5"/>
    <w:uiPriority w:val="5"/>
    <w:rsid w:val="00915809"/>
    <w:rPr>
      <w:rFonts w:asciiTheme="majorHAnsi" w:eastAsiaTheme="majorEastAsia" w:hAnsiTheme="majorHAnsi" w:cstheme="majorBidi"/>
      <w:color w:val="79D6FF" w:themeColor="accent1"/>
      <w:sz w:val="18"/>
    </w:rPr>
  </w:style>
  <w:style w:type="paragraph" w:styleId="TOC2">
    <w:name w:val="toc 2"/>
    <w:basedOn w:val="Normal"/>
    <w:next w:val="Normal"/>
    <w:autoRedefine/>
    <w:uiPriority w:val="39"/>
    <w:rsid w:val="007E11D7"/>
    <w:pPr>
      <w:pBdr>
        <w:top w:val="dashSmallGap" w:sz="4" w:space="2" w:color="000000" w:themeColor="text1"/>
      </w:pBdr>
      <w:spacing w:after="100"/>
    </w:pPr>
    <w:rPr>
      <w:caps/>
      <w:color w:val="202945" w:themeColor="text2"/>
    </w:rPr>
  </w:style>
  <w:style w:type="paragraph" w:styleId="TOC3">
    <w:name w:val="toc 3"/>
    <w:basedOn w:val="Normal"/>
    <w:next w:val="Normal"/>
    <w:autoRedefine/>
    <w:uiPriority w:val="39"/>
    <w:rsid w:val="007E11D7"/>
    <w:pPr>
      <w:spacing w:after="100"/>
    </w:pPr>
  </w:style>
  <w:style w:type="paragraph" w:styleId="TOCHeading">
    <w:name w:val="TOC Heading"/>
    <w:basedOn w:val="Heading1"/>
    <w:next w:val="Normal"/>
    <w:uiPriority w:val="39"/>
    <w:unhideWhenUsed/>
    <w:rsid w:val="007E11D7"/>
    <w:pPr>
      <w:numPr>
        <w:numId w:val="0"/>
      </w:numPr>
      <w:pBdr>
        <w:top w:val="single" w:sz="4" w:space="2" w:color="auto"/>
      </w:pBdr>
      <w:spacing w:before="240" w:line="259" w:lineRule="auto"/>
      <w:outlineLvl w:val="9"/>
    </w:pPr>
    <w:rPr>
      <w:rFonts w:ascii="Nunito Sans SemiBold" w:hAnsi="Nunito Sans SemiBold"/>
      <w:caps/>
      <w:color w:val="202945" w:themeColor="text2"/>
      <w:sz w:val="18"/>
      <w14:textFill>
        <w14:solidFill>
          <w14:schemeClr w14:val="tx2"/>
        </w14:solidFill>
      </w14:textFill>
    </w:rPr>
  </w:style>
  <w:style w:type="character" w:styleId="Hyperlink">
    <w:name w:val="Hyperlink"/>
    <w:basedOn w:val="DefaultParagraphFont"/>
    <w:uiPriority w:val="99"/>
    <w:unhideWhenUsed/>
    <w:rsid w:val="007E11D7"/>
    <w:rPr>
      <w:color w:val="E6A4AD" w:themeColor="hyperlink"/>
      <w:u w:val="single"/>
    </w:rPr>
  </w:style>
  <w:style w:type="table" w:styleId="TableGrid">
    <w:name w:val="Table Grid"/>
    <w:basedOn w:val="TableNormal"/>
    <w:uiPriority w:val="39"/>
    <w:rsid w:val="007E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
    <w:qFormat/>
    <w:rsid w:val="007E11D7"/>
    <w:pPr>
      <w:numPr>
        <w:numId w:val="25"/>
      </w:numPr>
      <w:contextualSpacing/>
    </w:pPr>
  </w:style>
  <w:style w:type="paragraph" w:styleId="ListBullet2">
    <w:name w:val="List Bullet 2"/>
    <w:basedOn w:val="Normal"/>
    <w:uiPriority w:val="3"/>
    <w:rsid w:val="007E11D7"/>
    <w:pPr>
      <w:numPr>
        <w:ilvl w:val="1"/>
        <w:numId w:val="25"/>
      </w:numPr>
      <w:contextualSpacing/>
    </w:pPr>
  </w:style>
  <w:style w:type="paragraph" w:styleId="ListBullet3">
    <w:name w:val="List Bullet 3"/>
    <w:basedOn w:val="Normal"/>
    <w:uiPriority w:val="3"/>
    <w:rsid w:val="007E11D7"/>
    <w:pPr>
      <w:numPr>
        <w:ilvl w:val="2"/>
        <w:numId w:val="25"/>
      </w:numPr>
      <w:contextualSpacing/>
    </w:pPr>
  </w:style>
  <w:style w:type="paragraph" w:styleId="ListNumber">
    <w:name w:val="List Number"/>
    <w:basedOn w:val="Normal"/>
    <w:uiPriority w:val="4"/>
    <w:qFormat/>
    <w:rsid w:val="007E11D7"/>
    <w:pPr>
      <w:numPr>
        <w:numId w:val="26"/>
      </w:numPr>
      <w:contextualSpacing/>
    </w:pPr>
  </w:style>
  <w:style w:type="paragraph" w:styleId="ListNumber2">
    <w:name w:val="List Number 2"/>
    <w:basedOn w:val="Normal"/>
    <w:uiPriority w:val="4"/>
    <w:rsid w:val="007E11D7"/>
    <w:pPr>
      <w:numPr>
        <w:ilvl w:val="1"/>
        <w:numId w:val="26"/>
      </w:numPr>
      <w:contextualSpacing/>
    </w:pPr>
  </w:style>
  <w:style w:type="paragraph" w:styleId="ListNumber3">
    <w:name w:val="List Number 3"/>
    <w:basedOn w:val="Normal"/>
    <w:uiPriority w:val="4"/>
    <w:rsid w:val="007E11D7"/>
    <w:pPr>
      <w:numPr>
        <w:ilvl w:val="2"/>
        <w:numId w:val="26"/>
      </w:numPr>
      <w:contextualSpacing/>
    </w:pPr>
  </w:style>
  <w:style w:type="numbering" w:customStyle="1" w:styleId="BulletSyz">
    <w:name w:val="Bullet_Syz"/>
    <w:uiPriority w:val="99"/>
    <w:rsid w:val="007E11D7"/>
    <w:pPr>
      <w:numPr>
        <w:numId w:val="11"/>
      </w:numPr>
    </w:pPr>
  </w:style>
  <w:style w:type="character" w:styleId="IntenseEmphasis">
    <w:name w:val="Intense Emphasis"/>
    <w:basedOn w:val="DefaultParagraphFont"/>
    <w:uiPriority w:val="21"/>
    <w:qFormat/>
    <w:rsid w:val="007E11D7"/>
    <w:rPr>
      <w:rFonts w:ascii="Nunito Sans SemiBold" w:hAnsi="Nunito Sans SemiBold"/>
      <w:i w:val="0"/>
      <w:iCs/>
      <w:color w:val="auto"/>
      <w:sz w:val="72"/>
      <w14:textFill>
        <w14:gradFill>
          <w14:gsLst>
            <w14:gs w14:pos="0">
              <w14:schemeClr w14:val="accent4"/>
            </w14:gs>
            <w14:gs w14:pos="100000">
              <w14:srgbClr w14:val="FFA400"/>
            </w14:gs>
          </w14:gsLst>
          <w14:lin w14:ang="2700000" w14:scaled="0"/>
        </w14:gradFill>
      </w14:textFill>
    </w:rPr>
  </w:style>
  <w:style w:type="numbering" w:customStyle="1" w:styleId="NumberedSyz">
    <w:name w:val="Numbered_Syz"/>
    <w:uiPriority w:val="99"/>
    <w:rsid w:val="007E11D7"/>
    <w:pPr>
      <w:numPr>
        <w:numId w:val="13"/>
      </w:numPr>
    </w:pPr>
  </w:style>
  <w:style w:type="character" w:styleId="Strong">
    <w:name w:val="Strong"/>
    <w:basedOn w:val="DefaultParagraphFont"/>
    <w:uiPriority w:val="2"/>
    <w:qFormat/>
    <w:rsid w:val="007E11D7"/>
    <w:rPr>
      <w:b/>
      <w:bCs/>
    </w:rPr>
  </w:style>
  <w:style w:type="paragraph" w:styleId="ListParagraph">
    <w:name w:val="List Paragraph"/>
    <w:basedOn w:val="Normal"/>
    <w:uiPriority w:val="34"/>
    <w:semiHidden/>
    <w:qFormat/>
    <w:rsid w:val="00202C42"/>
    <w:pPr>
      <w:ind w:left="720"/>
      <w:contextualSpacing/>
    </w:pPr>
  </w:style>
  <w:style w:type="character" w:customStyle="1" w:styleId="Heading6Char">
    <w:name w:val="Heading 6 Char"/>
    <w:basedOn w:val="DefaultParagraphFont"/>
    <w:link w:val="Heading6"/>
    <w:uiPriority w:val="3"/>
    <w:semiHidden/>
    <w:rsid w:val="00A1136F"/>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3"/>
    <w:semiHidden/>
    <w:rsid w:val="00A1136F"/>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3"/>
    <w:semiHidden/>
    <w:rsid w:val="00A1136F"/>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3"/>
    <w:semiHidden/>
    <w:rsid w:val="00A1136F"/>
    <w:rPr>
      <w:rFonts w:eastAsiaTheme="majorEastAsia" w:cstheme="majorBidi"/>
      <w:color w:val="272727" w:themeColor="text1" w:themeTint="D8"/>
      <w:sz w:val="18"/>
    </w:rPr>
  </w:style>
  <w:style w:type="paragraph" w:styleId="Quote">
    <w:name w:val="Quote"/>
    <w:basedOn w:val="Normal"/>
    <w:next w:val="Normal"/>
    <w:link w:val="QuoteChar"/>
    <w:uiPriority w:val="29"/>
    <w:semiHidden/>
    <w:qFormat/>
    <w:rsid w:val="00A1136F"/>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A1136F"/>
    <w:rPr>
      <w:i/>
      <w:iCs/>
      <w:color w:val="404040" w:themeColor="text1" w:themeTint="BF"/>
      <w:sz w:val="18"/>
    </w:rPr>
  </w:style>
  <w:style w:type="paragraph" w:styleId="IntenseQuote">
    <w:name w:val="Intense Quote"/>
    <w:basedOn w:val="Normal"/>
    <w:next w:val="Normal"/>
    <w:link w:val="IntenseQuoteChar"/>
    <w:uiPriority w:val="30"/>
    <w:semiHidden/>
    <w:qFormat/>
    <w:rsid w:val="00A1136F"/>
    <w:pPr>
      <w:pBdr>
        <w:top w:val="single" w:sz="4" w:space="10" w:color="1AB8FF" w:themeColor="accent1" w:themeShade="BF"/>
        <w:bottom w:val="single" w:sz="4" w:space="10" w:color="1AB8FF" w:themeColor="accent1" w:themeShade="BF"/>
      </w:pBdr>
      <w:spacing w:before="360" w:after="360"/>
      <w:ind w:left="864" w:right="864"/>
      <w:jc w:val="center"/>
    </w:pPr>
    <w:rPr>
      <w:i/>
      <w:iCs/>
      <w:color w:val="1AB8FF" w:themeColor="accent1" w:themeShade="BF"/>
    </w:rPr>
  </w:style>
  <w:style w:type="character" w:customStyle="1" w:styleId="IntenseQuoteChar">
    <w:name w:val="Intense Quote Char"/>
    <w:basedOn w:val="DefaultParagraphFont"/>
    <w:link w:val="IntenseQuote"/>
    <w:uiPriority w:val="30"/>
    <w:semiHidden/>
    <w:rsid w:val="00A1136F"/>
    <w:rPr>
      <w:i/>
      <w:iCs/>
      <w:color w:val="1AB8FF" w:themeColor="accent1" w:themeShade="BF"/>
      <w:sz w:val="18"/>
    </w:rPr>
  </w:style>
  <w:style w:type="character" w:styleId="IntenseReference">
    <w:name w:val="Intense Reference"/>
    <w:basedOn w:val="DefaultParagraphFont"/>
    <w:uiPriority w:val="32"/>
    <w:semiHidden/>
    <w:qFormat/>
    <w:rsid w:val="00A1136F"/>
    <w:rPr>
      <w:b/>
      <w:bCs/>
      <w:smallCaps/>
      <w:color w:val="1AB8F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SYZ">
  <a:themeElements>
    <a:clrScheme name="Syz 2024">
      <a:dk1>
        <a:srgbClr val="000000"/>
      </a:dk1>
      <a:lt1>
        <a:srgbClr val="FFFFFF"/>
      </a:lt1>
      <a:dk2>
        <a:srgbClr val="202945"/>
      </a:dk2>
      <a:lt2>
        <a:srgbClr val="FFC545"/>
      </a:lt2>
      <a:accent1>
        <a:srgbClr val="79D6FF"/>
      </a:accent1>
      <a:accent2>
        <a:srgbClr val="3BAF90"/>
      </a:accent2>
      <a:accent3>
        <a:srgbClr val="FFA400"/>
      </a:accent3>
      <a:accent4>
        <a:srgbClr val="FF6C0E"/>
      </a:accent4>
      <a:accent5>
        <a:srgbClr val="AC5D85"/>
      </a:accent5>
      <a:accent6>
        <a:srgbClr val="4B5F80"/>
      </a:accent6>
      <a:hlink>
        <a:srgbClr val="E6A4AD"/>
      </a:hlink>
      <a:folHlink>
        <a:srgbClr val="9DD9D2"/>
      </a:folHlink>
    </a:clrScheme>
    <a:fontScheme name="SYZ 2021">
      <a:majorFont>
        <a:latin typeface="Nunito Sans ExtraBold"/>
        <a:ea typeface=""/>
        <a:cs typeface=""/>
      </a:majorFont>
      <a:minorFont>
        <a:latin typeface="Nunito San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400"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vert="horz" wrap="square" lIns="0" tIns="0" rIns="0" bIns="0" rtlCol="0">
        <a:noAutofit/>
      </a:bodyPr>
      <a:lstStyle>
        <a:defPPr algn="l">
          <a:defRPr sz="1400" dirty="0" err="1" smtClean="0"/>
        </a:defPPr>
      </a:lstStyle>
    </a:txDef>
  </a:objectDefaults>
  <a:extraClrSchemeLst/>
  <a:custClrLst>
    <a:custClr name="Yellow">
      <a:srgbClr val="FFA400"/>
    </a:custClr>
    <a:custClr name="Grey Blue">
      <a:srgbClr val="4B5F80"/>
    </a:custClr>
    <a:custClr name="Light Orange">
      <a:srgbClr val="FF8300"/>
    </a:custClr>
    <a:custClr name="Red">
      <a:srgbClr val="EE3B2A"/>
    </a:custClr>
    <a:custClr name="Pink">
      <a:srgbClr val="EB3F8E"/>
    </a:custClr>
    <a:custClr name="Blue Violet">
      <a:srgbClr val="7C83C7"/>
    </a:custClr>
    <a:custClr name="Mint">
      <a:srgbClr val="00CEB0"/>
    </a:custClr>
    <a:custClr name="Gold">
      <a:srgbClr val="AA9561"/>
    </a:custClr>
  </a:custClrLst>
  <a:extLst>
    <a:ext uri="{05A4C25C-085E-4340-85A3-A5531E510DB2}">
      <thm15:themeFamily xmlns:thm15="http://schemas.microsoft.com/office/thememl/2012/main" name="SYZPrintEN.potx" id="{EE430BA9-556D-467B-961E-55B2AE9783C2}" vid="{DBD18493-7CD8-451D-9330-5D673754AB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78CE09F451044085BD20AE26165FED" ma:contentTypeVersion="12" ma:contentTypeDescription="Create a new document." ma:contentTypeScope="" ma:versionID="6d41ab264704158c264d05c82a953a67">
  <xsd:schema xmlns:xsd="http://www.w3.org/2001/XMLSchema" xmlns:xs="http://www.w3.org/2001/XMLSchema" xmlns:p="http://schemas.microsoft.com/office/2006/metadata/properties" xmlns:ns2="e5e58b11-f745-45e3-9bae-2ebf80225d14" xmlns:ns3="ad2e9ad2-38b0-4b2b-a771-3ca98dc4e31f" targetNamespace="http://schemas.microsoft.com/office/2006/metadata/properties" ma:root="true" ma:fieldsID="91d7ba420e008b6918d39fdfede3273a" ns2:_="" ns3:_="">
    <xsd:import namespace="e5e58b11-f745-45e3-9bae-2ebf80225d14"/>
    <xsd:import namespace="ad2e9ad2-38b0-4b2b-a771-3ca98dc4e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58b11-f745-45e3-9bae-2ebf80225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2e9ad2-38b0-4b2b-a771-3ca98dc4e3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34C74-EE0B-4222-9B5A-A8301E4D467B}">
  <ds:schemaRefs>
    <ds:schemaRef ds:uri="http://schemas.microsoft.com/sharepoint/v3/contenttype/forms"/>
  </ds:schemaRefs>
</ds:datastoreItem>
</file>

<file path=customXml/itemProps3.xml><?xml version="1.0" encoding="utf-8"?>
<ds:datastoreItem xmlns:ds="http://schemas.openxmlformats.org/officeDocument/2006/customXml" ds:itemID="{4D5AEBF6-094F-4912-AE7D-266EAC8F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58b11-f745-45e3-9bae-2ebf80225d14"/>
    <ds:schemaRef ds:uri="ad2e9ad2-38b0-4b2b-a771-3ca98dc4e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67D8CA-3641-4FEE-821E-FF5AD669A79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57C5C5D-CFDB-4F89-8942-AE631B6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Charles-Henry Monchau</dc:creator>
  <cp:keywords/>
  <dc:description/>
  <cp:lastModifiedBy>Charles-Henry Monchau</cp:lastModifiedBy>
  <cp:revision>8</cp:revision>
  <dcterms:created xsi:type="dcterms:W3CDTF">2026-10-15T19:23:00Z</dcterms:created>
  <dcterms:modified xsi:type="dcterms:W3CDTF">2026-10-15T19:49:00Z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5c314-1da2-4782-8a1f-782d8d951436_Enabled">
    <vt:lpwstr>true</vt:lpwstr>
  </property>
  <property fmtid="{D5CDD505-2E9C-101B-9397-08002B2CF9AE}" pid="3" name="MSIP_Label_e635c314-1da2-4782-8a1f-782d8d951436_SetDate">
    <vt:lpwstr>2026-10-15T19:38:05Z</vt:lpwstr>
  </property>
  <property fmtid="{D5CDD505-2E9C-101B-9397-08002B2CF9AE}" pid="4" name="MSIP_Label_e635c314-1da2-4782-8a1f-782d8d951436_Method">
    <vt:lpwstr>Standard</vt:lpwstr>
  </property>
  <property fmtid="{D5CDD505-2E9C-101B-9397-08002B2CF9AE}" pid="5" name="MSIP_Label_e635c314-1da2-4782-8a1f-782d8d951436_Name">
    <vt:lpwstr>C1-Internal</vt:lpwstr>
  </property>
  <property fmtid="{D5CDD505-2E9C-101B-9397-08002B2CF9AE}" pid="6" name="MSIP_Label_e635c314-1da2-4782-8a1f-782d8d951436_SiteId">
    <vt:lpwstr>00137d3d-3556-4d89-bdd6-8cf30cc386e2</vt:lpwstr>
  </property>
  <property fmtid="{D5CDD505-2E9C-101B-9397-08002B2CF9AE}" pid="7" name="MSIP_Label_e635c314-1da2-4782-8a1f-782d8d951436_ActionId">
    <vt:lpwstr>081fc3ef-2c88-400b-aa00-70e0511507f4</vt:lpwstr>
  </property>
  <property fmtid="{D5CDD505-2E9C-101B-9397-08002B2CF9AE}" pid="8" name="MSIP_Label_e635c314-1da2-4782-8a1f-782d8d951436_ContentBits">
    <vt:lpwstr>0</vt:lpwstr>
  </property>
  <property fmtid="{D5CDD505-2E9C-101B-9397-08002B2CF9AE}" pid="9" name="MSIP_Label_e635c314-1da2-4782-8a1f-782d8d951436_Tag">
    <vt:lpwstr>10, 3, 0, 1</vt:lpwstr>
  </property>
</Properties>
</file>