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E247" w14:textId="3154D24B" w:rsidR="006B2AC6" w:rsidRPr="000C53CA" w:rsidRDefault="00B7676F" w:rsidP="00B7676F">
      <w:pPr>
        <w:jc w:val="center"/>
        <w:rPr>
          <w:b/>
          <w:bCs/>
          <w:sz w:val="32"/>
          <w:szCs w:val="32"/>
        </w:rPr>
      </w:pPr>
      <w:r w:rsidRPr="000C53CA">
        <w:rPr>
          <w:b/>
          <w:bCs/>
          <w:sz w:val="32"/>
          <w:szCs w:val="32"/>
        </w:rPr>
        <w:t xml:space="preserve">La semaine en 7 graphiques</w:t>
      </w:r>
    </w:p>
    <w:p w14:paraId="1C90BB0D" w14:textId="77777777" w:rsidR="00B7676F" w:rsidRPr="00CA26E1" w:rsidRDefault="00B7676F" w:rsidP="00B7676F">
      <w:pPr>
        <w:jc w:val="center"/>
        <w:rPr>
          <w:b/>
          <w:bCs/>
          <w:sz w:val="24"/>
          <w:szCs w:val="24"/>
        </w:rPr>
      </w:pPr>
    </w:p>
    <w:p w14:paraId="6A632430" w14:textId="3C5EDDDB" w:rsidR="00B7676F" w:rsidRPr="00B7676F" w:rsidRDefault="00B7676F" w:rsidP="00B7676F">
      <w:pPr>
        <w:jc w:val="center"/>
        <w:rPr>
          <w:sz w:val="24"/>
          <w:szCs w:val="24"/>
        </w:rPr>
      </w:pPr>
      <w:r w:rsidRPr="00B7676F">
        <w:rPr>
          <w:sz w:val="24"/>
          <w:szCs w:val="24"/>
        </w:rPr>
        <w:t xml:space="preserve">12</w:t>
      </w:r>
      <w:r w:rsidRPr="00B7676F">
        <w:rPr>
          <w:sz w:val="24"/>
          <w:szCs w:val="24"/>
        </w:rPr>
        <w:t xml:space="preserve"> octobre 2026</w:t>
      </w:r>
    </w:p>
    <w:p w14:paraId="0191EB47" w14:textId="77777777" w:rsidR="00B7676F" w:rsidRPr="00B7676F" w:rsidRDefault="00B7676F" w:rsidP="00B7676F">
      <w:pPr>
        <w:jc w:val="center"/>
        <w:rPr>
          <w:sz w:val="24"/>
          <w:szCs w:val="24"/>
        </w:rPr>
      </w:pPr>
    </w:p>
    <w:p w14:paraId="34BA44AC" w14:textId="5C1111D2" w:rsidR="00B7676F" w:rsidRPr="00B7676F" w:rsidRDefault="00B7676F" w:rsidP="00F96FA4">
      <w:pPr>
        <w:rPr>
          <w:sz w:val="24"/>
          <w:szCs w:val="24"/>
        </w:rPr>
      </w:pPr>
      <w:r w:rsidRPr="00B7676F">
        <w:rPr>
          <w:sz w:val="24"/>
          <w:szCs w:val="24"/>
        </w:rPr>
        <w:t>----------------------------------------------------------------------------------------------</w:t>
      </w:r>
    </w:p>
    <w:p w14:paraId="57D98267" w14:textId="77777777" w:rsidR="00B7676F" w:rsidRPr="00B7676F" w:rsidRDefault="00B7676F" w:rsidP="00F96FA4">
      <w:pPr>
        <w:rPr>
          <w:sz w:val="24"/>
          <w:szCs w:val="24"/>
        </w:rPr>
      </w:pPr>
    </w:p>
    <w:p w14:paraId="0941764F" w14:textId="6AB094E6" w:rsidR="00B16197" w:rsidRPr="00B16197" w:rsidRDefault="00B16197" w:rsidP="00B16197">
      <w:pPr>
        <w:rPr>
          <w:b/>
          <w:bCs/>
          <w:sz w:val="24"/>
          <w:szCs w:val="24"/>
        </w:rPr>
      </w:pPr>
      <w:r w:rsidRPr="00B16197">
        <w:rPr>
          <w:b/>
          <w:bCs/>
          <w:sz w:val="24"/>
          <w:szCs w:val="24"/>
        </w:rPr>
        <w:t xml:space="preserve">Graphique #</w:t>
      </w:r>
      <w:r w:rsidR="00CD549D">
        <w:rPr>
          <w:b/>
          <w:bCs/>
          <w:sz w:val="24"/>
          <w:szCs w:val="24"/>
        </w:rPr>
        <w:t xml:space="preserve">1</w:t>
      </w:r>
      <w:r w:rsidRPr="00B16197">
        <w:rPr>
          <w:b/>
          <w:bCs/>
          <w:sz w:val="24"/>
          <w:szCs w:val="24"/>
        </w:rPr>
        <w:t xml:space="preserve"> : </w:t>
      </w:r>
      <w:r w:rsidRPr="00B16197">
        <w:rPr>
          <w:b/>
          <w:bCs/>
          <w:sz w:val="24"/>
          <w:szCs w:val="24"/>
        </w:rPr>
        <w:t xml:space="preserve">Ce marché haussier a presque quatre ans</w:t>
      </w:r>
    </w:p>
    <w:p w14:paraId="2F645CF0" w14:textId="77777777" w:rsidR="00B16197" w:rsidRPr="00B16197" w:rsidRDefault="00B16197" w:rsidP="00B16197">
      <w:pPr>
        <w:rPr>
          <w:sz w:val="24"/>
          <w:szCs w:val="24"/>
        </w:rPr>
      </w:pPr>
    </w:p>
    <w:p w14:paraId="384E2B6B" w14:textId="77777777" w:rsidR="00B16197" w:rsidRPr="00B16197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Sur les 50 dernières années, les cinq autres marchés haussiers ayant atteint cet âge ont tous duré au moins une année supplémentaire.</w:t>
      </w:r>
    </w:p>
    <w:p w14:paraId="29E4859C" w14:textId="77777777" w:rsidR="00B16197" w:rsidRPr="00B16197" w:rsidRDefault="00B16197" w:rsidP="00B16197">
      <w:pPr>
        <w:rPr>
          <w:sz w:val="24"/>
          <w:szCs w:val="24"/>
        </w:rPr>
      </w:pPr>
    </w:p>
    <w:p w14:paraId="3EE66E11" w14:textId="622C0974" w:rsidR="00B16197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En réalité, il est tout à fait possible que ce marché haussier se prolonge encore de nombreuses années.</w:t>
      </w:r>
    </w:p>
    <w:p w14:paraId="67878FC2" w14:textId="77777777" w:rsidR="00147A02" w:rsidRDefault="00147A02" w:rsidP="00B16197">
      <w:pPr>
        <w:rPr>
          <w:sz w:val="24"/>
          <w:szCs w:val="24"/>
        </w:rPr>
      </w:pPr>
    </w:p>
    <w:p w14:paraId="261630FB" w14:textId="4C11FEDA" w:rsidR="00B16197" w:rsidRDefault="00147A02" w:rsidP="00B1619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6AD778" wp14:editId="0A1333A5">
            <wp:extent cx="5440680" cy="4042426"/>
            <wp:effectExtent l="0" t="0" r="7620" b="0"/>
            <wp:docPr id="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12" cy="404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B57A" w14:textId="77777777" w:rsidR="00B16197" w:rsidRDefault="00B16197" w:rsidP="00B16197">
      <w:pPr>
        <w:rPr>
          <w:sz w:val="24"/>
          <w:szCs w:val="24"/>
        </w:rPr>
      </w:pPr>
    </w:p>
    <w:p w14:paraId="18DD9924" w14:textId="497C3EB3" w:rsidR="00CA26E1" w:rsidRDefault="00B16197" w:rsidP="00B16197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Source : Ryan Detrick</w:t>
      </w:r>
    </w:p>
    <w:p w14:paraId="6F1D85B6" w14:textId="77777777" w:rsidR="00CA26E1" w:rsidRDefault="00CA26E1" w:rsidP="00F96FA4">
      <w:pPr>
        <w:rPr>
          <w:sz w:val="24"/>
          <w:szCs w:val="24"/>
        </w:rPr>
      </w:pPr>
    </w:p>
    <w:p w14:paraId="5129CA39" w14:textId="77777777" w:rsidR="00527645" w:rsidRDefault="00527645" w:rsidP="00F96FA4">
      <w:pPr>
        <w:rPr>
          <w:sz w:val="24"/>
          <w:szCs w:val="24"/>
        </w:rPr>
      </w:pPr>
    </w:p>
    <w:p w14:paraId="07F9DD50" w14:textId="7C195024" w:rsidR="00527645" w:rsidRPr="00CD549D" w:rsidRDefault="00CA26E1" w:rsidP="00F96FA4">
      <w:pPr>
        <w:rPr>
          <w:b/>
          <w:bCs/>
          <w:sz w:val="24"/>
          <w:szCs w:val="24"/>
        </w:rPr>
      </w:pPr>
      <w:r w:rsidRPr="00CD549D">
        <w:rPr>
          <w:b/>
          <w:bCs/>
          <w:sz w:val="24"/>
          <w:szCs w:val="24"/>
        </w:rPr>
        <w:t xml:space="preserve">G</w:t>
      </w:r>
      <w:r w:rsidR="00527645" w:rsidRPr="00CD549D">
        <w:rPr>
          <w:b/>
          <w:bCs/>
          <w:sz w:val="24"/>
          <w:szCs w:val="24"/>
        </w:rPr>
        <w:t xml:space="preserve">raphique #</w:t>
      </w:r>
      <w:r w:rsidR="00CD549D">
        <w:rPr>
          <w:b/>
          <w:bCs/>
          <w:sz w:val="24"/>
          <w:szCs w:val="24"/>
        </w:rPr>
        <w:t xml:space="preserve">2</w:t>
      </w:r>
      <w:r w:rsidR="00527645" w:rsidRPr="00CD549D">
        <w:rPr>
          <w:b/>
          <w:bCs/>
          <w:sz w:val="24"/>
          <w:szCs w:val="24"/>
        </w:rPr>
        <w:t xml:space="preserve"> :</w:t>
      </w:r>
      <w:r w:rsidR="00CD549D" w:rsidRPr="00CD549D">
        <w:rPr>
          <w:b/>
          <w:bCs/>
          <w:sz w:val="24"/>
          <w:szCs w:val="24"/>
        </w:rPr>
        <w:t xml:space="preserve"> Les bénéfices portent le marché haussier du S&amp;P 500</w:t>
      </w:r>
    </w:p>
    <w:p w14:paraId="39662DC4" w14:textId="77777777" w:rsidR="00527645" w:rsidRDefault="00527645" w:rsidP="00F96FA4">
      <w:pPr>
        <w:rPr>
          <w:sz w:val="24"/>
          <w:szCs w:val="24"/>
        </w:rPr>
      </w:pPr>
    </w:p>
    <w:p w14:paraId="2CA3A852" w14:textId="77777777" w:rsidR="006847A0" w:rsidRDefault="00527645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="006847A0">
        <w:rPr>
          <w:rFonts w:ascii="Segoe UI" w:hAnsi="Segoe UI" w:cs="Segoe UI"/>
        </w:rPr>
        <w:t xml:space="preserve">Depuis 2019, le S&amp;P 500 a progressé de 168 %.</w:t>
      </w:r>
    </w:p>
    <w:p w14:paraId="1D7D1FCB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4396597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La croissance des bénéfices en explique 137 % et les dividendes 26 %.</w:t>
      </w:r>
    </w:p>
    <w:p w14:paraId="08FB5090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C4E5DB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L’expansion des multiples n’y a quasiment pas contribué (5 % tout au plus).</w:t>
      </w:r>
    </w:p>
    <w:p w14:paraId="556DC7D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F9849D6" w14:textId="77777777" w:rsidR="006847A0" w:rsidRDefault="006847A0" w:rsidP="006847A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On entend souvent dire que ce marché est « surévalué », mais vu sous cet angle, ce n’est manifestement pas le cas.</w:t>
      </w:r>
    </w:p>
    <w:p w14:paraId="37AAF478" w14:textId="40558290" w:rsidR="00CA26E1" w:rsidRPr="006847A0" w:rsidRDefault="00CA26E1" w:rsidP="00F96FA4">
      <w:pPr>
        <w:rPr>
          <w:sz w:val="24"/>
          <w:szCs w:val="24"/>
          <w:lang w:val="fr-FR"/>
        </w:rPr>
      </w:pPr>
    </w:p>
    <w:p w14:paraId="031A9CC1" w14:textId="77777777" w:rsidR="00CA26E1" w:rsidRDefault="00CA26E1" w:rsidP="00F96FA4">
      <w:pPr>
        <w:rPr>
          <w:sz w:val="24"/>
          <w:szCs w:val="24"/>
        </w:rPr>
      </w:pPr>
    </w:p>
    <w:p w14:paraId="07B29083" w14:textId="797D1B15" w:rsidR="006847A0" w:rsidRDefault="006847A0" w:rsidP="00F96F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84FC66" wp14:editId="3030B43E">
            <wp:extent cx="3974966" cy="4335780"/>
            <wp:effectExtent l="0" t="0" r="6985" b="7620"/>
            <wp:docPr id="6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ew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06" cy="433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74FA" w14:textId="77777777" w:rsidR="006847A0" w:rsidRDefault="006847A0" w:rsidP="00F96FA4">
      <w:pPr>
        <w:rPr>
          <w:sz w:val="24"/>
          <w:szCs w:val="24"/>
        </w:rPr>
      </w:pPr>
    </w:p>
    <w:p w14:paraId="3050D915" w14:textId="77777777" w:rsidR="00CD549D" w:rsidRDefault="00CD549D" w:rsidP="00CD549D">
      <w:pPr>
        <w:rPr>
          <w:sz w:val="24"/>
          <w:szCs w:val="24"/>
        </w:rPr>
      </w:pPr>
      <w:r w:rsidRPr="00B16197">
        <w:rPr>
          <w:sz w:val="24"/>
          <w:szCs w:val="24"/>
        </w:rPr>
        <w:t xml:space="preserve">Source : Ryan Detrick</w:t>
      </w:r>
    </w:p>
    <w:p w14:paraId="1B35D2F4" w14:textId="77777777" w:rsidR="006847A0" w:rsidRDefault="006847A0" w:rsidP="00F96FA4">
      <w:pPr>
        <w:rPr>
          <w:sz w:val="24"/>
          <w:szCs w:val="24"/>
        </w:rPr>
      </w:pPr>
    </w:p>
    <w:p w14:paraId="1156F5B4" w14:textId="77777777" w:rsidR="006847A0" w:rsidRDefault="006847A0" w:rsidP="00F96FA4">
      <w:pPr>
        <w:rPr>
          <w:sz w:val="24"/>
          <w:szCs w:val="24"/>
        </w:rPr>
      </w:pPr>
    </w:p>
    <w:p w14:paraId="71E8A0FA" w14:textId="77777777" w:rsidR="00CA26E1" w:rsidRDefault="00CA26E1" w:rsidP="00F96FA4">
      <w:pPr>
        <w:rPr>
          <w:sz w:val="24"/>
          <w:szCs w:val="24"/>
        </w:rPr>
      </w:pPr>
    </w:p>
    <w:p w14:paraId="07039C3E" w14:textId="5091211F" w:rsidR="00CA26E1" w:rsidRPr="00147A02" w:rsidRDefault="00147A02" w:rsidP="00F96FA4">
      <w:pPr>
        <w:rPr>
          <w:b/>
          <w:bCs/>
          <w:sz w:val="24"/>
          <w:szCs w:val="24"/>
        </w:rPr>
      </w:pPr>
      <w:r w:rsidRPr="00147A02">
        <w:rPr>
          <w:b/>
          <w:bCs/>
          <w:sz w:val="24"/>
          <w:szCs w:val="24"/>
        </w:rPr>
        <w:t xml:space="preserve">Graphique </w:t>
      </w:r>
      <w:r w:rsidR="00CD549D">
        <w:rPr>
          <w:b/>
          <w:bCs/>
          <w:sz w:val="24"/>
          <w:szCs w:val="24"/>
        </w:rPr>
        <w:t xml:space="preserve">#3</w:t>
      </w:r>
      <w:r w:rsidRPr="00147A02">
        <w:rPr>
          <w:b/>
          <w:bCs/>
          <w:sz w:val="24"/>
          <w:szCs w:val="24"/>
        </w:rPr>
        <w:t xml:space="preserve"> : Plus de 50 % du portefeuille d’actions de Harvard est investi dans SpaceX</w:t>
      </w:r>
    </w:p>
    <w:p w14:paraId="722633A9" w14:textId="77777777" w:rsidR="00CA26E1" w:rsidRDefault="00CA26E1" w:rsidP="00F96FA4">
      <w:pPr>
        <w:rPr>
          <w:sz w:val="24"/>
          <w:szCs w:val="24"/>
        </w:rPr>
      </w:pPr>
    </w:p>
    <w:p w14:paraId="0B91D9F5" w14:textId="1906DE7F" w:rsidR="00CA26E1" w:rsidRDefault="00147A02" w:rsidP="00F96FA4">
      <w:pPr>
        <w:rPr>
          <w:sz w:val="24"/>
          <w:szCs w:val="24"/>
        </w:rPr>
      </w:pPr>
      <w:r>
        <w:rPr>
          <w:sz w:val="24"/>
          <w:szCs w:val="24"/>
        </w:rPr>
        <w:t xml:space="preserve">Voici la composition du portefeuille d’actions du fonds de dotation de Harvard à la fin du deuxième trimestre 2026…</w:t>
      </w:r>
    </w:p>
    <w:p w14:paraId="6C3A1CDE" w14:textId="77777777" w:rsidR="00147A02" w:rsidRDefault="00147A02" w:rsidP="00F96FA4">
      <w:pPr>
        <w:rPr>
          <w:sz w:val="24"/>
          <w:szCs w:val="24"/>
        </w:rPr>
      </w:pPr>
    </w:p>
    <w:p w14:paraId="1AED8923" w14:textId="48B5198C" w:rsidR="00147A02" w:rsidRDefault="000E05DE" w:rsidP="00F96F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A1F935" wp14:editId="5F039819">
            <wp:extent cx="4709160" cy="4709160"/>
            <wp:effectExtent l="0" t="0" r="0" b="0"/>
            <wp:docPr id="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4D85" w14:textId="77777777" w:rsidR="000E05DE" w:rsidRDefault="000E05DE" w:rsidP="00F96FA4">
      <w:pPr>
        <w:rPr>
          <w:sz w:val="24"/>
          <w:szCs w:val="24"/>
        </w:rPr>
      </w:pPr>
    </w:p>
    <w:p w14:paraId="6C792C5E" w14:textId="7CB23E15" w:rsidR="000E05DE" w:rsidRDefault="000E05DE" w:rsidP="00F96FA4">
      <w:pPr>
        <w:rPr>
          <w:sz w:val="24"/>
          <w:szCs w:val="24"/>
        </w:rPr>
      </w:pPr>
      <w:r>
        <w:rPr>
          <w:sz w:val="24"/>
          <w:szCs w:val="24"/>
        </w:rPr>
        <w:t xml:space="preserve">Source : Rand Group</w:t>
      </w:r>
    </w:p>
    <w:p w14:paraId="0A71B8A6" w14:textId="77777777" w:rsidR="000E05DE" w:rsidRDefault="000E05DE" w:rsidP="00F96FA4">
      <w:pPr>
        <w:rPr>
          <w:sz w:val="24"/>
          <w:szCs w:val="24"/>
        </w:rPr>
      </w:pPr>
    </w:p>
    <w:p w14:paraId="2C5116F3" w14:textId="77777777" w:rsidR="00F44E06" w:rsidRPr="00F44E06" w:rsidRDefault="00F44E06" w:rsidP="00F96FA4">
      <w:pPr>
        <w:rPr>
          <w:b/>
          <w:bCs/>
          <w:sz w:val="24"/>
          <w:szCs w:val="24"/>
        </w:rPr>
      </w:pPr>
    </w:p>
    <w:p w14:paraId="6B80A728" w14:textId="134D3850" w:rsidR="00F44E06" w:rsidRPr="00F44E06" w:rsidRDefault="00F44E06" w:rsidP="00F44E06">
      <w:pPr>
        <w:rPr>
          <w:b/>
          <w:bCs/>
          <w:sz w:val="24"/>
          <w:szCs w:val="24"/>
        </w:rPr>
      </w:pPr>
      <w:r w:rsidRPr="00F44E06">
        <w:rPr>
          <w:b/>
          <w:bCs/>
          <w:sz w:val="24"/>
          <w:szCs w:val="24"/>
        </w:rPr>
        <w:t xml:space="preserve">Graphique #</w:t>
      </w:r>
      <w:r w:rsidR="00CD549D">
        <w:rPr>
          <w:b/>
          <w:bCs/>
          <w:sz w:val="24"/>
          <w:szCs w:val="24"/>
        </w:rPr>
        <w:t xml:space="preserve">4</w:t>
      </w:r>
      <w:r w:rsidRPr="00F44E06">
        <w:rPr>
          <w:b/>
          <w:bCs/>
          <w:sz w:val="24"/>
          <w:szCs w:val="24"/>
        </w:rPr>
        <w:t xml:space="preserve"> : </w:t>
      </w:r>
      <w:r w:rsidRPr="00F44E06">
        <w:rPr>
          <w:b/>
          <w:bCs/>
          <w:sz w:val="24"/>
          <w:szCs w:val="24"/>
        </w:rPr>
        <w:t xml:space="preserve">Les entreprises françaises empruntent désormais MOINS CHER que l’Éta</w:t>
      </w:r>
      <w:r w:rsidRPr="00F44E06">
        <w:rPr>
          <w:b/>
          <w:bCs/>
          <w:sz w:val="24"/>
          <w:szCs w:val="24"/>
        </w:rPr>
        <w:t xml:space="preserve">t</w:t>
      </w:r>
    </w:p>
    <w:p w14:paraId="4199AC05" w14:textId="77777777" w:rsidR="00F44E06" w:rsidRPr="00F44E06" w:rsidRDefault="00F44E06" w:rsidP="00F44E06">
      <w:pPr>
        <w:rPr>
          <w:sz w:val="24"/>
          <w:szCs w:val="24"/>
        </w:rPr>
      </w:pPr>
    </w:p>
    <w:p w14:paraId="3F690F10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 xml:space="preserve">215 milliards d’euros d’obligations d’entreprises se négocient avec des spreads inférieurs à ceux des OAT, soit 18 fois plus qu’en janvier.</w:t>
      </w:r>
    </w:p>
    <w:p w14:paraId="3C73AB16" w14:textId="77777777" w:rsidR="00F44E06" w:rsidRPr="00F44E06" w:rsidRDefault="00F44E06" w:rsidP="00F44E06">
      <w:pPr>
        <w:rPr>
          <w:sz w:val="24"/>
          <w:szCs w:val="24"/>
        </w:rPr>
      </w:pPr>
    </w:p>
    <w:p w14:paraId="3C772F67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 xml:space="preserve">Autrement dit, 38 % du marché investment grade considère désormais que le risque se situe du côté de l’État, et non des entreprises.</w:t>
      </w:r>
    </w:p>
    <w:p w14:paraId="4362560A" w14:textId="77777777" w:rsidR="00F44E06" w:rsidRDefault="00F44E06" w:rsidP="00F44E06">
      <w:pPr>
        <w:rPr>
          <w:sz w:val="24"/>
          <w:szCs w:val="24"/>
        </w:rPr>
      </w:pPr>
    </w:p>
    <w:p w14:paraId="286FAAA4" w14:textId="57D06A24" w:rsidR="00F44E06" w:rsidRDefault="00F44E06" w:rsidP="00F44E0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84D273" wp14:editId="0C533236">
            <wp:extent cx="4254823" cy="3352800"/>
            <wp:effectExtent l="0" t="0" r="0" b="0"/>
            <wp:docPr id="4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17" cy="335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1E3B" w14:textId="77777777" w:rsidR="00F44E06" w:rsidRDefault="00F44E06" w:rsidP="00F44E06">
      <w:pPr>
        <w:rPr>
          <w:sz w:val="24"/>
          <w:szCs w:val="24"/>
        </w:rPr>
      </w:pPr>
    </w:p>
    <w:p w14:paraId="2E8B8C62" w14:textId="77777777" w:rsidR="00F44E06" w:rsidRP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 xml:space="preserve">Source : Nic @puckrin</w:t>
      </w:r>
    </w:p>
    <w:p w14:paraId="50060571" w14:textId="3A9561C5" w:rsidR="00F44E06" w:rsidRDefault="00F44E06" w:rsidP="00F44E06">
      <w:pPr>
        <w:rPr>
          <w:sz w:val="24"/>
          <w:szCs w:val="24"/>
        </w:rPr>
      </w:pPr>
      <w:r w:rsidRPr="00F44E06">
        <w:rPr>
          <w:sz w:val="24"/>
          <w:szCs w:val="24"/>
        </w:rPr>
        <w:t>Bloomberg</w:t>
      </w:r>
    </w:p>
    <w:p w14:paraId="61A2D6EE" w14:textId="77777777" w:rsidR="00F44E06" w:rsidRDefault="00F44E06" w:rsidP="00F96FA4">
      <w:pPr>
        <w:rPr>
          <w:sz w:val="24"/>
          <w:szCs w:val="24"/>
        </w:rPr>
      </w:pPr>
    </w:p>
    <w:p w14:paraId="7C1DC551" w14:textId="77777777" w:rsidR="000E05DE" w:rsidRDefault="000E05DE" w:rsidP="00F96FA4">
      <w:pPr>
        <w:rPr>
          <w:sz w:val="24"/>
          <w:szCs w:val="24"/>
        </w:rPr>
      </w:pPr>
    </w:p>
    <w:p w14:paraId="522D4538" w14:textId="1476191A" w:rsidR="00184299" w:rsidRPr="00184299" w:rsidRDefault="00184299" w:rsidP="00184299">
      <w:pPr>
        <w:rPr>
          <w:b/>
          <w:bCs/>
          <w:sz w:val="24"/>
          <w:szCs w:val="24"/>
        </w:rPr>
      </w:pPr>
      <w:r w:rsidRPr="00184299">
        <w:rPr>
          <w:b/>
          <w:bCs/>
          <w:sz w:val="24"/>
          <w:szCs w:val="24"/>
        </w:rPr>
        <w:t xml:space="preserve">Graphique #</w:t>
      </w:r>
      <w:r w:rsidR="00CD549D">
        <w:rPr>
          <w:b/>
          <w:bCs/>
          <w:sz w:val="24"/>
          <w:szCs w:val="24"/>
        </w:rPr>
        <w:t xml:space="preserve">5</w:t>
      </w:r>
      <w:r w:rsidRPr="00184299">
        <w:rPr>
          <w:b/>
          <w:bCs/>
          <w:sz w:val="24"/>
          <w:szCs w:val="24"/>
        </w:rPr>
        <w:t xml:space="preserve"> : </w:t>
      </w:r>
      <w:r w:rsidRPr="00184299">
        <w:rPr>
          <w:b/>
          <w:bCs/>
          <w:sz w:val="24"/>
          <w:szCs w:val="24"/>
        </w:rPr>
        <w:t xml:space="preserve">L’approvisionnement de l’Europe en GNL devient massivement américain</w:t>
      </w:r>
    </w:p>
    <w:p w14:paraId="2DC568CF" w14:textId="77777777" w:rsidR="00184299" w:rsidRPr="00184299" w:rsidRDefault="00184299" w:rsidP="00184299">
      <w:pPr>
        <w:rPr>
          <w:b/>
          <w:bCs/>
          <w:sz w:val="24"/>
          <w:szCs w:val="24"/>
        </w:rPr>
      </w:pPr>
    </w:p>
    <w:p w14:paraId="4094A4DD" w14:textId="5F8E9E60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La part des États-Unis dans les importations de GNL de l’UE est passée de 28 % début 2021 à 63,2 % aujourd’hui. L’IEEFA prévoit qu’elle pourrait atteindre 80 % d’ici 2028.</w:t>
      </w:r>
    </w:p>
    <w:p w14:paraId="21859545" w14:textId="77777777" w:rsidR="00184299" w:rsidRPr="00184299" w:rsidRDefault="00184299" w:rsidP="00184299">
      <w:pPr>
        <w:rPr>
          <w:sz w:val="24"/>
          <w:szCs w:val="24"/>
        </w:rPr>
      </w:pPr>
    </w:p>
    <w:p w14:paraId="1CBC2986" w14:textId="77777777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Deux chocs ont accéléré cette évolution : la sortie progressive de l’Europe du GNL russe et les perturbations de l’offre qatarie.</w:t>
      </w:r>
    </w:p>
    <w:p w14:paraId="7991A8A8" w14:textId="77777777" w:rsidR="00184299" w:rsidRPr="00184299" w:rsidRDefault="00184299" w:rsidP="00184299">
      <w:pPr>
        <w:rPr>
          <w:sz w:val="24"/>
          <w:szCs w:val="24"/>
        </w:rPr>
      </w:pPr>
    </w:p>
    <w:p w14:paraId="5767D0F5" w14:textId="6BA4A2BA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Les cargaisons américaines offrent de la souplesse, mais elles vont au plus offrant.</w:t>
      </w:r>
      <w:r>
        <w:rPr>
          <w:sz w:val="24"/>
          <w:szCs w:val="24"/>
        </w:rPr>
        <w:t xml:space="preserve"> </w:t>
      </w:r>
      <w:r w:rsidRPr="00184299">
        <w:rPr>
          <w:sz w:val="24"/>
          <w:szCs w:val="24"/>
        </w:rPr>
        <w:t xml:space="preserve">Lorsque l’Asie paie davantage, l’Europe doit suivre ou payer plus cher.</w:t>
      </w:r>
    </w:p>
    <w:p w14:paraId="44C81E25" w14:textId="77777777" w:rsidR="00184299" w:rsidRPr="00184299" w:rsidRDefault="00184299" w:rsidP="00184299">
      <w:pPr>
        <w:rPr>
          <w:sz w:val="24"/>
          <w:szCs w:val="24"/>
        </w:rPr>
      </w:pPr>
    </w:p>
    <w:p w14:paraId="430B5885" w14:textId="6E1A117D" w:rsidR="00184299" w:rsidRPr="00184299" w:rsidRDefault="00184299" w:rsidP="00184299">
      <w:pPr>
        <w:rPr>
          <w:sz w:val="24"/>
          <w:szCs w:val="24"/>
        </w:rPr>
      </w:pPr>
      <w:r w:rsidRPr="00184299">
        <w:rPr>
          <w:sz w:val="24"/>
          <w:szCs w:val="24"/>
        </w:rPr>
        <w:t xml:space="preserve">L’Europe s’est affranchie d’une dépendance énergétique. En crée-t-elle une nouvelle ?</w:t>
      </w:r>
      <w:r>
        <w:rPr>
          <w:sz w:val="24"/>
          <w:szCs w:val="24"/>
        </w:rPr>
        <w:t xml:space="preserve"> </w:t>
      </w:r>
      <w:r w:rsidRPr="00184299">
        <w:rPr>
          <w:sz w:val="24"/>
          <w:szCs w:val="24"/>
        </w:rPr>
        <w:t xml:space="preserve">À près des deux tiers des importations, le GNL américain est-il un gage de sécurité pour l’Europe ou sa prochaine vulnérabilité ?</w:t>
      </w:r>
    </w:p>
    <w:p w14:paraId="254FBDC2" w14:textId="77777777" w:rsidR="00184299" w:rsidRPr="00184299" w:rsidRDefault="00184299" w:rsidP="00184299">
      <w:pPr>
        <w:rPr>
          <w:sz w:val="24"/>
          <w:szCs w:val="24"/>
        </w:rPr>
      </w:pPr>
    </w:p>
    <w:p w14:paraId="38C821AC" w14:textId="77777777" w:rsidR="00184299" w:rsidRDefault="00184299" w:rsidP="00184299">
      <w:pPr>
        <w:rPr>
          <w:sz w:val="24"/>
          <w:szCs w:val="24"/>
        </w:rPr>
      </w:pPr>
    </w:p>
    <w:p w14:paraId="274C573E" w14:textId="77777777" w:rsidR="00184299" w:rsidRDefault="00184299" w:rsidP="00184299">
      <w:pPr>
        <w:rPr>
          <w:sz w:val="24"/>
          <w:szCs w:val="24"/>
        </w:rPr>
      </w:pPr>
    </w:p>
    <w:p w14:paraId="09F2D6F0" w14:textId="627980EA" w:rsidR="007643FF" w:rsidRDefault="006452EF" w:rsidP="00184299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6A538E23" wp14:editId="5439DCEE">
            <wp:extent cx="5044440" cy="3526063"/>
            <wp:effectExtent l="0" t="0" r="3810" b="0"/>
            <wp:docPr id="3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26" cy="353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FA8A" w14:textId="77777777" w:rsidR="007643FF" w:rsidRDefault="007643FF" w:rsidP="00184299">
      <w:pPr>
        <w:rPr>
          <w:sz w:val="24"/>
          <w:szCs w:val="24"/>
          <w:lang w:val="fr-FR"/>
        </w:rPr>
      </w:pPr>
    </w:p>
    <w:p w14:paraId="15524CCC" w14:textId="7956B65A" w:rsidR="000E05DE" w:rsidRPr="00184299" w:rsidRDefault="006452EF" w:rsidP="00184299">
      <w:pPr>
        <w:rPr>
          <w:sz w:val="24"/>
          <w:szCs w:val="24"/>
          <w:lang w:val="fr-FR"/>
        </w:rPr>
      </w:pPr>
      <w:r w:rsidRPr="00184299">
        <w:rPr>
          <w:sz w:val="24"/>
          <w:szCs w:val="24"/>
          <w:lang w:val="fr-FR"/>
        </w:rPr>
        <w:t xml:space="preserve">Source :</w:t>
      </w:r>
      <w:r w:rsidR="00184299" w:rsidRPr="00184299">
        <w:rPr>
          <w:sz w:val="24"/>
          <w:szCs w:val="24"/>
          <w:lang w:val="fr-FR"/>
        </w:rPr>
        <w:t xml:space="preserve"> Jack Prandelli sur X</w:t>
      </w:r>
    </w:p>
    <w:p w14:paraId="1899B743" w14:textId="77777777" w:rsidR="000E05DE" w:rsidRPr="00184299" w:rsidRDefault="000E05DE" w:rsidP="00F96FA4">
      <w:pPr>
        <w:rPr>
          <w:sz w:val="24"/>
          <w:szCs w:val="24"/>
          <w:lang w:val="fr-FR"/>
        </w:rPr>
      </w:pPr>
    </w:p>
    <w:p w14:paraId="35489E84" w14:textId="77777777" w:rsidR="00184299" w:rsidRDefault="00184299" w:rsidP="00F96FA4">
      <w:pPr>
        <w:rPr>
          <w:sz w:val="24"/>
          <w:szCs w:val="24"/>
          <w:lang w:val="fr-FR"/>
        </w:rPr>
      </w:pPr>
    </w:p>
    <w:p w14:paraId="16A7B61E" w14:textId="77777777" w:rsidR="000C53CA" w:rsidRDefault="000C53CA" w:rsidP="00F96FA4">
      <w:pPr>
        <w:rPr>
          <w:sz w:val="24"/>
          <w:szCs w:val="24"/>
          <w:lang w:val="fr-FR"/>
        </w:rPr>
      </w:pPr>
    </w:p>
    <w:p w14:paraId="459D8A66" w14:textId="11ADAB3A" w:rsidR="000C53CA" w:rsidRPr="000C53CA" w:rsidRDefault="000C53CA" w:rsidP="000C53CA">
      <w:pPr>
        <w:rPr>
          <w:b/>
          <w:bCs/>
          <w:sz w:val="24"/>
          <w:szCs w:val="24"/>
        </w:rPr>
      </w:pP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Graphique #</w:t>
      </w:r>
      <w:r w:rsidR="00CD549D">
        <w:rPr>
          <w:rFonts w:ascii="Segoe UI Emoji" w:hAnsi="Segoe UI Emoji" w:cs="Segoe UI Emoji"/>
          <w:b/>
          <w:bCs/>
          <w:sz w:val="24"/>
          <w:szCs w:val="24"/>
        </w:rPr>
        <w:t xml:space="preserve">6</w:t>
      </w: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 : </w:t>
      </w:r>
      <w:r w:rsidRPr="000C53CA">
        <w:rPr>
          <w:b/>
          <w:bCs/>
          <w:sz w:val="24"/>
          <w:szCs w:val="24"/>
        </w:rPr>
        <w:t xml:space="preserve">L’Europe a des talents de premier plan. Peut-elle bâtir davantage d’entreprises de premier plan ?</w:t>
      </w:r>
    </w:p>
    <w:p w14:paraId="47D33AA1" w14:textId="77777777" w:rsidR="000C53CA" w:rsidRPr="000C53CA" w:rsidRDefault="000C53CA" w:rsidP="000C53CA">
      <w:pPr>
        <w:rPr>
          <w:sz w:val="24"/>
          <w:szCs w:val="24"/>
        </w:rPr>
      </w:pPr>
    </w:p>
    <w:p w14:paraId="0D7D0896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La taille des champions technologiques américains soulève une question plus large : pourquoi l’Europe peine-t-elle à transformer l’excellence scientifique en entreprises de dimension comparable ?</w:t>
      </w:r>
    </w:p>
    <w:p w14:paraId="10BF0AA8" w14:textId="77777777" w:rsidR="000C53CA" w:rsidRPr="000C53CA" w:rsidRDefault="000C53CA" w:rsidP="000C53CA">
      <w:pPr>
        <w:rPr>
          <w:sz w:val="24"/>
          <w:szCs w:val="24"/>
        </w:rPr>
      </w:pPr>
    </w:p>
    <w:p w14:paraId="0C08904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L’Europe forme des ingénieurs, des chercheurs et des entrepreneurs remarquables.</w:t>
      </w:r>
    </w:p>
    <w:p w14:paraId="3F946F1A" w14:textId="77777777" w:rsidR="000C53CA" w:rsidRPr="000C53CA" w:rsidRDefault="000C53CA" w:rsidP="000C53CA">
      <w:pPr>
        <w:rPr>
          <w:sz w:val="24"/>
          <w:szCs w:val="24"/>
        </w:rPr>
      </w:pPr>
    </w:p>
    <w:p w14:paraId="3C771AD4" w14:textId="709B7946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Mais la fragmentation des marchés, la complexité de la </w:t>
      </w:r>
      <w:r w:rsidRPr="000C53CA">
        <w:rPr>
          <w:sz w:val="24"/>
          <w:szCs w:val="24"/>
        </w:rPr>
        <w:t xml:space="preserve">réglementation</w:t>
      </w:r>
      <w:r w:rsidRPr="000C53CA">
        <w:rPr>
          <w:sz w:val="24"/>
          <w:szCs w:val="24"/>
        </w:rPr>
        <w:t xml:space="preserve">, la lenteur des autorisations et l’accès limité au capital de croissance peuvent freiner le changement d’échelle.</w:t>
      </w:r>
    </w:p>
    <w:p w14:paraId="404CFD73" w14:textId="77777777" w:rsidR="000C53CA" w:rsidRPr="000C53CA" w:rsidRDefault="000C53CA" w:rsidP="000C53CA">
      <w:pPr>
        <w:rPr>
          <w:sz w:val="24"/>
          <w:szCs w:val="24"/>
        </w:rPr>
      </w:pPr>
    </w:p>
    <w:p w14:paraId="64A3F4B9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Une protection solide des consommateurs et une fiscalité équitable répondent à des objectifs légitimes. Tout l’enjeu est de les concilier avec des incitations à investir, à innover et à prendre des risques.</w:t>
      </w:r>
    </w:p>
    <w:p w14:paraId="00F05625" w14:textId="77777777" w:rsidR="000C53CA" w:rsidRPr="000C53CA" w:rsidRDefault="000C53CA" w:rsidP="000C53CA">
      <w:pPr>
        <w:rPr>
          <w:sz w:val="24"/>
          <w:szCs w:val="24"/>
        </w:rPr>
      </w:pPr>
    </w:p>
    <w:p w14:paraId="1F25835D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L’IA rend cet enjeu plus pressant.</w:t>
      </w:r>
    </w:p>
    <w:p w14:paraId="7D2D49EB" w14:textId="77777777" w:rsidR="000C53CA" w:rsidRPr="000C53CA" w:rsidRDefault="000C53CA" w:rsidP="000C53CA">
      <w:pPr>
        <w:rPr>
          <w:sz w:val="24"/>
          <w:szCs w:val="24"/>
        </w:rPr>
      </w:pPr>
    </w:p>
    <w:p w14:paraId="4D79BE7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L’Europe a les talents pour contribuer à façonner cette révolution. Transformer ce potentiel en leadership économique suppose un environnement où les entreprises ambitieuses peuvent se développer au-delà des frontières.</w:t>
      </w:r>
    </w:p>
    <w:p w14:paraId="528D71E3" w14:textId="77777777" w:rsidR="000C53CA" w:rsidRPr="000C53CA" w:rsidRDefault="000C53CA" w:rsidP="000C53CA">
      <w:pPr>
        <w:rPr>
          <w:sz w:val="24"/>
          <w:szCs w:val="24"/>
        </w:rPr>
      </w:pPr>
    </w:p>
    <w:p w14:paraId="1756FF50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L’opportunité est claire : simplifier le chemin qui mène de l’invention européenne au succès mondial.</w:t>
      </w:r>
    </w:p>
    <w:p w14:paraId="7F8D5E79" w14:textId="77777777" w:rsidR="000C53CA" w:rsidRPr="000C53CA" w:rsidRDefault="000C53CA" w:rsidP="000C53CA">
      <w:pPr>
        <w:rPr>
          <w:sz w:val="24"/>
          <w:szCs w:val="24"/>
        </w:rPr>
      </w:pPr>
    </w:p>
    <w:p w14:paraId="6D6E53EC" w14:textId="77777777" w:rsidR="000C53CA" w:rsidRPr="000C53CA" w:rsidRDefault="000C53CA" w:rsidP="000C53CA">
      <w:pPr>
        <w:rPr>
          <w:sz w:val="24"/>
          <w:szCs w:val="24"/>
        </w:rPr>
      </w:pPr>
      <w:r w:rsidRPr="000C53CA">
        <w:rPr>
          <w:sz w:val="24"/>
          <w:szCs w:val="24"/>
        </w:rPr>
        <w:t xml:space="preserve">Que devrait changer l’Europe en priorité ?</w:t>
      </w:r>
    </w:p>
    <w:p w14:paraId="3C966A43" w14:textId="77777777" w:rsidR="000C53CA" w:rsidRPr="000C53CA" w:rsidRDefault="000C53CA" w:rsidP="000C53CA">
      <w:pPr>
        <w:rPr>
          <w:sz w:val="24"/>
          <w:szCs w:val="24"/>
        </w:rPr>
      </w:pPr>
    </w:p>
    <w:p w14:paraId="64DCAE0D" w14:textId="11CF36E1" w:rsidR="000C53CA" w:rsidRDefault="000C53CA" w:rsidP="000C53CA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55790ADD" wp14:editId="78242B24">
            <wp:extent cx="6120130" cy="3525195"/>
            <wp:effectExtent l="0" t="0" r="0" b="0"/>
            <wp:docPr id="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2E87" w14:textId="77777777" w:rsidR="000C53CA" w:rsidRDefault="000C53CA" w:rsidP="000C53CA">
      <w:pPr>
        <w:rPr>
          <w:sz w:val="24"/>
          <w:szCs w:val="24"/>
          <w:lang w:val="fr-FR"/>
        </w:rPr>
      </w:pPr>
    </w:p>
    <w:p w14:paraId="658CC51E" w14:textId="758FDA13" w:rsidR="000C53CA" w:rsidRDefault="000C53CA" w:rsidP="000C53CA">
      <w:pPr>
        <w:rPr>
          <w:sz w:val="24"/>
          <w:szCs w:val="24"/>
          <w:lang w:val="fr-FR"/>
        </w:rPr>
      </w:pPr>
      <w:r w:rsidRPr="000C53CA">
        <w:rPr>
          <w:sz w:val="24"/>
          <w:szCs w:val="24"/>
          <w:lang w:val="fr-FR"/>
        </w:rPr>
        <w:t xml:space="preserve">Source :</w:t>
      </w:r>
      <w:r w:rsidRPr="000C53CA">
        <w:rPr>
          <w:sz w:val="24"/>
          <w:szCs w:val="24"/>
          <w:lang w:val="fr-FR"/>
        </w:rPr>
        <w:t xml:space="preserve"> Michel A.Arouet</w:t>
      </w:r>
    </w:p>
    <w:p w14:paraId="59EC25C6" w14:textId="77777777" w:rsidR="00CD549D" w:rsidRDefault="00CD549D" w:rsidP="000C53CA">
      <w:pPr>
        <w:rPr>
          <w:sz w:val="24"/>
          <w:szCs w:val="24"/>
          <w:lang w:val="fr-FR"/>
        </w:rPr>
      </w:pPr>
    </w:p>
    <w:p w14:paraId="5A53445A" w14:textId="77777777" w:rsidR="00CD549D" w:rsidRDefault="00CD549D" w:rsidP="000C53CA">
      <w:pPr>
        <w:rPr>
          <w:sz w:val="24"/>
          <w:szCs w:val="24"/>
          <w:lang w:val="fr-FR"/>
        </w:rPr>
      </w:pPr>
    </w:p>
    <w:p w14:paraId="17460A03" w14:textId="53025217" w:rsidR="00CD549D" w:rsidRPr="000C53CA" w:rsidRDefault="00CD549D" w:rsidP="00CD549D">
      <w:pPr>
        <w:rPr>
          <w:b/>
          <w:bCs/>
          <w:sz w:val="24"/>
          <w:szCs w:val="24"/>
        </w:rPr>
      </w:pP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Graphique #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7</w:t>
      </w:r>
      <w:r w:rsidRPr="000C53CA">
        <w:rPr>
          <w:rFonts w:ascii="Segoe UI Emoji" w:hAnsi="Segoe UI Emoji" w:cs="Segoe UI Emoji"/>
          <w:b/>
          <w:bCs/>
          <w:sz w:val="24"/>
          <w:szCs w:val="24"/>
        </w:rPr>
        <w:t xml:space="preserve"> : </w:t>
      </w:r>
      <w:r w:rsidR="00134D53" w:rsidRPr="00134D53">
        <w:rPr>
          <w:b/>
          <w:bCs/>
          <w:sz w:val="24"/>
          <w:szCs w:val="24"/>
        </w:rPr>
        <w:t xml:space="preserve">Le basculement politique de l’Amérique du Sud place le Brésil sous les projecteurs</w:t>
      </w:r>
    </w:p>
    <w:p w14:paraId="74FAE017" w14:textId="77777777" w:rsidR="00CD549D" w:rsidRPr="000C53CA" w:rsidRDefault="00CD549D" w:rsidP="00CD549D">
      <w:pPr>
        <w:rPr>
          <w:sz w:val="24"/>
          <w:szCs w:val="24"/>
        </w:rPr>
      </w:pPr>
    </w:p>
    <w:p w14:paraId="52B0EB69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br/>
      </w:r>
      <w:r w:rsidRPr="001A5D85">
        <w:rPr>
          <w:rFonts w:ascii="Segoe UI Emoji" w:hAnsi="Segoe UI Emoji" w:cs="Segoe UI Emoji"/>
          <w:sz w:val="24"/>
          <w:szCs w:val="24"/>
          <w:lang w:val="fr-FR"/>
        </w:rPr>
        <w:t xml:space="preserve">🇧🇷</w:t>
      </w:r>
      <w:r w:rsidRPr="001A5D85">
        <w:rPr>
          <w:sz w:val="24"/>
          <w:szCs w:val="24"/>
          <w:lang w:val="fr-FR"/>
        </w:rPr>
        <w:t xml:space="preserve"> Le basculement politique de l’Amérique du Sud place désormais le Brésil sous les projecteurs.</w:t>
      </w:r>
    </w:p>
    <w:p w14:paraId="68440491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14701E52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Fin 2023, sept des 12 gouvernements de la région penchaient à gauche. Aujourd’hui, sept sont dirigés par des responsables de droite ou de centre droit.</w:t>
      </w:r>
    </w:p>
    <w:p w14:paraId="2C47FBFE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609B0EB2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Le second tour au Brésil, le 25 octobre, pourrait prolonger ce mouvement.</w:t>
      </w:r>
    </w:p>
    <w:p w14:paraId="378FB12F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1E8D2ED8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Flávio Bolsonaro est arrivé en tête devant Lula au premier tour, avec 47 % contre 44,9 %.</w:t>
      </w:r>
    </w:p>
    <w:p w14:paraId="294AD4FC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36D98A16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Pour les investisseurs, les enjeux dépassent largement la politique.</w:t>
      </w:r>
    </w:p>
    <w:p w14:paraId="52932CDB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732CB69B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rFonts w:ascii="Segoe UI Emoji" w:hAnsi="Segoe UI Emoji" w:cs="Segoe UI Emoji"/>
          <w:sz w:val="24"/>
          <w:szCs w:val="24"/>
          <w:lang w:val="fr-FR"/>
        </w:rPr>
        <w:t xml:space="preserve">🛢️</w:t>
      </w:r>
      <w:r w:rsidRPr="001A5D85">
        <w:rPr>
          <w:sz w:val="24"/>
          <w:szCs w:val="24"/>
          <w:lang w:val="fr-FR"/>
        </w:rPr>
        <w:t xml:space="preserve"> Le Brésil est le premier producteur de pétrole d’Amérique du Sud, avec une production record de 4,62 millions de barils par jour en août.</w:t>
      </w:r>
    </w:p>
    <w:p w14:paraId="15664B7A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106A41D8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Petrobras est au cœur de cet enjeu énergétique. Ses ADR ont bondi d’environ 10 % au lendemain matin du premier tour.</w:t>
      </w:r>
    </w:p>
    <w:p w14:paraId="576CA9A0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7EB434C4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Le prochain président pourrait peser sur sa politique de prix des carburants, ses dividendes et ses priorités d’investissement.</w:t>
      </w:r>
    </w:p>
    <w:p w14:paraId="625934A5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13457815" w14:textId="77777777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L’élection brésilienne est aussi un vote sur l’avenir de son géant de l’énergie.</w:t>
      </w:r>
    </w:p>
    <w:p w14:paraId="6B1C84CF" w14:textId="77777777" w:rsidR="001A5D85" w:rsidRPr="001A5D85" w:rsidRDefault="001A5D85" w:rsidP="001A5D85">
      <w:pPr>
        <w:rPr>
          <w:sz w:val="24"/>
          <w:szCs w:val="24"/>
          <w:lang w:val="fr-FR"/>
        </w:rPr>
      </w:pPr>
    </w:p>
    <w:p w14:paraId="0B8CEEC7" w14:textId="76399345" w:rsidR="001A5D85" w:rsidRDefault="001A5D85" w:rsidP="001A5D85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5E041603" wp14:editId="3942C6C4">
            <wp:extent cx="4349046" cy="5318760"/>
            <wp:effectExtent l="0" t="0" r="0" b="0"/>
            <wp:docPr id="1160785604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47" cy="532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007D" w14:textId="77777777" w:rsidR="001A5D85" w:rsidRDefault="001A5D85" w:rsidP="001A5D85">
      <w:pPr>
        <w:rPr>
          <w:sz w:val="24"/>
          <w:szCs w:val="24"/>
          <w:lang w:val="fr-FR"/>
        </w:rPr>
      </w:pPr>
    </w:p>
    <w:p w14:paraId="401FE878" w14:textId="41CFB3BF" w:rsidR="001A5D85" w:rsidRPr="001A5D85" w:rsidRDefault="001A5D85" w:rsidP="001A5D85">
      <w:pPr>
        <w:rPr>
          <w:sz w:val="24"/>
          <w:szCs w:val="24"/>
          <w:lang w:val="fr-FR"/>
        </w:rPr>
      </w:pPr>
      <w:r w:rsidRPr="001A5D85">
        <w:rPr>
          <w:sz w:val="24"/>
          <w:szCs w:val="24"/>
          <w:lang w:val="fr-FR"/>
        </w:rPr>
        <w:t xml:space="preserve">Source : Jack Prandelli sur X</w:t>
      </w:r>
      <w:r>
        <w:rPr>
          <w:sz w:val="24"/>
          <w:szCs w:val="24"/>
          <w:lang w:val="fr-FR"/>
        </w:rPr>
        <w:t xml:space="preserve">, The World in Maps</w:t>
      </w:r>
    </w:p>
    <w:p w14:paraId="7F3E6217" w14:textId="6F1D50C8" w:rsidR="00CD549D" w:rsidRPr="001A5D85" w:rsidRDefault="00CD549D" w:rsidP="001A5D85">
      <w:pPr>
        <w:rPr>
          <w:sz w:val="24"/>
          <w:szCs w:val="24"/>
        </w:rPr>
      </w:pPr>
    </w:p>
    <w:sectPr w:rsidR="00CD549D" w:rsidRPr="001A5D85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2DF2" w14:textId="77777777" w:rsidR="00A26192" w:rsidRDefault="00A26192" w:rsidP="00477C0A">
      <w:r>
        <w:separator/>
      </w:r>
    </w:p>
  </w:endnote>
  <w:endnote w:type="continuationSeparator" w:id="0">
    <w:p w14:paraId="65D68929" w14:textId="77777777" w:rsidR="00A26192" w:rsidRDefault="00A26192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CB10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D4D4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8EC7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D922" w14:textId="77777777" w:rsidR="00A26192" w:rsidRDefault="00A26192" w:rsidP="00477C0A">
      <w:r>
        <w:separator/>
      </w:r>
    </w:p>
  </w:footnote>
  <w:footnote w:type="continuationSeparator" w:id="0">
    <w:p w14:paraId="35CF6524" w14:textId="77777777" w:rsidR="00A26192" w:rsidRDefault="00A26192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D3B1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BB99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1DD3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2" w15:restartNumberingAfterBreak="0">
    <w:nsid w:val="51D76868"/>
    <w:multiLevelType w:val="multilevel"/>
    <w:tmpl w:val="1D84AC12"/>
    <w:numStyleLink w:val="TOCSyz"/>
  </w:abstractNum>
  <w:abstractNum w:abstractNumId="13" w15:restartNumberingAfterBreak="0">
    <w:nsid w:val="530A633E"/>
    <w:multiLevelType w:val="multilevel"/>
    <w:tmpl w:val="1D84AC12"/>
    <w:numStyleLink w:val="TOCSyz"/>
  </w:abstractNum>
  <w:abstractNum w:abstractNumId="14" w15:restartNumberingAfterBreak="0">
    <w:nsid w:val="624F2B4B"/>
    <w:multiLevelType w:val="multilevel"/>
    <w:tmpl w:val="1D84AC12"/>
    <w:numStyleLink w:val="TOCSyz"/>
  </w:abstractNum>
  <w:abstractNum w:abstractNumId="15" w15:restartNumberingAfterBreak="0">
    <w:nsid w:val="67CC38A4"/>
    <w:multiLevelType w:val="multilevel"/>
    <w:tmpl w:val="1D84AC12"/>
    <w:numStyleLink w:val="TOCSyz"/>
  </w:abstractNum>
  <w:abstractNum w:abstractNumId="16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2"/>
  </w:num>
  <w:num w:numId="9" w16cid:durableId="618730621">
    <w:abstractNumId w:val="15"/>
  </w:num>
  <w:num w:numId="10" w16cid:durableId="451484993">
    <w:abstractNumId w:val="14"/>
  </w:num>
  <w:num w:numId="11" w16cid:durableId="256404981">
    <w:abstractNumId w:val="11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4"/>
  </w:num>
  <w:num w:numId="17" w16cid:durableId="1324044082">
    <w:abstractNumId w:val="8"/>
  </w:num>
  <w:num w:numId="18" w16cid:durableId="1176850100">
    <w:abstractNumId w:val="11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6"/>
  </w:num>
  <w:num w:numId="24" w16cid:durableId="655960884">
    <w:abstractNumId w:val="16"/>
  </w:num>
  <w:num w:numId="25" w16cid:durableId="1220701573">
    <w:abstractNumId w:val="16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3"/>
  </w:num>
  <w:num w:numId="33" w16cid:durableId="1282491307">
    <w:abstractNumId w:val="13"/>
  </w:num>
  <w:num w:numId="34" w16cid:durableId="1669479060">
    <w:abstractNumId w:val="13"/>
  </w:num>
  <w:num w:numId="35" w16cid:durableId="486820934">
    <w:abstractNumId w:val="13"/>
  </w:num>
  <w:num w:numId="36" w16cid:durableId="1963998072">
    <w:abstractNumId w:val="13"/>
  </w:num>
  <w:num w:numId="37" w16cid:durableId="196635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76F"/>
    <w:rsid w:val="00005069"/>
    <w:rsid w:val="000B09C4"/>
    <w:rsid w:val="000C53CA"/>
    <w:rsid w:val="000E05DE"/>
    <w:rsid w:val="001129C4"/>
    <w:rsid w:val="00113774"/>
    <w:rsid w:val="00120C94"/>
    <w:rsid w:val="00134D53"/>
    <w:rsid w:val="00147A02"/>
    <w:rsid w:val="00184299"/>
    <w:rsid w:val="00192124"/>
    <w:rsid w:val="001A5D85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A77D1"/>
    <w:rsid w:val="002B0BC9"/>
    <w:rsid w:val="002B3F9B"/>
    <w:rsid w:val="0033391D"/>
    <w:rsid w:val="003B0D13"/>
    <w:rsid w:val="003D61F6"/>
    <w:rsid w:val="00436995"/>
    <w:rsid w:val="00447223"/>
    <w:rsid w:val="00477C0A"/>
    <w:rsid w:val="004F2BE3"/>
    <w:rsid w:val="00527645"/>
    <w:rsid w:val="005940F0"/>
    <w:rsid w:val="005D788A"/>
    <w:rsid w:val="005E25AF"/>
    <w:rsid w:val="005E36FB"/>
    <w:rsid w:val="00613421"/>
    <w:rsid w:val="00614274"/>
    <w:rsid w:val="00623456"/>
    <w:rsid w:val="00627B5A"/>
    <w:rsid w:val="006302CC"/>
    <w:rsid w:val="00632BD1"/>
    <w:rsid w:val="00640676"/>
    <w:rsid w:val="006452EF"/>
    <w:rsid w:val="0065442A"/>
    <w:rsid w:val="00657C53"/>
    <w:rsid w:val="0066596E"/>
    <w:rsid w:val="006847A0"/>
    <w:rsid w:val="006B2AC6"/>
    <w:rsid w:val="006F040D"/>
    <w:rsid w:val="00711AEC"/>
    <w:rsid w:val="0075292A"/>
    <w:rsid w:val="007643FF"/>
    <w:rsid w:val="007805DD"/>
    <w:rsid w:val="0078447E"/>
    <w:rsid w:val="00790C9D"/>
    <w:rsid w:val="007A2892"/>
    <w:rsid w:val="007C073A"/>
    <w:rsid w:val="007D0053"/>
    <w:rsid w:val="007E11D7"/>
    <w:rsid w:val="008140FC"/>
    <w:rsid w:val="00825F8A"/>
    <w:rsid w:val="008315B8"/>
    <w:rsid w:val="00837F62"/>
    <w:rsid w:val="00862507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67372"/>
    <w:rsid w:val="009705DE"/>
    <w:rsid w:val="00992153"/>
    <w:rsid w:val="009C0E1D"/>
    <w:rsid w:val="009E32FD"/>
    <w:rsid w:val="00A26192"/>
    <w:rsid w:val="00A45D75"/>
    <w:rsid w:val="00A464E6"/>
    <w:rsid w:val="00A56492"/>
    <w:rsid w:val="00A612A7"/>
    <w:rsid w:val="00A64167"/>
    <w:rsid w:val="00AC17FC"/>
    <w:rsid w:val="00AE791F"/>
    <w:rsid w:val="00B16197"/>
    <w:rsid w:val="00B2625F"/>
    <w:rsid w:val="00B31578"/>
    <w:rsid w:val="00B32335"/>
    <w:rsid w:val="00B34957"/>
    <w:rsid w:val="00B41799"/>
    <w:rsid w:val="00B4574D"/>
    <w:rsid w:val="00B7676F"/>
    <w:rsid w:val="00BD5535"/>
    <w:rsid w:val="00C01FBE"/>
    <w:rsid w:val="00C354CD"/>
    <w:rsid w:val="00C51EC2"/>
    <w:rsid w:val="00C66534"/>
    <w:rsid w:val="00C85671"/>
    <w:rsid w:val="00CA26E1"/>
    <w:rsid w:val="00CD549D"/>
    <w:rsid w:val="00D21C1C"/>
    <w:rsid w:val="00DA62EC"/>
    <w:rsid w:val="00DA6EA3"/>
    <w:rsid w:val="00DB14BA"/>
    <w:rsid w:val="00DD69EB"/>
    <w:rsid w:val="00DF1EC0"/>
    <w:rsid w:val="00E10115"/>
    <w:rsid w:val="00E91007"/>
    <w:rsid w:val="00EC1469"/>
    <w:rsid w:val="00ED3D33"/>
    <w:rsid w:val="00F02B8E"/>
    <w:rsid w:val="00F125E4"/>
    <w:rsid w:val="00F44E06"/>
    <w:rsid w:val="00F6083A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799CD"/>
  <w15:chartTrackingRefBased/>
  <w15:docId w15:val="{75BA4C84-A1B2-4CEE-84CA-C5CBEBCB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9D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B767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B767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B767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B767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B7676F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B7676F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B7676F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B7676F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76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7676F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7676F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7676F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7676F"/>
    <w:rPr>
      <w:b/>
      <w:bCs/>
      <w:smallCaps/>
      <w:color w:val="1AB8FF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7A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15</cp:revision>
  <dcterms:created xsi:type="dcterms:W3CDTF">2026-10-09T06:21:00Z</dcterms:created>
  <dcterms:modified xsi:type="dcterms:W3CDTF">2026-10-09T06:40:00Z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2026-10-09T06:23:41Z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c7ebcd1b-374e-45fb-a835-552a6465f02c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