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Public Space Construction Permits: Time to Approval, FY2026</w:t>
      </w:r>
    </w:p>
    <w:p>
      <w:pPr/>
      <w:r>
        <w:rPr>
          <w:b/>
        </w:rPr>
        <w:t xml:space="preserve">Methodology and Next Steps</w:t>
      </w:r>
    </w:p>
    <w:p>
      <w:pPr/>
      <w:r>
        <w:t xml:space="preserve">Prepared for the Associate Director, Public Space Division | Analytics, Assets, and Performance Branch | Data pulled October 2026</w:t>
      </w:r>
    </w:p>
    <w:p>
      <w:pPr>
        <w:pStyle w:val="Heading2"/>
      </w:pPr>
      <w:r>
        <w:t xml:space="preserve">Summary</w:t>
      </w:r>
    </w:p>
    <w:p>
      <w:pPr/>
      <w:r>
        <w:t xml:space="preserve">This note documents how the Tableau workbook was built, the assumptions behind it, and where deeper exploration would be most useful. The analysis covers new Public Space construction permits applied for on or after October 1, 2025 and issued during FY26.</w:t>
      </w:r>
    </w:p>
    <w:p>
      <w:pPr>
        <w:pStyle w:val="ListParagraph"/>
        <w:numPr>
          <w:ilvl w:val="0"/>
          <w:numId w:val="2"/>
        </w:numPr>
      </w:pPr>
      <w:r>
        <w:rPr>
          <w:b/>
        </w:rPr>
        <w:t xml:space="preserve">Overall:</w:t>
      </w:r>
      <w:r>
        <w:t xml:space="preserve"> permits took </w:t>
      </w:r>
      <w:r>
        <w:rPr>
          <w:b/>
        </w:rPr>
        <w:t xml:space="preserve">23.5 business days</w:t>
      </w:r>
      <w:r>
        <w:t xml:space="preserve"> on average to approve, with a </w:t>
      </w:r>
      <w:r>
        <w:rPr>
          <w:b/>
        </w:rPr>
        <w:t xml:space="preserve">median of 14.0</w:t>
      </w:r>
      <w:r>
        <w:t xml:space="preserve"> (2,765 permits).</w:t>
      </w:r>
    </w:p>
    <w:p>
      <w:pPr>
        <w:pStyle w:val="ListParagraph"/>
        <w:numPr>
          <w:ilvl w:val="0"/>
          <w:numId w:val="2"/>
        </w:numPr>
      </w:pPr>
      <w:r>
        <w:rPr>
          <w:b/>
        </w:rPr>
        <w:t xml:space="preserve">Skew:</w:t>
      </w:r>
      <w:r>
        <w:t xml:space="preserve"> the average sits well above the median because a minority of slow permits pulls it up. The two should be read together.</w:t>
      </w:r>
    </w:p>
    <w:p>
      <w:pPr>
        <w:pStyle w:val="ListParagraph"/>
        <w:numPr>
          <w:ilvl w:val="0"/>
          <w:numId w:val="2"/>
        </w:numPr>
      </w:pPr>
      <w:r>
        <w:rPr>
          <w:b/>
        </w:rPr>
        <w:t xml:space="preserve">Permit type:</w:t>
      </w:r>
      <w:r>
        <w:t xml:space="preserve"> approval times differ sharply. Gas and water main permits are typically approved within about two business days (median 1 to 2), while paving permits average about 54 business days (median 39).</w:t>
      </w:r>
    </w:p>
    <w:p>
      <w:pPr>
        <w:pStyle w:val="ListParagraph"/>
        <w:numPr>
          <w:ilvl w:val="0"/>
          <w:numId w:val="2"/>
        </w:numPr>
      </w:pPr>
      <w:r>
        <w:rPr>
          <w:b/>
        </w:rPr>
        <w:t xml:space="preserve">Review path:</w:t>
      </w:r>
      <w:r>
        <w:t xml:space="preserve"> permits that were resubmitted (about 28% of the total) averaged </w:t>
      </w:r>
      <w:r>
        <w:rPr>
          <w:b/>
        </w:rPr>
        <w:t xml:space="preserve">49.1 business days</w:t>
      </w:r>
      <w:r>
        <w:t xml:space="preserve"> versus </w:t>
      </w:r>
      <w:r>
        <w:rPr>
          <w:b/>
        </w:rPr>
        <w:t xml:space="preserve">13.3</w:t>
      </w:r>
      <w:r>
        <w:t xml:space="preserve"> for first submissions, the widest gap found.</w:t>
      </w:r>
    </w:p>
    <w:p>
      <w:pPr>
        <w:pStyle w:val="ListParagraph"/>
        <w:numPr>
          <w:ilvl w:val="0"/>
          <w:numId w:val="2"/>
        </w:numPr>
      </w:pPr>
      <w:r>
        <w:rPr>
          <w:b/>
        </w:rPr>
        <w:t xml:space="preserve">Applicant and ward:</w:t>
      </w:r>
      <w:r>
        <w:t xml:space="preserve"> time varies noticeably by applicant group (Washington Gas averaged 9.5 days, DC Water 31.3), while ward differences are modest.</w:t>
      </w:r>
    </w:p>
    <w:p>
      <w:pPr/>
      <w:r>
        <w:t xml:space="preserve">These are descriptive segments only. No explanatory factors or statistical tests are claimed.</w:t>
      </w:r>
    </w:p>
    <w:p>
      <w:pPr>
        <w:pStyle w:val="Heading2"/>
      </w:pPr>
      <w:r>
        <w:t xml:space="preserve">Data Source and Extraction</w:t>
      </w:r>
    </w:p>
    <w:p>
      <w:pPr/>
      <w:r>
        <w:t xml:space="preserve">Data came from the DDOT TOPS construction permit layer (ArcGIS REST MapServer, layer 23). Because Tableau has no direct connector for this service type, a Python script (</w:t>
      </w:r>
      <w:r>
        <w:rPr>
          <w:rStyle w:val="CodeChar"/>
        </w:rPr>
        <w:t xml:space="preserve">build_permit_dataset.py</w:t>
      </w:r>
      <w:r>
        <w:t xml:space="preserve">, included) pages through the layer's query endpoint, converts Esri date values to DC local dates, applies the filters below, and writes a Tableau-ready CSV (</w:t>
      </w:r>
      <w:r>
        <w:rPr>
          <w:rStyle w:val="CodeChar"/>
        </w:rPr>
        <w:t xml:space="preserve">permits_fy26_clean.csv</w:t>
      </w:r>
      <w:r>
        <w:t xml:space="preserve">). Only the fields needed for the analysis were requested; contractor, owner, and permittee name fields were not pulled.</w:t>
      </w:r>
    </w:p>
    <w:p>
      <w:pPr>
        <w:pStyle w:val="Heading2"/>
      </w:pPr>
      <w:r>
        <w:t xml:space="preserve">Filters Applied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Records remaining</w:t>
            </w:r>
          </w:p>
        </w:tc>
      </w:tr>
      <w:tr>
        <w:tc>
          <w:tcPr>
            <w:tcW w:w="4680" w:type="dxa"/>
          </w:tcPr>
          <w:p>
            <w:pPr/>
            <w:r>
              <w:t xml:space="preserve">Raw records pulled from the layer</w:t>
            </w:r>
          </w:p>
        </w:tc>
        <w:tc>
          <w:tcPr>
            <w:tcW w:w="4680" w:type="dxa"/>
          </w:tcPr>
          <w:p>
            <w:pPr/>
            <w:r>
              <w:t xml:space="preserve">51,000</w:t>
            </w:r>
          </w:p>
        </w:tc>
      </w:tr>
      <w:tr>
        <w:tc>
          <w:tcPr>
            <w:tcW w:w="4680" w:type="dxa"/>
          </w:tcPr>
          <w:p>
            <w:pPr/>
            <w:r>
              <w:t xml:space="preserve">Application date on or after Oct 1, 2025</w:t>
            </w:r>
          </w:p>
        </w:tc>
        <w:tc>
          <w:tcPr>
            <w:tcW w:w="4680" w:type="dxa"/>
          </w:tcPr>
          <w:p>
            <w:pPr/>
            <w:r>
              <w:t xml:space="preserve">50,997</w:t>
            </w:r>
          </w:p>
        </w:tc>
      </w:tr>
      <w:tr>
        <w:tc>
          <w:tcPr>
            <w:tcW w:w="4680" w:type="dxa"/>
          </w:tcPr>
          <w:p>
            <w:pPr/>
            <w:r>
              <w:t xml:space="preserve">Issued in FY26 (issue date Oct 1, 2025 to Sep 30, 2026)</w:t>
            </w:r>
          </w:p>
        </w:tc>
        <w:tc>
          <w:tcPr>
            <w:tcW w:w="4680" w:type="dxa"/>
          </w:tcPr>
          <w:p>
            <w:pPr/>
            <w:r>
              <w:t xml:space="preserve">29,180</w:t>
            </w:r>
          </w:p>
        </w:tc>
      </w:tr>
      <w:tr>
        <w:tc>
          <w:tcPr>
            <w:tcW w:w="4680" w:type="dxa"/>
          </w:tcPr>
          <w:p>
            <w:pPr/>
            <w:r>
              <w:t xml:space="preserve">New permits only</w:t>
            </w:r>
          </w:p>
        </w:tc>
        <w:tc>
          <w:tcPr>
            <w:tcW w:w="4680" w:type="dxa"/>
          </w:tcPr>
          <w:p>
            <w:pPr/>
            <w:r>
              <w:t xml:space="preserve">12,155</w:t>
            </w:r>
          </w:p>
        </w:tc>
      </w:tr>
      <w:tr>
        <w:tc>
          <w:tcPr>
            <w:tcW w:w="4680" w:type="dxa"/>
          </w:tcPr>
          <w:p>
            <w:pPr/>
            <w:r>
              <w:t xml:space="preserve">One record per permit number</w:t>
            </w:r>
          </w:p>
        </w:tc>
        <w:tc>
          <w:tcPr>
            <w:tcW w:w="4680" w:type="dxa"/>
          </w:tcPr>
          <w:p>
            <w:pPr/>
            <w:r>
              <w:t xml:space="preserve">2,770</w:t>
            </w:r>
          </w:p>
        </w:tc>
      </w:tr>
      <w:tr>
        <w:tc>
          <w:tcPr>
            <w:tcW w:w="4680" w:type="dxa"/>
          </w:tcPr>
          <w:p>
            <w:pPr/>
            <w:r>
              <w:t xml:space="preserve">Has an approval date (used in averages)</w:t>
            </w:r>
          </w:p>
        </w:tc>
        <w:tc>
          <w:tcPr>
            <w:tcW w:w="4680" w:type="dxa"/>
          </w:tcPr>
          <w:p>
            <w:pPr/>
            <w:r>
              <w:t xml:space="preserve">2,765</w:t>
            </w:r>
          </w:p>
        </w:tc>
      </w:tr>
    </w:tbl>
    <w:p>
      <w:pPr>
        <w:pStyle w:val="Heading2"/>
      </w:pPr>
      <w:r>
        <w:t xml:space="preserve">Key Definitions and Assumptions</w:t>
      </w:r>
    </w:p>
    <w:p>
      <w:pPr>
        <w:pStyle w:val="ListParagraph"/>
        <w:numPr>
          <w:ilvl w:val="0"/>
          <w:numId w:val="3"/>
        </w:numPr>
      </w:pPr>
      <w:r>
        <w:rPr>
          <w:b/>
        </w:rPr>
        <w:t xml:space="preserve">New permit:</w:t>
      </w:r>
      <w:r>
        <w:t xml:space="preserve"> </w:t>
      </w:r>
      <w:r>
        <w:rPr>
          <w:rStyle w:val="CodeChar"/>
        </w:rPr>
        <w:t xml:space="preserve">RenewalDescription</w:t>
      </w:r>
      <w:r>
        <w:t xml:space="preserve"> equals "New" (</w:t>
      </w:r>
      <w:r>
        <w:rPr>
          <w:rStyle w:val="CodeChar"/>
        </w:rPr>
        <w:t xml:space="preserve">Renewal</w:t>
      </w:r>
      <w:r>
        <w:t xml:space="preserve"> = 1). Renewals (</w:t>
      </w:r>
      <w:r>
        <w:rPr>
          <w:rStyle w:val="CodeChar"/>
        </w:rPr>
        <w:t xml:space="preserve">Renewal</w:t>
      </w:r>
      <w:r>
        <w:t xml:space="preserve"> = 2) always reference a source permit and were excluded. The </w:t>
      </w:r>
      <w:r>
        <w:rPr>
          <w:rStyle w:val="CodeChar"/>
        </w:rPr>
        <w:t xml:space="preserve">PermitType</w:t>
      </w:r>
      <w:r>
        <w:t xml:space="preserve"> field (New/Replace/Repair) was not used, because renewals also carry the value "New" there.</w:t>
      </w:r>
    </w:p>
    <w:p>
      <w:pPr>
        <w:pStyle w:val="ListParagraph"/>
        <w:numPr>
          <w:ilvl w:val="0"/>
          <w:numId w:val="3"/>
        </w:numPr>
      </w:pPr>
      <w:r>
        <w:rPr>
          <w:b/>
        </w:rPr>
        <w:t xml:space="preserve">Issued in FY26:</w:t>
      </w:r>
      <w:r>
        <w:t xml:space="preserve"> the issue date falls between October 1, 2025 and September 30, 2026. The </w:t>
      </w:r>
      <w:r>
        <w:rPr>
          <w:rStyle w:val="CodeChar"/>
        </w:rPr>
        <w:t xml:space="preserve">FiscalYear</w:t>
      </w:r>
      <w:r>
        <w:t xml:space="preserve"> field was not used for filtering because it appears to follow the application date (a permit issued October 6, 2026 still showed FiscalYear 2026).</w:t>
      </w:r>
    </w:p>
    <w:p>
      <w:pPr>
        <w:pStyle w:val="ListParagraph"/>
        <w:numPr>
          <w:ilvl w:val="0"/>
          <w:numId w:val="3"/>
        </w:numPr>
      </w:pPr>
      <w:r>
        <w:rPr>
          <w:b/>
        </w:rPr>
        <w:t xml:space="preserve">Time to approve:</w:t>
      </w:r>
      <w:r>
        <w:t xml:space="preserve"> business days from </w:t>
      </w:r>
      <w:r>
        <w:rPr>
          <w:rStyle w:val="CodeChar"/>
        </w:rPr>
        <w:t xml:space="preserve">ApplicationDate</w:t>
      </w:r>
      <w:r>
        <w:t xml:space="preserve"> to </w:t>
      </w:r>
      <w:r>
        <w:rPr>
          <w:rStyle w:val="CodeChar"/>
        </w:rPr>
        <w:t xml:space="preserve">LastApprovalDate</w:t>
      </w:r>
      <w:r>
        <w:t xml:space="preserve">. Issue date was deliberately not used as the end point, because issuance can follow approval by days or weeks (median about 6 calendar days in the raw data) and may depend on applicant actions such as paying fees. Both measures are in the dataset (</w:t>
      </w:r>
      <w:r>
        <w:rPr>
          <w:rStyle w:val="CodeChar"/>
        </w:rPr>
        <w:t xml:space="preserve">bd_application_to_approval</w:t>
      </w:r>
      <w:r>
        <w:t xml:space="preserve">, </w:t>
      </w:r>
      <w:r>
        <w:rPr>
          <w:rStyle w:val="CodeChar"/>
        </w:rPr>
        <w:t xml:space="preserve">bd_application_to_issue</w:t>
      </w:r>
      <w:r>
        <w:t xml:space="preserve">).</w:t>
      </w:r>
    </w:p>
    <w:p>
      <w:pPr>
        <w:pStyle w:val="ListParagraph"/>
        <w:numPr>
          <w:ilvl w:val="0"/>
          <w:numId w:val="3"/>
        </w:numPr>
      </w:pPr>
      <w:r>
        <w:rPr>
          <w:b/>
        </w:rPr>
        <w:t xml:space="preserve">Business days:</w:t>
      </w:r>
      <w:r>
        <w:t xml:space="preserve"> weekends and District holidays are excluded. The start date is counted and the end date is not, so a same-day approval equals 0. Holidays applied: Oct 13 (Indigenous Peoples' Day), Nov 11, Nov 27, Dec 25, Jan 1, Jan 19, Feb 16, Apr 16 (DC Emancipation Day), May 25, Jun 19, Jul 3 (Independence Day observed), and Sep 7.</w:t>
      </w:r>
    </w:p>
    <w:p>
      <w:pPr>
        <w:pStyle w:val="ListParagraph"/>
        <w:numPr>
          <w:ilvl w:val="0"/>
          <w:numId w:val="3"/>
        </w:numPr>
      </w:pPr>
      <w:r>
        <w:rPr>
          <w:b/>
        </w:rPr>
        <w:t xml:space="preserve">One record per permit:</w:t>
      </w:r>
      <w:r>
        <w:t xml:space="preserve"> the layer contains multiple rows for many permit numbers, so one row per </w:t>
      </w:r>
      <w:r>
        <w:rPr>
          <w:rStyle w:val="CodeChar"/>
        </w:rPr>
        <w:t xml:space="preserve">PermitNumber</w:t>
      </w:r>
      <w:r>
        <w:t xml:space="preserve"> was kept to avoid counting a single permit repeatedly. Attributes that vary by location (such as ward) reflect the retained record, so ward results are indicative for multi-location permits.</w:t>
      </w:r>
    </w:p>
    <w:p>
      <w:pPr>
        <w:pStyle w:val="ListParagraph"/>
        <w:numPr>
          <w:ilvl w:val="0"/>
          <w:numId w:val="3"/>
        </w:numPr>
      </w:pPr>
      <w:r>
        <w:rPr>
          <w:b/>
        </w:rPr>
        <w:t xml:space="preserve">Permit type categories:</w:t>
      </w:r>
      <w:r>
        <w:t xml:space="preserve"> no data dictionary was available, so categories were derived. Excavation permits (the large majority) are split by work type using keywords in </w:t>
      </w:r>
      <w:r>
        <w:rPr>
          <w:rStyle w:val="CodeChar"/>
        </w:rPr>
        <w:t xml:space="preserve">TypeDetailNames</w:t>
      </w:r>
      <w:r>
        <w:t xml:space="preserve"> (gas, electric, water main/hydrant/valve, water service lateral/test pit, sewer/storm/manhole, and others). Non-excavation permits use the type flags (paving, fixture, overhead work, projections, landscaping). Where a permit carries several flags, a priority order picks one category.</w:t>
      </w:r>
    </w:p>
    <w:p>
      <w:pPr>
        <w:pStyle w:val="ListParagraph"/>
        <w:numPr>
          <w:ilvl w:val="0"/>
          <w:numId w:val="3"/>
        </w:numPr>
      </w:pPr>
      <w:r>
        <w:rPr>
          <w:b/>
        </w:rPr>
        <w:t xml:space="preserve">Review path:</w:t>
      </w:r>
      <w:r>
        <w:t xml:space="preserve"> "Resubmitted" means the permit has a resubmission date on record.</w:t>
      </w:r>
    </w:p>
    <w:p>
      <w:pPr>
        <w:pStyle w:val="ListParagraph"/>
        <w:numPr>
          <w:ilvl w:val="0"/>
          <w:numId w:val="3"/>
        </w:numPr>
      </w:pPr>
      <w:r>
        <w:rPr>
          <w:b/>
        </w:rPr>
        <w:t xml:space="preserve">Applicant group:</w:t>
      </w:r>
      <w:r>
        <w:t xml:space="preserve"> grouped from </w:t>
      </w:r>
      <w:r>
        <w:rPr>
          <w:rStyle w:val="CodeChar"/>
        </w:rPr>
        <w:t xml:space="preserve">ApplicantCompany</w:t>
      </w:r>
      <w:r>
        <w:t xml:space="preserve"> by name keywords (DC Water, Washington Gas, Pepco, Telecom, Government, Other). Blank company names are shown as Unknown.</w:t>
      </w:r>
    </w:p>
    <w:p>
      <w:pPr>
        <w:pStyle w:val="ListParagraph"/>
        <w:numPr>
          <w:ilvl w:val="0"/>
          <w:numId w:val="3"/>
        </w:numPr>
      </w:pPr>
      <w:r>
        <w:rPr>
          <w:b/>
        </w:rPr>
        <w:t xml:space="preserve">Small samples:</w:t>
      </w:r>
      <w:r>
        <w:t xml:space="preserve"> categories with fewer than 30 permits are displayed muted and should not be over-interpreted.</w:t>
      </w:r>
    </w:p>
    <w:p>
      <w:pPr>
        <w:pStyle w:val="ListParagraph"/>
        <w:numPr>
          <w:ilvl w:val="0"/>
          <w:numId w:val="3"/>
        </w:numPr>
      </w:pPr>
      <w:r>
        <w:rPr>
          <w:b/>
        </w:rPr>
        <w:t xml:space="preserve">Excluded rows:</w:t>
      </w:r>
      <w:r>
        <w:t xml:space="preserve"> records with Trash/Delete status were removed (none were present). Permits with a later status such as expired, suspended, or revoked were kept if they had been issued.</w:t>
      </w:r>
    </w:p>
    <w:p>
      <w:pPr>
        <w:pStyle w:val="Heading2"/>
      </w:pPr>
      <w:r>
        <w:t xml:space="preserve">Validation</w:t>
      </w:r>
    </w:p>
    <w:p>
      <w:pPr>
        <w:pStyle w:val="ListParagraph"/>
        <w:numPr>
          <w:ilvl w:val="0"/>
          <w:numId w:val="4"/>
        </w:numPr>
      </w:pPr>
      <w:r>
        <w:t xml:space="preserve">The service's own </w:t>
      </w:r>
      <w:r>
        <w:rPr>
          <w:rStyle w:val="CodeChar"/>
        </w:rPr>
        <w:t xml:space="preserve">DaysToApprove</w:t>
      </w:r>
      <w:r>
        <w:t xml:space="preserve"> field was compared with the calendar-day interval from application to last approval. It matched exactly for 87% of permits with a median difference of zero, which supports the choice of start and end dates.</w:t>
      </w:r>
    </w:p>
    <w:p>
      <w:pPr>
        <w:pStyle w:val="ListParagraph"/>
        <w:numPr>
          <w:ilvl w:val="0"/>
          <w:numId w:val="4"/>
        </w:numPr>
      </w:pPr>
      <w:r>
        <w:t xml:space="preserve">Record counts at each filter step are logged in </w:t>
      </w:r>
      <w:r>
        <w:rPr>
          <w:rStyle w:val="CodeChar"/>
        </w:rPr>
        <w:t xml:space="preserve">excluded_log.csv</w:t>
      </w:r>
      <w:r>
        <w:t xml:space="preserve">.</w:t>
      </w:r>
    </w:p>
    <w:p>
      <w:pPr>
        <w:pStyle w:val="Heading2"/>
      </w:pPr>
      <w:r>
        <w:t xml:space="preserve">Limitations</w:t>
      </w:r>
    </w:p>
    <w:p>
      <w:pPr>
        <w:pStyle w:val="ListParagraph"/>
        <w:numPr>
          <w:ilvl w:val="0"/>
          <w:numId w:val="5"/>
        </w:numPr>
      </w:pPr>
      <w:r>
        <w:t xml:space="preserve">Permits applied for late in FY26 but not yet issued are excluded by the issued-in-FY26 filter. These skew slower, so averages (and any month-by-month trend) may understate approval times for recent applications.</w:t>
      </w:r>
    </w:p>
    <w:p>
      <w:pPr>
        <w:pStyle w:val="ListParagraph"/>
        <w:numPr>
          <w:ilvl w:val="0"/>
          <w:numId w:val="5"/>
        </w:numPr>
      </w:pPr>
      <w:r>
        <w:t xml:space="preserve">Categories and applicant groups are derived by keyword rules and overlap heavily (for example, gas permits are mostly Washington Gas, and water service lateral permits are mostly DC Water), so these views partly reflect the same underlying work.</w:t>
      </w:r>
    </w:p>
    <w:p>
      <w:pPr>
        <w:pStyle w:val="ListParagraph"/>
        <w:numPr>
          <w:ilvl w:val="0"/>
          <w:numId w:val="5"/>
        </w:numPr>
      </w:pPr>
      <w:r>
        <w:t xml:space="preserve">Resubmitted permits have by definition gone through a correction cycle, so their longer approval time partly reflects the cycle itself.</w:t>
      </w:r>
    </w:p>
    <w:p>
      <w:pPr>
        <w:pStyle w:val="ListParagraph"/>
        <w:numPr>
          <w:ilvl w:val="0"/>
          <w:numId w:val="5"/>
        </w:numPr>
      </w:pPr>
      <w:r>
        <w:t xml:space="preserve">About 13% of permits show a small difference from the service's </w:t>
      </w:r>
      <w:r>
        <w:rPr>
          <w:rStyle w:val="CodeChar"/>
        </w:rPr>
        <w:t xml:space="preserve">DaysToApprove</w:t>
      </w:r>
      <w:r>
        <w:t xml:space="preserve">, likely from timestamp effects, but this was not investigated.</w:t>
      </w:r>
    </w:p>
    <w:p>
      <w:pPr>
        <w:pStyle w:val="ListParagraph"/>
        <w:numPr>
          <w:ilvl w:val="0"/>
          <w:numId w:val="5"/>
        </w:numPr>
      </w:pPr>
      <w:r>
        <w:t xml:space="preserve">Without a data dictionary, field meanings (including </w:t>
      </w:r>
      <w:r>
        <w:rPr>
          <w:rStyle w:val="CodeChar"/>
        </w:rPr>
        <w:t xml:space="preserve">LastApprovalDate</w:t>
      </w:r>
      <w:r>
        <w:t xml:space="preserve"> and </w:t>
      </w:r>
      <w:r>
        <w:rPr>
          <w:rStyle w:val="CodeChar"/>
        </w:rPr>
        <w:t xml:space="preserve">EWRNumber</w:t>
      </w:r>
      <w:r>
        <w:t xml:space="preserve">) are inferred from field names and sample records.</w:t>
      </w:r>
    </w:p>
    <w:p>
      <w:pPr>
        <w:pStyle w:val="Heading2"/>
      </w:pPr>
      <w:r>
        <w:t xml:space="preserve">Suggested Next Steps</w:t>
      </w:r>
    </w:p>
    <w:p>
      <w:pPr/>
      <w:r>
        <w:rPr>
          <w:b/>
        </w:rPr>
        <w:t xml:space="preserve">1. Understand resubmissions (largest gap).</w:t>
      </w:r>
      <w:r>
        <w:t xml:space="preserve"> Identify what triggers a resubmission using </w:t>
      </w:r>
      <w:r>
        <w:rPr>
          <w:rStyle w:val="CodeChar"/>
        </w:rPr>
        <w:t xml:space="preserve">PCReviewStatus</w:t>
      </w:r>
      <w:r>
        <w:t xml:space="preserve"> and </w:t>
      </w:r>
      <w:r>
        <w:rPr>
          <w:rStyle w:val="CodeChar"/>
        </w:rPr>
        <w:t xml:space="preserve">LastResubmissionRequestDate</w:t>
      </w:r>
      <w:r>
        <w:t xml:space="preserve">. Split resubmitted permits' time between waiting on the applicant and waiting on the District, and check how many correction cycles each permit goes through.</w:t>
      </w:r>
    </w:p>
    <w:p>
      <w:pPr/>
      <w:r>
        <w:rPr>
          <w:b/>
        </w:rPr>
        <w:t xml:space="preserve">2. Find where time accumulates.</w:t>
      </w:r>
      <w:r>
        <w:t xml:space="preserve"> The dataset includes stage durations (application to ready for review, ready to assigned, assigned to approval, approval to issue) that were not charted. A stacked view by permit type would show which stage drives slow categories. Some permits waited months between ready-for-review and assignment.</w:t>
      </w:r>
    </w:p>
    <w:p>
      <w:pPr/>
      <w:r>
        <w:rPr>
          <w:b/>
        </w:rPr>
        <w:t xml:space="preserve">3. Examine the fast permits.</w:t>
      </w:r>
      <w:r>
        <w:t xml:space="preserve"> Gas and water main permits have medians of one to two days. Determine whether these are emergency, streamlined, or auto-approved processes, and whether they should be analyzed separately from standard review.</w:t>
      </w:r>
    </w:p>
    <w:p>
      <w:pPr/>
      <w:r>
        <w:rPr>
          <w:b/>
        </w:rPr>
        <w:t xml:space="preserve">4. Look at applicant experience.</w:t>
      </w:r>
      <w:r>
        <w:t xml:space="preserve"> Unknown and Other applicants were the slowest groups. Compare repeat applicants with one-time applicants, and check whether permit type or resubmission rate explains the difference.</w:t>
      </w:r>
    </w:p>
    <w:p>
      <w:pPr/>
      <w:r>
        <w:rPr>
          <w:b/>
        </w:rPr>
        <w:t xml:space="preserve">5. Separate District time from applicant time after approval.</w:t>
      </w:r>
      <w:r>
        <w:t xml:space="preserve"> Compare approval-to-issue time, using </w:t>
      </w:r>
      <w:r>
        <w:rPr>
          <w:rStyle w:val="CodeChar"/>
        </w:rPr>
        <w:t xml:space="preserve">PermitFeesPaymentDate</w:t>
      </w:r>
      <w:r>
        <w:t xml:space="preserve">, to see how much delay occurs after the District has approved.</w:t>
      </w:r>
    </w:p>
    <w:p>
      <w:pPr/>
      <w:r>
        <w:rPr>
          <w:b/>
        </w:rPr>
        <w:t xml:space="preserve">6. Track trends over time.</w:t>
      </w:r>
      <w:r>
        <w:t xml:space="preserve"> Add application-month and volume views, handling the unissued-permit limitation above (for example by following each month's applications for a fixed window).</w:t>
      </w:r>
    </w:p>
    <w:p>
      <w:pPr/>
      <w:r>
        <w:rPr>
          <w:b/>
        </w:rPr>
        <w:t xml:space="preserve">7. Move to multivariate analysis.</w:t>
      </w:r>
      <w:r>
        <w:t xml:space="preserve"> Because permit type, applicant, and resubmission are intertwined, a model that considers them together would separate their effects. This was out of scope here.</w:t>
      </w:r>
    </w:p>
    <w:p>
      <w:pPr/>
      <w:r>
        <w:rPr>
          <w:b/>
        </w:rPr>
        <w:t xml:space="preserve">8. Improve data quality.</w:t>
      </w:r>
      <w:r>
        <w:t xml:space="preserve"> Request a data dictionary, confirm the definition of "new" and the meaning of </w:t>
      </w:r>
      <w:r>
        <w:rPr>
          <w:rStyle w:val="CodeChar"/>
        </w:rPr>
        <w:t xml:space="preserve">LastApprovalDate</w:t>
      </w:r>
      <w:r>
        <w:t xml:space="preserve"> with the data owners, clarify why permit numbers repeat across rows, and review the small difference from </w:t>
      </w:r>
      <w:r>
        <w:rPr>
          <w:rStyle w:val="CodeChar"/>
        </w:rPr>
        <w:t xml:space="preserve">DaysToApprove</w:t>
      </w:r>
      <w:r>
        <w:t xml:space="preserve">.</w:t>
      </w:r>
    </w:p>
    <w:p>
      <w:pPr>
        <w:pStyle w:val="Heading2"/>
      </w:pPr>
      <w:r>
        <w:t xml:space="preserve">Package Contents</w:t>
      </w:r>
    </w:p>
    <w:p>
      <w:pPr>
        <w:pStyle w:val="ListParagraph"/>
        <w:numPr>
          <w:ilvl w:val="0"/>
          <w:numId w:val="6"/>
        </w:numPr>
      </w:pPr>
      <w:r>
        <w:t xml:space="preserve">The packaged Tableau workbook (.twbx): three analysis worksheets plus supporting views, and the dashboard</w:t>
      </w:r>
    </w:p>
    <w:p>
      <w:pPr>
        <w:pStyle w:val="ListParagraph"/>
        <w:numPr>
          <w:ilvl w:val="0"/>
          <w:numId w:val="6"/>
        </w:numPr>
      </w:pPr>
      <w:r>
        <w:rPr>
          <w:rStyle w:val="CodeChar"/>
        </w:rPr>
        <w:t xml:space="preserve">build_permit_dataset.py</w:t>
      </w:r>
      <w:r>
        <w:t xml:space="preserve">: extraction, cleaning, and business-day calculation</w:t>
      </w:r>
    </w:p>
    <w:p>
      <w:pPr>
        <w:pStyle w:val="ListParagraph"/>
        <w:numPr>
          <w:ilvl w:val="0"/>
          <w:numId w:val="6"/>
        </w:numPr>
      </w:pPr>
      <w:r>
        <w:rPr>
          <w:rStyle w:val="CodeChar"/>
        </w:rPr>
        <w:t xml:space="preserve">permits_fy26_clean.csv</w:t>
      </w:r>
      <w:r>
        <w:t xml:space="preserve">: the purpose-built data source used by the workbook</w:t>
      </w:r>
    </w:p>
    <w:p>
      <w:pPr>
        <w:pStyle w:val="ListParagraph"/>
        <w:numPr>
          <w:ilvl w:val="0"/>
          <w:numId w:val="6"/>
        </w:numPr>
      </w:pPr>
      <w:r>
        <w:rPr>
          <w:rStyle w:val="CodeChar"/>
        </w:rPr>
        <w:t xml:space="preserve">excluded_log.csv</w:t>
      </w:r>
      <w:r>
        <w:t xml:space="preserve">: record counts at each filter step</w:t>
      </w:r>
    </w:p>
    <w:p>
      <w:pPr>
        <w:pStyle w:val="ListParagraph"/>
        <w:numPr>
          <w:ilvl w:val="0"/>
          <w:numId w:val="6"/>
        </w:numPr>
      </w:pPr>
      <w:r>
        <w:t xml:space="preserve">This note</w:t>
      </w:r>
    </w:p>
    <w:p>
      <w:pPr/>
      <w:r>
        <w:t xml:space="preserve">AI assistance (Claude) was used to help draft the extraction script and this documentation. The filters, definitions, and results were reviewed against the source data.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Public Space Construction Permits Time to Approval, FY2026</dc:title>
  <dc:description>Claude Docs node/d9f88129-e742@1 docx-w6</dc:description>
  <cp:revision>1</cp:revision>
</cp:coreProperties>
</file>