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5296EA" w14:textId="25304087" w:rsidR="002D4AE8" w:rsidRDefault="00A008F2" w:rsidP="002D4AE8">
      <w:pPr>
        <w:pStyle w:val="Heading2"/>
        <w:ind w:left="360"/>
      </w:pPr>
      <w:r>
        <w:t xml:space="preserve">Supplement S1 – </w:t>
      </w:r>
      <w:r w:rsidR="002D4AE8">
        <w:t>Methods</w:t>
      </w:r>
    </w:p>
    <w:p w14:paraId="6F744FAB" w14:textId="77777777" w:rsidR="002D4AE8" w:rsidRDefault="002D4AE8" w:rsidP="002D4AE8">
      <w:pPr>
        <w:pStyle w:val="Heading3"/>
        <w:ind w:left="1080"/>
      </w:pPr>
      <w:r>
        <w:t xml:space="preserve"> Sites and sampling</w:t>
      </w:r>
    </w:p>
    <w:p w14:paraId="5C2149F5" w14:textId="77777777" w:rsidR="002D4AE8" w:rsidRPr="002D4AE8" w:rsidRDefault="002D4AE8" w:rsidP="002D4AE8">
      <w:pPr>
        <w:ind w:left="360"/>
        <w:rPr>
          <w:szCs w:val="28"/>
        </w:rPr>
      </w:pPr>
      <w:r w:rsidRPr="002D4AE8">
        <w:rPr>
          <w:szCs w:val="28"/>
        </w:rPr>
        <w:t xml:space="preserve">The study area is a natural grassland, </w:t>
      </w:r>
      <w:proofErr w:type="spellStart"/>
      <w:r w:rsidRPr="002D4AE8">
        <w:rPr>
          <w:szCs w:val="28"/>
        </w:rPr>
        <w:t>Grændalur</w:t>
      </w:r>
      <w:proofErr w:type="spellEnd"/>
      <w:r w:rsidRPr="002D4AE8">
        <w:rPr>
          <w:szCs w:val="28"/>
        </w:rPr>
        <w:t xml:space="preserve">, </w:t>
      </w:r>
      <w:r>
        <w:t xml:space="preserve">near </w:t>
      </w:r>
      <w:proofErr w:type="spellStart"/>
      <w:r>
        <w:t>Hveragerði</w:t>
      </w:r>
      <w:proofErr w:type="spellEnd"/>
      <w:r>
        <w:t xml:space="preserve"> (64°0′N, 21°11′W), Iceland. </w:t>
      </w:r>
      <w:r w:rsidRPr="002D4AE8">
        <w:rPr>
          <w:szCs w:val="28"/>
        </w:rPr>
        <w:t>The sites are part the ‘</w:t>
      </w:r>
      <w:proofErr w:type="spellStart"/>
      <w:r w:rsidRPr="002D4AE8">
        <w:rPr>
          <w:szCs w:val="28"/>
        </w:rPr>
        <w:t>ForHot</w:t>
      </w:r>
      <w:proofErr w:type="spellEnd"/>
      <w:r w:rsidRPr="002D4AE8">
        <w:rPr>
          <w:szCs w:val="28"/>
        </w:rPr>
        <w:t xml:space="preserve">’ natural soil warming experiment </w:t>
      </w:r>
      <w:r w:rsidRPr="002D4AE8">
        <w:rPr>
          <w:color w:val="000000"/>
        </w:rPr>
        <w:t>(www.forhot.is; Sigurdsson et al., 2016)</w:t>
      </w:r>
      <w:r w:rsidRPr="002D4AE8">
        <w:rPr>
          <w:szCs w:val="28"/>
        </w:rPr>
        <w:t xml:space="preserve">. The grassland is a geothermal ecosystem which offers the world’s largest </w:t>
      </w:r>
      <w:r w:rsidRPr="00917219">
        <w:t xml:space="preserve">scale (temporal and spatial) </w:t>
      </w:r>
      <w:r w:rsidRPr="002D4AE8">
        <w:rPr>
          <w:szCs w:val="28"/>
        </w:rPr>
        <w:t>natural soil warming experiments.</w:t>
      </w:r>
      <w:r w:rsidRPr="00AD6051">
        <w:t xml:space="preserve"> </w:t>
      </w:r>
      <w:r w:rsidRPr="002D4AE8">
        <w:rPr>
          <w:szCs w:val="28"/>
        </w:rPr>
        <w:t>The soil is heated to a maximum temperature of 20 °C above ambient at a depth of 10 cm. The soil temperature gradually decreases to ambient levels along multiple 50-m transects. Geothermal activities may have varied over time, but warming has been continuous in the area since at least 1963, and the warming intensities of the thermal gradients have not varied since detailed measurements began (</w:t>
      </w:r>
      <w:r w:rsidRPr="002D4AE8">
        <w:rPr>
          <w:color w:val="000000"/>
        </w:rPr>
        <w:t>Sigurdsson et al., 2016</w:t>
      </w:r>
      <w:r w:rsidRPr="002D4AE8">
        <w:rPr>
          <w:szCs w:val="28"/>
        </w:rPr>
        <w:t>). Overlying grassland extends uninterrupted across each temperature gradient (</w:t>
      </w:r>
      <w:r>
        <w:t xml:space="preserve">dominated by the grass </w:t>
      </w:r>
      <w:r w:rsidRPr="002D4AE8">
        <w:rPr>
          <w:i/>
          <w:iCs/>
        </w:rPr>
        <w:t xml:space="preserve">Agrostis </w:t>
      </w:r>
      <w:proofErr w:type="spellStart"/>
      <w:r w:rsidRPr="002D4AE8">
        <w:rPr>
          <w:i/>
          <w:iCs/>
        </w:rPr>
        <w:t>capillaris</w:t>
      </w:r>
      <w:proofErr w:type="spellEnd"/>
      <w:r w:rsidRPr="002D4AE8">
        <w:rPr>
          <w:szCs w:val="28"/>
        </w:rPr>
        <w:t xml:space="preserve">). The soil is characterized as a </w:t>
      </w:r>
      <w:proofErr w:type="spellStart"/>
      <w:r>
        <w:t>Silandic</w:t>
      </w:r>
      <w:proofErr w:type="spellEnd"/>
      <w:r>
        <w:t xml:space="preserve"> Brow Andosol</w:t>
      </w:r>
      <w:r w:rsidRPr="002D4AE8">
        <w:rPr>
          <w:szCs w:val="28"/>
        </w:rPr>
        <w:t xml:space="preserve">. Plots of ambient soil typically experience varying degrees of freezing during winter, whereas no frost occurs in the heated areas </w:t>
      </w:r>
      <w:r w:rsidRPr="00917219">
        <w:rPr>
          <w:noProof/>
        </w:rPr>
        <w:t xml:space="preserve">at </w:t>
      </w:r>
      <w:r>
        <w:rPr>
          <w:noProof/>
        </w:rPr>
        <w:t>+</w:t>
      </w:r>
      <w:r w:rsidRPr="00917219">
        <w:rPr>
          <w:noProof/>
        </w:rPr>
        <w:t>5</w:t>
      </w:r>
      <w:r>
        <w:rPr>
          <w:noProof/>
        </w:rPr>
        <w:t xml:space="preserve"> </w:t>
      </w:r>
      <w:r w:rsidRPr="002D4AE8">
        <w:rPr>
          <w:szCs w:val="28"/>
        </w:rPr>
        <w:t>°C</w:t>
      </w:r>
      <w:r w:rsidRPr="00917219">
        <w:rPr>
          <w:noProof/>
        </w:rPr>
        <w:t xml:space="preserve"> or </w:t>
      </w:r>
      <w:r>
        <w:rPr>
          <w:noProof/>
        </w:rPr>
        <w:t>more</w:t>
      </w:r>
      <w:r w:rsidRPr="00917219">
        <w:rPr>
          <w:noProof/>
        </w:rPr>
        <w:t xml:space="preserve"> above ambient</w:t>
      </w:r>
      <w:r>
        <w:rPr>
          <w:noProof/>
        </w:rPr>
        <w:t>. Eight s</w:t>
      </w:r>
      <w:proofErr w:type="spellStart"/>
      <w:r w:rsidRPr="002D4AE8">
        <w:rPr>
          <w:szCs w:val="28"/>
        </w:rPr>
        <w:t>amples</w:t>
      </w:r>
      <w:proofErr w:type="spellEnd"/>
      <w:r w:rsidRPr="002D4AE8">
        <w:rPr>
          <w:szCs w:val="28"/>
        </w:rPr>
        <w:t xml:space="preserve"> were collected in July 2016 from four long-term warming (LTW) transects; four samples from plots with elevated (E) temperatures (+6 °C above ambient, LTW-E</w:t>
      </w:r>
      <w:r w:rsidRPr="002D4AE8">
        <w:rPr>
          <w:szCs w:val="28"/>
          <w:vertAlign w:val="subscript"/>
        </w:rPr>
        <w:t>T</w:t>
      </w:r>
      <w:r w:rsidRPr="002D4AE8">
        <w:rPr>
          <w:szCs w:val="28"/>
        </w:rPr>
        <w:t>) and four corresponding samples from plots with ambient (A) temperatures (LTW-A</w:t>
      </w:r>
      <w:r w:rsidRPr="002D4AE8">
        <w:rPr>
          <w:szCs w:val="28"/>
          <w:vertAlign w:val="subscript"/>
        </w:rPr>
        <w:t>T</w:t>
      </w:r>
      <w:r w:rsidRPr="002D4AE8">
        <w:rPr>
          <w:szCs w:val="28"/>
        </w:rPr>
        <w:t>). Soil cores (0-10 cm layer; approximately 40 g) were collected from each plot at each site, sieved to 2 mm, and immediately frozen in liquid nitrogen.</w:t>
      </w:r>
    </w:p>
    <w:p w14:paraId="041F1925" w14:textId="77777777" w:rsidR="002D4AE8" w:rsidRPr="00F800AE" w:rsidRDefault="002D4AE8" w:rsidP="002D4AE8">
      <w:pPr>
        <w:ind w:left="360"/>
      </w:pPr>
      <w:r>
        <w:rPr>
          <w:lang w:eastAsia="en-GB"/>
        </w:rPr>
        <w:t>Microbial biomass was estimated</w:t>
      </w:r>
      <w:r w:rsidRPr="008F521D">
        <w:t xml:space="preserve"> </w:t>
      </w:r>
      <w:r>
        <w:t xml:space="preserve">from a subset of fresh aliquots of each sample </w:t>
      </w:r>
      <w:r>
        <w:rPr>
          <w:lang w:eastAsia="en-GB"/>
        </w:rPr>
        <w:t>by comparing extractable dissolved organic carbon DOC i</w:t>
      </w:r>
      <w:r w:rsidRPr="00F7036A">
        <w:rPr>
          <w:lang w:eastAsia="en-GB"/>
        </w:rPr>
        <w:t xml:space="preserve">n fumigated and </w:t>
      </w:r>
      <w:r>
        <w:rPr>
          <w:lang w:eastAsia="en-GB"/>
        </w:rPr>
        <w:t>un</w:t>
      </w:r>
      <w:r w:rsidRPr="00F7036A">
        <w:rPr>
          <w:lang w:eastAsia="en-GB"/>
        </w:rPr>
        <w:t xml:space="preserve">fumigated </w:t>
      </w:r>
      <w:proofErr w:type="spellStart"/>
      <w:r>
        <w:rPr>
          <w:lang w:eastAsia="en-GB"/>
        </w:rPr>
        <w:t>KCl</w:t>
      </w:r>
      <w:proofErr w:type="spellEnd"/>
      <w:r>
        <w:rPr>
          <w:lang w:eastAsia="en-GB"/>
        </w:rPr>
        <w:t xml:space="preserve"> </w:t>
      </w:r>
      <w:r w:rsidRPr="00F7036A">
        <w:rPr>
          <w:lang w:eastAsia="en-GB"/>
        </w:rPr>
        <w:t xml:space="preserve">extracts </w:t>
      </w:r>
      <w:r>
        <w:rPr>
          <w:lang w:eastAsia="en-GB"/>
        </w:rPr>
        <w:t>following chloroform fumigation. See</w:t>
      </w:r>
      <w:r w:rsidRPr="00F7036A">
        <w:t xml:space="preserve"> </w:t>
      </w:r>
      <w:proofErr w:type="spellStart"/>
      <w:r w:rsidRPr="00F7036A">
        <w:rPr>
          <w:lang w:eastAsia="en-GB"/>
        </w:rPr>
        <w:t>Söllinger</w:t>
      </w:r>
      <w:proofErr w:type="spellEnd"/>
      <w:r w:rsidRPr="00F7036A">
        <w:rPr>
          <w:lang w:eastAsia="en-GB"/>
        </w:rPr>
        <w:t xml:space="preserve"> </w:t>
      </w:r>
      <w:r w:rsidRPr="002D4AE8">
        <w:rPr>
          <w:i/>
          <w:lang w:eastAsia="en-GB"/>
        </w:rPr>
        <w:t>et al.</w:t>
      </w:r>
      <w:r>
        <w:rPr>
          <w:lang w:eastAsia="en-GB"/>
        </w:rPr>
        <w:t xml:space="preserve"> (2022) </w:t>
      </w:r>
      <w:r w:rsidRPr="002D4AE8">
        <w:rPr>
          <w:color w:val="000000"/>
          <w:lang w:eastAsia="en-GB"/>
        </w:rPr>
        <w:t>for details.</w:t>
      </w:r>
    </w:p>
    <w:p w14:paraId="38144B73" w14:textId="77777777" w:rsidR="002D4AE8" w:rsidRDefault="002D4AE8" w:rsidP="002D4AE8">
      <w:pPr>
        <w:pStyle w:val="Heading3"/>
        <w:ind w:left="1080"/>
      </w:pPr>
      <w:r>
        <w:t xml:space="preserve"> RNA extraction and sequencing </w:t>
      </w:r>
    </w:p>
    <w:p w14:paraId="7D9F5EA7" w14:textId="5463F292" w:rsidR="002D4AE8" w:rsidRDefault="002D4AE8" w:rsidP="002D4AE8">
      <w:pPr>
        <w:ind w:left="360"/>
        <w:rPr>
          <w:lang w:eastAsia="en-GB"/>
        </w:rPr>
      </w:pPr>
      <w:r w:rsidRPr="002D4AE8">
        <w:rPr>
          <w:szCs w:val="28"/>
        </w:rPr>
        <w:t xml:space="preserve">Each sample </w:t>
      </w:r>
      <w:r>
        <w:rPr>
          <w:lang w:eastAsia="en-GB"/>
        </w:rPr>
        <w:t>was</w:t>
      </w:r>
      <w:r w:rsidRPr="009B0148">
        <w:rPr>
          <w:lang w:eastAsia="en-GB"/>
        </w:rPr>
        <w:t xml:space="preserve"> subjected to </w:t>
      </w:r>
      <w:r>
        <w:rPr>
          <w:lang w:eastAsia="en-GB"/>
        </w:rPr>
        <w:t>three</w:t>
      </w:r>
      <w:r w:rsidRPr="009B0148">
        <w:rPr>
          <w:lang w:eastAsia="en-GB"/>
        </w:rPr>
        <w:t xml:space="preserve"> cycles of </w:t>
      </w:r>
      <w:r w:rsidRPr="002D4AE8">
        <w:rPr>
          <w:bCs/>
          <w:lang w:eastAsia="en-GB"/>
        </w:rPr>
        <w:t xml:space="preserve">extraction of nucleic acids following a previously </w:t>
      </w:r>
      <w:r>
        <w:rPr>
          <w:lang w:eastAsia="en-GB"/>
        </w:rPr>
        <w:t>described protocol (</w:t>
      </w:r>
      <w:proofErr w:type="spellStart"/>
      <w:r>
        <w:rPr>
          <w:lang w:eastAsia="en-GB"/>
        </w:rPr>
        <w:t>Tveit</w:t>
      </w:r>
      <w:proofErr w:type="spellEnd"/>
      <w:r>
        <w:rPr>
          <w:lang w:eastAsia="en-GB"/>
        </w:rPr>
        <w:t xml:space="preserve"> et al., 2014; Angel et al., 2012)</w:t>
      </w:r>
      <w:r w:rsidRPr="009B0148">
        <w:rPr>
          <w:lang w:eastAsia="en-GB"/>
        </w:rPr>
        <w:t xml:space="preserve">. </w:t>
      </w:r>
      <w:r>
        <w:rPr>
          <w:lang w:eastAsia="en-GB"/>
        </w:rPr>
        <w:t xml:space="preserve">Total RNA was </w:t>
      </w:r>
      <w:r w:rsidRPr="009B0148">
        <w:rPr>
          <w:lang w:eastAsia="en-GB"/>
        </w:rPr>
        <w:t xml:space="preserve">subsequently linearly amplified </w:t>
      </w:r>
      <w:r>
        <w:rPr>
          <w:lang w:eastAsia="en-GB"/>
        </w:rPr>
        <w:t>by</w:t>
      </w:r>
      <w:r w:rsidRPr="009B0148">
        <w:rPr>
          <w:lang w:eastAsia="en-GB"/>
        </w:rPr>
        <w:t xml:space="preserve"> poly-A tailing </w:t>
      </w:r>
      <w:r w:rsidRPr="00E220F7">
        <w:rPr>
          <w:lang w:eastAsia="en-GB"/>
        </w:rPr>
        <w:t xml:space="preserve">using the </w:t>
      </w:r>
      <w:proofErr w:type="spellStart"/>
      <w:r w:rsidRPr="00E220F7">
        <w:rPr>
          <w:lang w:eastAsia="en-GB"/>
        </w:rPr>
        <w:t>MessageAmp</w:t>
      </w:r>
      <w:proofErr w:type="spellEnd"/>
      <w:r w:rsidRPr="00E220F7">
        <w:rPr>
          <w:lang w:eastAsia="en-GB"/>
        </w:rPr>
        <w:t xml:space="preserve"> II-Bacteria Kit (</w:t>
      </w:r>
      <w:proofErr w:type="spellStart"/>
      <w:r w:rsidRPr="00E220F7">
        <w:rPr>
          <w:lang w:eastAsia="en-GB"/>
        </w:rPr>
        <w:t>Ambion</w:t>
      </w:r>
      <w:proofErr w:type="spellEnd"/>
      <w:r w:rsidRPr="00E220F7">
        <w:rPr>
          <w:lang w:eastAsia="en-GB"/>
        </w:rPr>
        <w:t xml:space="preserve"> Life Technologies</w:t>
      </w:r>
      <w:r>
        <w:rPr>
          <w:lang w:eastAsia="en-GB"/>
        </w:rPr>
        <w:t>, Foster City, USA</w:t>
      </w:r>
      <w:r w:rsidRPr="00E220F7">
        <w:rPr>
          <w:lang w:eastAsia="en-GB"/>
        </w:rPr>
        <w:t xml:space="preserve">) </w:t>
      </w:r>
      <w:r w:rsidRPr="009B0148">
        <w:rPr>
          <w:lang w:eastAsia="en-GB"/>
        </w:rPr>
        <w:t xml:space="preserve">prior to </w:t>
      </w:r>
      <w:r>
        <w:rPr>
          <w:lang w:eastAsia="en-GB"/>
        </w:rPr>
        <w:t>o</w:t>
      </w:r>
      <w:r w:rsidRPr="00E220F7">
        <w:rPr>
          <w:lang w:eastAsia="en-GB"/>
        </w:rPr>
        <w:t xml:space="preserve">verlapping paired-end </w:t>
      </w:r>
      <w:r w:rsidRPr="009B0148">
        <w:rPr>
          <w:lang w:eastAsia="en-GB"/>
        </w:rPr>
        <w:t>sequencing</w:t>
      </w:r>
      <w:r>
        <w:rPr>
          <w:lang w:eastAsia="en-GB"/>
        </w:rPr>
        <w:t xml:space="preserve"> (2x 125 bp)</w:t>
      </w:r>
      <w:r w:rsidRPr="009B0148">
        <w:rPr>
          <w:lang w:eastAsia="en-GB"/>
        </w:rPr>
        <w:t xml:space="preserve"> </w:t>
      </w:r>
      <w:r>
        <w:rPr>
          <w:lang w:eastAsia="en-GB"/>
        </w:rPr>
        <w:t>on a</w:t>
      </w:r>
      <w:r w:rsidRPr="00E220F7">
        <w:rPr>
          <w:lang w:eastAsia="en-GB"/>
        </w:rPr>
        <w:t xml:space="preserve"> HighSeq2500 sequencer (Illumina</w:t>
      </w:r>
      <w:r>
        <w:rPr>
          <w:lang w:eastAsia="en-GB"/>
        </w:rPr>
        <w:t>, San Diego, USA</w:t>
      </w:r>
      <w:r w:rsidRPr="00E220F7">
        <w:rPr>
          <w:lang w:eastAsia="en-GB"/>
        </w:rPr>
        <w:t xml:space="preserve">; library generation: </w:t>
      </w:r>
      <w:proofErr w:type="spellStart"/>
      <w:r w:rsidRPr="00E220F7">
        <w:rPr>
          <w:lang w:eastAsia="en-GB"/>
        </w:rPr>
        <w:t>NEBNext</w:t>
      </w:r>
      <w:proofErr w:type="spellEnd"/>
      <w:r w:rsidRPr="00E220F7">
        <w:rPr>
          <w:lang w:eastAsia="en-GB"/>
        </w:rPr>
        <w:t xml:space="preserve"> Ultra RNA Library Prep Kit for Illumina</w:t>
      </w:r>
      <w:r>
        <w:rPr>
          <w:lang w:eastAsia="en-GB"/>
        </w:rPr>
        <w:t>,</w:t>
      </w:r>
      <w:r w:rsidRPr="00646B6C">
        <w:t xml:space="preserve"> </w:t>
      </w:r>
      <w:r w:rsidRPr="00646B6C">
        <w:rPr>
          <w:lang w:eastAsia="en-GB"/>
        </w:rPr>
        <w:t>Ipswich</w:t>
      </w:r>
      <w:r>
        <w:rPr>
          <w:lang w:eastAsia="en-GB"/>
        </w:rPr>
        <w:t>, USA</w:t>
      </w:r>
      <w:r w:rsidRPr="00E220F7">
        <w:rPr>
          <w:lang w:eastAsia="en-GB"/>
        </w:rPr>
        <w:t xml:space="preserve">) at the Vienna </w:t>
      </w:r>
      <w:proofErr w:type="spellStart"/>
      <w:r w:rsidRPr="00E220F7">
        <w:rPr>
          <w:lang w:eastAsia="en-GB"/>
        </w:rPr>
        <w:t>Biocenter</w:t>
      </w:r>
      <w:proofErr w:type="spellEnd"/>
      <w:r w:rsidRPr="00E220F7">
        <w:rPr>
          <w:lang w:eastAsia="en-GB"/>
        </w:rPr>
        <w:t xml:space="preserve"> Core Facilities, Vienna, Austria. </w:t>
      </w:r>
      <w:r w:rsidR="00B91EF4">
        <w:rPr>
          <w:lang w:eastAsia="en-GB"/>
        </w:rPr>
        <w:t>The amplification kit allows for a good recovery of especially mRNA, although unwanted biases may be introduced such are not expected to strongly influence the data (</w:t>
      </w:r>
      <w:proofErr w:type="spellStart"/>
      <w:r w:rsidR="00B91EF4" w:rsidRPr="00B91EF4">
        <w:rPr>
          <w:rFonts w:cstheme="minorHAnsi"/>
          <w:color w:val="000000" w:themeColor="text1"/>
        </w:rPr>
        <w:t>Tveit</w:t>
      </w:r>
      <w:proofErr w:type="spellEnd"/>
      <w:r w:rsidR="00B91EF4" w:rsidRPr="00B91EF4">
        <w:rPr>
          <w:rFonts w:cstheme="minorHAnsi"/>
          <w:color w:val="000000" w:themeColor="text1"/>
        </w:rPr>
        <w:t xml:space="preserve"> et al. 2014</w:t>
      </w:r>
      <w:r w:rsidR="00B91EF4">
        <w:rPr>
          <w:lang w:eastAsia="en-GB"/>
        </w:rPr>
        <w:t xml:space="preserve">). </w:t>
      </w:r>
      <w:r>
        <w:rPr>
          <w:lang w:eastAsia="en-GB"/>
        </w:rPr>
        <w:t>S</w:t>
      </w:r>
      <w:r w:rsidRPr="00E220F7">
        <w:rPr>
          <w:lang w:eastAsia="en-GB"/>
        </w:rPr>
        <w:t xml:space="preserve">ee </w:t>
      </w:r>
      <w:proofErr w:type="spellStart"/>
      <w:r w:rsidRPr="00E220F7">
        <w:rPr>
          <w:lang w:eastAsia="en-GB"/>
        </w:rPr>
        <w:t>Söllinger</w:t>
      </w:r>
      <w:proofErr w:type="spellEnd"/>
      <w:r w:rsidRPr="00E220F7">
        <w:rPr>
          <w:lang w:eastAsia="en-GB"/>
        </w:rPr>
        <w:t xml:space="preserve"> et al. </w:t>
      </w:r>
      <w:r>
        <w:rPr>
          <w:lang w:eastAsia="en-GB"/>
        </w:rPr>
        <w:t>(</w:t>
      </w:r>
      <w:r w:rsidRPr="00E220F7">
        <w:rPr>
          <w:lang w:eastAsia="en-GB"/>
        </w:rPr>
        <w:t>2022</w:t>
      </w:r>
      <w:r>
        <w:rPr>
          <w:lang w:eastAsia="en-GB"/>
        </w:rPr>
        <w:t>)</w:t>
      </w:r>
      <w:r w:rsidRPr="00E220F7">
        <w:rPr>
          <w:lang w:eastAsia="en-GB"/>
        </w:rPr>
        <w:t xml:space="preserve"> </w:t>
      </w:r>
      <w:r>
        <w:rPr>
          <w:lang w:eastAsia="en-GB"/>
        </w:rPr>
        <w:t>f</w:t>
      </w:r>
      <w:r w:rsidRPr="00E220F7">
        <w:rPr>
          <w:lang w:eastAsia="en-GB"/>
        </w:rPr>
        <w:t>or details</w:t>
      </w:r>
      <w:r>
        <w:rPr>
          <w:lang w:eastAsia="en-GB"/>
        </w:rPr>
        <w:t>.</w:t>
      </w:r>
    </w:p>
    <w:p w14:paraId="65FF31BD" w14:textId="77777777" w:rsidR="002D4AE8" w:rsidRDefault="002D4AE8" w:rsidP="002D4AE8">
      <w:pPr>
        <w:pStyle w:val="Heading3"/>
        <w:ind w:left="1080"/>
      </w:pPr>
      <w:r>
        <w:lastRenderedPageBreak/>
        <w:t xml:space="preserve"> Bioinformatic processing</w:t>
      </w:r>
    </w:p>
    <w:p w14:paraId="0A241048" w14:textId="230E8F4C" w:rsidR="002D4AE8" w:rsidRPr="002D4AE8" w:rsidRDefault="002D4AE8" w:rsidP="002D4AE8">
      <w:pPr>
        <w:ind w:left="360"/>
        <w:rPr>
          <w:lang w:val="en-US"/>
        </w:rPr>
      </w:pPr>
      <w:r w:rsidRPr="002D4AE8">
        <w:rPr>
          <w:lang w:val="en-US" w:eastAsia="en-GB"/>
        </w:rPr>
        <w:t>From the Illumina sequencing on average 1.6 x 10</w:t>
      </w:r>
      <w:r w:rsidRPr="002D4AE8">
        <w:rPr>
          <w:vertAlign w:val="superscript"/>
          <w:lang w:val="en-US" w:eastAsia="en-GB"/>
        </w:rPr>
        <w:t>8</w:t>
      </w:r>
      <w:r w:rsidRPr="002D4AE8">
        <w:rPr>
          <w:lang w:val="en-US" w:eastAsia="en-GB"/>
        </w:rPr>
        <w:t xml:space="preserve"> total RNA reads per sample were obtained. These were overlapped using PEAR v.0.9.10</w:t>
      </w:r>
      <w:r>
        <w:t xml:space="preserve"> with an average success rate of 78.6% </w:t>
      </w:r>
      <w:r w:rsidRPr="002D4AE8">
        <w:rPr>
          <w:rFonts w:ascii="Century Schoolbook" w:hAnsi="Century Schoolbook"/>
        </w:rPr>
        <w:t>±</w:t>
      </w:r>
      <w:r>
        <w:t xml:space="preserve"> 5.7%. Overlapped reads were split </w:t>
      </w:r>
      <w:r w:rsidRPr="002D4AE8">
        <w:rPr>
          <w:lang w:val="en-US"/>
        </w:rPr>
        <w:t>into SSU, LSU rRNA and putative mRNA reads</w:t>
      </w:r>
      <w:r>
        <w:t xml:space="preserve"> using </w:t>
      </w:r>
      <w:proofErr w:type="spellStart"/>
      <w:r w:rsidRPr="002D4AE8">
        <w:rPr>
          <w:lang w:val="en-US"/>
        </w:rPr>
        <w:t>SortMeRNA</w:t>
      </w:r>
      <w:proofErr w:type="spellEnd"/>
      <w:r w:rsidRPr="002D4AE8">
        <w:rPr>
          <w:lang w:val="en-US"/>
        </w:rPr>
        <w:t xml:space="preserve"> </w:t>
      </w:r>
      <w:r>
        <w:t>v.2.1 (</w:t>
      </w:r>
      <w:proofErr w:type="spellStart"/>
      <w:r w:rsidRPr="002D4AE8">
        <w:rPr>
          <w:rFonts w:eastAsia="Times New Roman"/>
        </w:rPr>
        <w:t>Kopylova</w:t>
      </w:r>
      <w:proofErr w:type="spellEnd"/>
      <w:r w:rsidRPr="002D4AE8">
        <w:rPr>
          <w:rFonts w:eastAsia="Times New Roman"/>
        </w:rPr>
        <w:t xml:space="preserve"> et al., 2012</w:t>
      </w:r>
      <w:r>
        <w:t>)</w:t>
      </w:r>
      <w:r w:rsidRPr="002D4AE8">
        <w:rPr>
          <w:lang w:val="en-US"/>
        </w:rPr>
        <w:t xml:space="preserve">. SSU reads were </w:t>
      </w:r>
      <w:r w:rsidRPr="002D4AE8">
        <w:rPr>
          <w:lang w:val="en-US" w:eastAsia="en-GB"/>
        </w:rPr>
        <w:t xml:space="preserve">quality-filtered using PRINSEQ lite </w:t>
      </w:r>
      <w:r>
        <w:t>v.9.20.4</w:t>
      </w:r>
      <w:r w:rsidRPr="002D4AE8">
        <w:rPr>
          <w:lang w:val="en-US" w:eastAsia="en-GB"/>
        </w:rPr>
        <w:t xml:space="preserve"> (</w:t>
      </w:r>
      <w:r w:rsidRPr="002D4AE8">
        <w:rPr>
          <w:color w:val="000000"/>
        </w:rPr>
        <w:t>with settings; -</w:t>
      </w:r>
      <w:proofErr w:type="spellStart"/>
      <w:r w:rsidRPr="002D4AE8">
        <w:rPr>
          <w:color w:val="000000"/>
        </w:rPr>
        <w:t>min_len</w:t>
      </w:r>
      <w:proofErr w:type="spellEnd"/>
      <w:r w:rsidRPr="002D4AE8">
        <w:rPr>
          <w:color w:val="000000"/>
        </w:rPr>
        <w:t xml:space="preserve"> 220 -</w:t>
      </w:r>
      <w:proofErr w:type="spellStart"/>
      <w:r w:rsidRPr="002D4AE8">
        <w:rPr>
          <w:color w:val="000000"/>
        </w:rPr>
        <w:t>max_len</w:t>
      </w:r>
      <w:proofErr w:type="spellEnd"/>
      <w:r w:rsidRPr="002D4AE8">
        <w:rPr>
          <w:color w:val="000000"/>
        </w:rPr>
        <w:t xml:space="preserve"> 240 -</w:t>
      </w:r>
      <w:proofErr w:type="spellStart"/>
      <w:r w:rsidRPr="002D4AE8">
        <w:rPr>
          <w:color w:val="000000"/>
        </w:rPr>
        <w:t>min_qual_mean</w:t>
      </w:r>
      <w:proofErr w:type="spellEnd"/>
      <w:r w:rsidRPr="002D4AE8">
        <w:rPr>
          <w:color w:val="000000"/>
        </w:rPr>
        <w:t xml:space="preserve"> 28 -</w:t>
      </w:r>
      <w:proofErr w:type="spellStart"/>
      <w:r w:rsidRPr="002D4AE8">
        <w:rPr>
          <w:color w:val="000000"/>
        </w:rPr>
        <w:t>ns_max_n</w:t>
      </w:r>
      <w:proofErr w:type="spellEnd"/>
      <w:r w:rsidRPr="002D4AE8">
        <w:rPr>
          <w:color w:val="000000"/>
        </w:rPr>
        <w:t xml:space="preserve"> 5 -</w:t>
      </w:r>
      <w:proofErr w:type="spellStart"/>
      <w:r w:rsidRPr="002D4AE8">
        <w:rPr>
          <w:color w:val="000000"/>
        </w:rPr>
        <w:t>trim_tail_right</w:t>
      </w:r>
      <w:proofErr w:type="spellEnd"/>
      <w:r w:rsidRPr="002D4AE8">
        <w:rPr>
          <w:color w:val="000000"/>
        </w:rPr>
        <w:t xml:space="preserve"> 15 -</w:t>
      </w:r>
      <w:proofErr w:type="spellStart"/>
      <w:r w:rsidRPr="002D4AE8">
        <w:rPr>
          <w:color w:val="000000"/>
        </w:rPr>
        <w:t>trim_tail_left</w:t>
      </w:r>
      <w:proofErr w:type="spellEnd"/>
      <w:r w:rsidRPr="002D4AE8">
        <w:rPr>
          <w:color w:val="000000"/>
        </w:rPr>
        <w:t xml:space="preserve"> 15; </w:t>
      </w:r>
      <w:proofErr w:type="spellStart"/>
      <w:r w:rsidRPr="002D4AE8">
        <w:rPr>
          <w:rFonts w:eastAsia="Times New Roman"/>
        </w:rPr>
        <w:t>Schmieder</w:t>
      </w:r>
      <w:proofErr w:type="spellEnd"/>
      <w:r w:rsidRPr="002D4AE8">
        <w:rPr>
          <w:rFonts w:eastAsia="Times New Roman"/>
        </w:rPr>
        <w:t xml:space="preserve"> and Edwards, 2011</w:t>
      </w:r>
      <w:r w:rsidRPr="002D4AE8">
        <w:rPr>
          <w:color w:val="000000"/>
        </w:rPr>
        <w:t>)</w:t>
      </w:r>
      <w:r w:rsidRPr="002D4AE8">
        <w:rPr>
          <w:lang w:val="en-US" w:eastAsia="en-GB"/>
        </w:rPr>
        <w:t xml:space="preserve">. </w:t>
      </w:r>
      <w:r w:rsidRPr="002D4AE8">
        <w:rPr>
          <w:lang w:val="en-US"/>
        </w:rPr>
        <w:t>In this article we report the findings from the taxonomic profiling done with the SSU rRNA fraction</w:t>
      </w:r>
      <w:r>
        <w:t>.</w:t>
      </w:r>
      <w:r>
        <w:rPr>
          <w:lang w:eastAsia="en-GB"/>
        </w:rPr>
        <w:t xml:space="preserve"> The </w:t>
      </w:r>
      <w:r w:rsidRPr="002D4AE8">
        <w:rPr>
          <w:lang w:val="en-US"/>
        </w:rPr>
        <w:t xml:space="preserve">SSU </w:t>
      </w:r>
      <w:r w:rsidRPr="009B0148">
        <w:rPr>
          <w:lang w:eastAsia="en-GB"/>
        </w:rPr>
        <w:t xml:space="preserve">rRNAs </w:t>
      </w:r>
      <w:r>
        <w:rPr>
          <w:lang w:eastAsia="en-GB"/>
        </w:rPr>
        <w:t>were subsampled to 200,000 reads per sample prior to taxonomic</w:t>
      </w:r>
      <w:r w:rsidRPr="009B0148">
        <w:rPr>
          <w:lang w:eastAsia="en-GB"/>
        </w:rPr>
        <w:t xml:space="preserve"> classified </w:t>
      </w:r>
      <w:r>
        <w:rPr>
          <w:lang w:eastAsia="en-GB"/>
        </w:rPr>
        <w:t>with</w:t>
      </w:r>
      <w:r w:rsidRPr="009B0148">
        <w:rPr>
          <w:lang w:eastAsia="en-GB"/>
        </w:rPr>
        <w:t xml:space="preserve"> BLAST against </w:t>
      </w:r>
      <w:bookmarkStart w:id="0" w:name="_Hlk127188715"/>
      <w:r w:rsidRPr="009B0148">
        <w:rPr>
          <w:lang w:eastAsia="en-GB"/>
        </w:rPr>
        <w:t xml:space="preserve">the </w:t>
      </w:r>
      <w:proofErr w:type="spellStart"/>
      <w:r w:rsidRPr="009B0148">
        <w:rPr>
          <w:lang w:eastAsia="en-GB"/>
        </w:rPr>
        <w:t>SilvaMod</w:t>
      </w:r>
      <w:proofErr w:type="spellEnd"/>
      <w:r>
        <w:rPr>
          <w:lang w:eastAsia="en-GB"/>
        </w:rPr>
        <w:t xml:space="preserve"> </w:t>
      </w:r>
      <w:r w:rsidRPr="00EC6C9D">
        <w:rPr>
          <w:lang w:eastAsia="en-GB"/>
        </w:rPr>
        <w:t>v.128</w:t>
      </w:r>
      <w:r w:rsidRPr="009B0148">
        <w:rPr>
          <w:lang w:eastAsia="en-GB"/>
        </w:rPr>
        <w:t xml:space="preserve"> SSU rRNA reference database of CREST</w:t>
      </w:r>
      <w:r>
        <w:rPr>
          <w:lang w:eastAsia="en-GB"/>
        </w:rPr>
        <w:t>3</w:t>
      </w:r>
      <w:r w:rsidRPr="009B0148">
        <w:rPr>
          <w:lang w:eastAsia="en-GB"/>
        </w:rPr>
        <w:t xml:space="preserve"> </w:t>
      </w:r>
      <w:bookmarkEnd w:id="0"/>
      <w:r>
        <w:rPr>
          <w:lang w:eastAsia="en-GB"/>
        </w:rPr>
        <w:t>(</w:t>
      </w:r>
      <w:proofErr w:type="spellStart"/>
      <w:r w:rsidRPr="002D4AE8">
        <w:rPr>
          <w:rFonts w:eastAsia="Times New Roman"/>
          <w:lang w:val="en-US"/>
        </w:rPr>
        <w:t>Lanzén</w:t>
      </w:r>
      <w:proofErr w:type="spellEnd"/>
      <w:r w:rsidRPr="002D4AE8">
        <w:rPr>
          <w:rFonts w:eastAsia="Times New Roman"/>
          <w:lang w:val="en-US"/>
        </w:rPr>
        <w:t xml:space="preserve"> et al., 2012</w:t>
      </w:r>
      <w:r>
        <w:rPr>
          <w:lang w:eastAsia="en-GB"/>
        </w:rPr>
        <w:t>)</w:t>
      </w:r>
      <w:r w:rsidRPr="009B0148">
        <w:rPr>
          <w:lang w:eastAsia="en-GB"/>
        </w:rPr>
        <w:t xml:space="preserve"> and analysed </w:t>
      </w:r>
      <w:r>
        <w:rPr>
          <w:lang w:eastAsia="en-GB"/>
        </w:rPr>
        <w:t>using</w:t>
      </w:r>
      <w:r w:rsidRPr="009B0148">
        <w:rPr>
          <w:lang w:eastAsia="en-GB"/>
        </w:rPr>
        <w:t xml:space="preserve"> MEGAN </w:t>
      </w:r>
      <w:r>
        <w:rPr>
          <w:lang w:eastAsia="en-GB"/>
        </w:rPr>
        <w:t>(</w:t>
      </w:r>
      <w:proofErr w:type="spellStart"/>
      <w:r>
        <w:rPr>
          <w:lang w:eastAsia="en-GB"/>
        </w:rPr>
        <w:t>Huson</w:t>
      </w:r>
      <w:proofErr w:type="spellEnd"/>
      <w:r>
        <w:rPr>
          <w:lang w:eastAsia="en-GB"/>
        </w:rPr>
        <w:t xml:space="preserve"> et al., 2007)</w:t>
      </w:r>
      <w:r w:rsidRPr="009B0148">
        <w:rPr>
          <w:lang w:eastAsia="en-GB"/>
        </w:rPr>
        <w:t xml:space="preserve"> using </w:t>
      </w:r>
      <w:bookmarkStart w:id="1" w:name="_Hlk127188541"/>
      <w:r>
        <w:rPr>
          <w:lang w:eastAsia="en-GB"/>
        </w:rPr>
        <w:t>the l</w:t>
      </w:r>
      <w:r w:rsidRPr="009B0148">
        <w:rPr>
          <w:lang w:eastAsia="en-GB"/>
        </w:rPr>
        <w:t xml:space="preserve">owest </w:t>
      </w:r>
      <w:r>
        <w:rPr>
          <w:lang w:eastAsia="en-GB"/>
        </w:rPr>
        <w:t>c</w:t>
      </w:r>
      <w:r w:rsidRPr="009B0148">
        <w:rPr>
          <w:lang w:eastAsia="en-GB"/>
        </w:rPr>
        <w:t xml:space="preserve">ommon </w:t>
      </w:r>
      <w:r>
        <w:rPr>
          <w:lang w:eastAsia="en-GB"/>
        </w:rPr>
        <w:t>a</w:t>
      </w:r>
      <w:r w:rsidRPr="009B0148">
        <w:rPr>
          <w:lang w:eastAsia="en-GB"/>
        </w:rPr>
        <w:t>ncestor approach</w:t>
      </w:r>
      <w:bookmarkEnd w:id="1"/>
      <w:r w:rsidRPr="009B0148">
        <w:rPr>
          <w:lang w:eastAsia="en-GB"/>
        </w:rPr>
        <w:t xml:space="preserve"> (with parameters: minimum score 155, minimum support 1, top 2%, 50 best blast hits).</w:t>
      </w:r>
      <w:r>
        <w:rPr>
          <w:lang w:eastAsia="en-GB"/>
        </w:rPr>
        <w:t xml:space="preserve"> Viral reads were obtained from the non-rRNA fraction of the dataset (see </w:t>
      </w:r>
      <w:proofErr w:type="spellStart"/>
      <w:r>
        <w:rPr>
          <w:lang w:eastAsia="en-GB"/>
        </w:rPr>
        <w:t>Söllinger</w:t>
      </w:r>
      <w:proofErr w:type="spellEnd"/>
      <w:r>
        <w:rPr>
          <w:lang w:eastAsia="en-GB"/>
        </w:rPr>
        <w:t xml:space="preserve"> </w:t>
      </w:r>
      <w:r w:rsidRPr="002D4AE8">
        <w:rPr>
          <w:iCs/>
          <w:lang w:eastAsia="en-GB"/>
        </w:rPr>
        <w:t>et al</w:t>
      </w:r>
      <w:r w:rsidRPr="009705D4">
        <w:rPr>
          <w:lang w:eastAsia="en-GB"/>
        </w:rPr>
        <w:t>.</w:t>
      </w:r>
      <w:r>
        <w:rPr>
          <w:lang w:eastAsia="en-GB"/>
        </w:rPr>
        <w:t xml:space="preserve">, 2022 for details of the taxonomic classification of viral reads). Hosts were assigned to viral taxa classified on family and/or order level based on the </w:t>
      </w:r>
      <w:proofErr w:type="spellStart"/>
      <w:r>
        <w:rPr>
          <w:lang w:eastAsia="en-GB"/>
        </w:rPr>
        <w:t>ViralZone</w:t>
      </w:r>
      <w:proofErr w:type="spellEnd"/>
      <w:r>
        <w:rPr>
          <w:lang w:eastAsia="en-GB"/>
        </w:rPr>
        <w:t xml:space="preserve"> (</w:t>
      </w:r>
      <w:proofErr w:type="spellStart"/>
      <w:r>
        <w:rPr>
          <w:lang w:eastAsia="en-GB"/>
        </w:rPr>
        <w:t>Hulo</w:t>
      </w:r>
      <w:proofErr w:type="spellEnd"/>
      <w:r>
        <w:rPr>
          <w:lang w:eastAsia="en-GB"/>
        </w:rPr>
        <w:t xml:space="preserve"> et al., 2011)</w:t>
      </w:r>
      <w:r w:rsidRPr="002D4AE8">
        <w:rPr>
          <w:color w:val="000000"/>
          <w:lang w:eastAsia="en-GB"/>
        </w:rPr>
        <w:t xml:space="preserve"> </w:t>
      </w:r>
      <w:r>
        <w:rPr>
          <w:lang w:eastAsia="en-GB"/>
        </w:rPr>
        <w:t>online database (</w:t>
      </w:r>
      <w:r w:rsidRPr="00764FED">
        <w:rPr>
          <w:lang w:eastAsia="en-GB"/>
        </w:rPr>
        <w:t>https://viralzone.expasy.org/</w:t>
      </w:r>
      <w:r>
        <w:rPr>
          <w:lang w:eastAsia="en-GB"/>
        </w:rPr>
        <w:t xml:space="preserve">), accessed January 2020. </w:t>
      </w:r>
      <w:bookmarkStart w:id="2" w:name="_Hlk127181618"/>
      <w:r>
        <w:t>Total SSU rRNA transcripts per sample were estimated following</w:t>
      </w:r>
      <w:r w:rsidRPr="00E96D3E">
        <w:t xml:space="preserve"> </w:t>
      </w:r>
      <w:proofErr w:type="spellStart"/>
      <w:r w:rsidRPr="00E96D3E">
        <w:t>Söllinger</w:t>
      </w:r>
      <w:proofErr w:type="spellEnd"/>
      <w:r w:rsidRPr="00E96D3E">
        <w:t xml:space="preserve"> </w:t>
      </w:r>
      <w:r w:rsidRPr="002D4AE8">
        <w:rPr>
          <w:i/>
        </w:rPr>
        <w:t>et al.</w:t>
      </w:r>
      <w:r w:rsidRPr="00E96D3E">
        <w:t xml:space="preserve"> (2018)</w:t>
      </w:r>
      <w:r>
        <w:t xml:space="preserve">; </w:t>
      </w:r>
      <w:bookmarkEnd w:id="2"/>
      <w:r>
        <w:t xml:space="preserve">using the average lengths of 1500, 1800 and 851 </w:t>
      </w:r>
      <w:proofErr w:type="spellStart"/>
      <w:r>
        <w:t>nt</w:t>
      </w:r>
      <w:proofErr w:type="spellEnd"/>
      <w:r>
        <w:t xml:space="preserve"> for the 16S SSU, 18S SSU, and viral transcripts, respectively. The taxa abundances and viral classifications are available in supplements S</w:t>
      </w:r>
      <w:r w:rsidR="00021CC9">
        <w:t>2</w:t>
      </w:r>
      <w:r>
        <w:t xml:space="preserve"> and S</w:t>
      </w:r>
      <w:r w:rsidR="007D3129">
        <w:t>4</w:t>
      </w:r>
      <w:r>
        <w:t>. Raw sequencing data is deposited in the</w:t>
      </w:r>
      <w:r w:rsidRPr="007755CE">
        <w:t xml:space="preserve"> NCBI Sequence Read Archive (</w:t>
      </w:r>
      <w:proofErr w:type="spellStart"/>
      <w:r w:rsidRPr="00DE0DA5">
        <w:t>BioProject</w:t>
      </w:r>
      <w:proofErr w:type="spellEnd"/>
      <w:r>
        <w:t xml:space="preserve"> </w:t>
      </w:r>
      <w:r w:rsidRPr="00DE0DA5">
        <w:t>PRJNA663238</w:t>
      </w:r>
      <w:r>
        <w:t>).</w:t>
      </w:r>
    </w:p>
    <w:p w14:paraId="24914DDC" w14:textId="77777777" w:rsidR="002D4AE8" w:rsidRDefault="002D4AE8" w:rsidP="002D4AE8">
      <w:pPr>
        <w:pStyle w:val="Heading3"/>
        <w:ind w:left="1080"/>
        <w:rPr>
          <w:lang w:eastAsia="en-GB"/>
        </w:rPr>
      </w:pPr>
      <w:r>
        <w:rPr>
          <w:lang w:eastAsia="en-GB"/>
        </w:rPr>
        <w:t xml:space="preserve"> Data analysis</w:t>
      </w:r>
    </w:p>
    <w:p w14:paraId="7564B122" w14:textId="1870F79F" w:rsidR="002D4AE8" w:rsidRDefault="002D4AE8" w:rsidP="002D4AE8">
      <w:pPr>
        <w:ind w:left="360"/>
        <w:rPr>
          <w:lang w:eastAsia="en-GB"/>
        </w:rPr>
      </w:pPr>
      <w:r>
        <w:rPr>
          <w:lang w:eastAsia="en-GB"/>
        </w:rPr>
        <w:t>All statistical analyses were conducted in R.4.1.2 (</w:t>
      </w:r>
      <w:r w:rsidRPr="002D4AE8">
        <w:rPr>
          <w:rFonts w:eastAsia="Times New Roman"/>
        </w:rPr>
        <w:t>R Core Team 2021</w:t>
      </w:r>
      <w:r>
        <w:rPr>
          <w:lang w:eastAsia="en-GB"/>
        </w:rPr>
        <w:t xml:space="preserve">) using mainly the ‘vegan’ (Oksanen et al., 2021), ‘ggplot2’ (Wickham, 2010), ‘reshape2’ (Wickham, 2007) packages. </w:t>
      </w:r>
      <w:r w:rsidR="00943488" w:rsidRPr="00E44E62">
        <w:rPr>
          <w:b/>
        </w:rPr>
        <w:t>Non-metric multi-dimensional scaling (NMDS) ordination</w:t>
      </w:r>
      <w:r w:rsidRPr="002D4AE8">
        <w:rPr>
          <w:b/>
          <w:lang w:eastAsia="en-GB"/>
        </w:rPr>
        <w:t xml:space="preserve">: </w:t>
      </w:r>
      <w:r w:rsidRPr="00983D14">
        <w:rPr>
          <w:lang w:eastAsia="en-GB"/>
        </w:rPr>
        <w:t xml:space="preserve">SSU </w:t>
      </w:r>
      <w:r w:rsidRPr="00EF19D5">
        <w:rPr>
          <w:lang w:eastAsia="en-GB"/>
        </w:rPr>
        <w:t>rRNA data</w:t>
      </w:r>
      <w:r>
        <w:rPr>
          <w:lang w:eastAsia="en-GB"/>
        </w:rPr>
        <w:t xml:space="preserve"> were summarised </w:t>
      </w:r>
      <w:r>
        <w:t xml:space="preserve">to family level (including 45.1% of total </w:t>
      </w:r>
      <w:r>
        <w:rPr>
          <w:lang w:eastAsia="en-GB"/>
        </w:rPr>
        <w:t>SSU rRNA</w:t>
      </w:r>
      <w:r>
        <w:t xml:space="preserve">). </w:t>
      </w:r>
      <w:r w:rsidRPr="002D4AE8">
        <w:rPr>
          <w:lang w:val="en-US"/>
        </w:rPr>
        <w:t xml:space="preserve">All viral reads were assigned to family level, and the data were </w:t>
      </w:r>
      <w:proofErr w:type="spellStart"/>
      <w:r w:rsidRPr="002D4AE8">
        <w:rPr>
          <w:lang w:val="en-US"/>
        </w:rPr>
        <w:t>normalised</w:t>
      </w:r>
      <w:proofErr w:type="spellEnd"/>
      <w:r w:rsidRPr="002D4AE8">
        <w:rPr>
          <w:lang w:val="en-US"/>
        </w:rPr>
        <w:t xml:space="preserve"> to all data (mRNA library sizes). Ordination was calculated for a matrix of Bray-Curtis dissimilarities in two dimensions. </w:t>
      </w:r>
      <w:r>
        <w:t>Ordination stress</w:t>
      </w:r>
      <w:r w:rsidR="00943488" w:rsidRPr="00943488">
        <w:t xml:space="preserve"> </w:t>
      </w:r>
      <w:r w:rsidR="00943488">
        <w:t xml:space="preserve">was calculated, that is, </w:t>
      </w:r>
      <w:r w:rsidR="00943488">
        <w:rPr>
          <w:sz w:val="20"/>
        </w:rPr>
        <w:t>well the (dis)similarity between samples are captured by the ordination,</w:t>
      </w:r>
      <w:r>
        <w:t xml:space="preserve"> and found to be</w:t>
      </w:r>
      <w:r w:rsidR="00943488">
        <w:t xml:space="preserve"> very</w:t>
      </w:r>
      <w:r>
        <w:t xml:space="preserve"> low (0.05)</w:t>
      </w:r>
      <w:r w:rsidR="00943488">
        <w:t xml:space="preserve"> meaning the 2-dimentinal plot provides a good representation of the data (Clark and Ainsworth, 1993)</w:t>
      </w:r>
      <w:r>
        <w:t>.</w:t>
      </w:r>
      <w:r w:rsidRPr="002D4AE8">
        <w:rPr>
          <w:lang w:val="en-US"/>
        </w:rPr>
        <w:t xml:space="preserve"> Data points were scaled to </w:t>
      </w:r>
      <w:r w:rsidRPr="00EF19D5">
        <w:t xml:space="preserve">µg RNA per g soil </w:t>
      </w:r>
      <w:r>
        <w:t>dry</w:t>
      </w:r>
      <w:r w:rsidRPr="00EF19D5">
        <w:t xml:space="preserve"> weight</w:t>
      </w:r>
      <w:r>
        <w:t>. Significant community dissimilarities between LTW-A</w:t>
      </w:r>
      <w:r w:rsidRPr="002D4AE8">
        <w:rPr>
          <w:szCs w:val="28"/>
          <w:vertAlign w:val="subscript"/>
        </w:rPr>
        <w:t>T</w:t>
      </w:r>
      <w:r>
        <w:t xml:space="preserve"> and LTW-E</w:t>
      </w:r>
      <w:r w:rsidRPr="002D4AE8">
        <w:rPr>
          <w:szCs w:val="28"/>
          <w:vertAlign w:val="subscript"/>
        </w:rPr>
        <w:t>T</w:t>
      </w:r>
      <w:r>
        <w:t xml:space="preserve"> were identified using a PERMANOVA (n=999) with the ‘adonis2()’ function (‘vegan’ R package). </w:t>
      </w:r>
      <w:r w:rsidRPr="002D4AE8">
        <w:rPr>
          <w:b/>
          <w:lang w:eastAsia="en-GB"/>
        </w:rPr>
        <w:t xml:space="preserve">Community profile (bar chart): </w:t>
      </w:r>
      <w:r w:rsidRPr="003333D8">
        <w:t>Reads which were not assigned to the depicted taxonomic level were removed, i.e.</w:t>
      </w:r>
      <w:r>
        <w:t xml:space="preserve">, reads not </w:t>
      </w:r>
      <w:r w:rsidRPr="00C915ED">
        <w:t xml:space="preserve">assigned to the domain </w:t>
      </w:r>
      <w:r>
        <w:t>a</w:t>
      </w:r>
      <w:r w:rsidRPr="00C915ED">
        <w:t xml:space="preserve">rchaea, any bacterial, </w:t>
      </w:r>
      <w:r>
        <w:lastRenderedPageBreak/>
        <w:t>‘protists’</w:t>
      </w:r>
      <w:r w:rsidRPr="00C915ED">
        <w:t xml:space="preserve"> or metazoan phylum, </w:t>
      </w:r>
      <w:r>
        <w:t>n</w:t>
      </w:r>
      <w:r w:rsidRPr="00C915ED">
        <w:t xml:space="preserve">or </w:t>
      </w:r>
      <w:r>
        <w:t xml:space="preserve">any </w:t>
      </w:r>
      <w:r w:rsidRPr="00C915ED">
        <w:t>fungal class</w:t>
      </w:r>
      <w:r>
        <w:t xml:space="preserve"> were excluded. </w:t>
      </w:r>
      <w:r>
        <w:rPr>
          <w:lang w:eastAsia="en-GB"/>
        </w:rPr>
        <w:t xml:space="preserve">Significant differences in abundance for each depicted group were identified using a two-sided </w:t>
      </w:r>
      <w:r w:rsidRPr="002D4AE8">
        <w:rPr>
          <w:i/>
          <w:iCs/>
          <w:lang w:eastAsia="en-GB"/>
        </w:rPr>
        <w:t>t</w:t>
      </w:r>
      <w:r>
        <w:rPr>
          <w:lang w:eastAsia="en-GB"/>
        </w:rPr>
        <w:t xml:space="preserve">-test. </w:t>
      </w:r>
      <w:r w:rsidRPr="002D4AE8">
        <w:rPr>
          <w:b/>
          <w:lang w:eastAsia="en-GB"/>
        </w:rPr>
        <w:t>Differential abundance analysis (log2-fold change</w:t>
      </w:r>
      <w:r w:rsidRPr="00704D1D">
        <w:t xml:space="preserve"> </w:t>
      </w:r>
      <w:r w:rsidRPr="002D4AE8">
        <w:rPr>
          <w:b/>
          <w:lang w:eastAsia="en-GB"/>
        </w:rPr>
        <w:t>in relative abundance):</w:t>
      </w:r>
      <w:r>
        <w:rPr>
          <w:lang w:eastAsia="en-GB"/>
        </w:rPr>
        <w:t xml:space="preserve"> This analysis was performed between LTW-A</w:t>
      </w:r>
      <w:r w:rsidRPr="002D4AE8">
        <w:rPr>
          <w:szCs w:val="28"/>
          <w:vertAlign w:val="subscript"/>
        </w:rPr>
        <w:t>T</w:t>
      </w:r>
      <w:r>
        <w:rPr>
          <w:lang w:eastAsia="en-GB"/>
        </w:rPr>
        <w:t xml:space="preserve"> and LTW-E</w:t>
      </w:r>
      <w:r w:rsidRPr="002D4AE8">
        <w:rPr>
          <w:szCs w:val="28"/>
          <w:vertAlign w:val="subscript"/>
        </w:rPr>
        <w:t>T</w:t>
      </w:r>
      <w:r>
        <w:rPr>
          <w:lang w:eastAsia="en-GB"/>
        </w:rPr>
        <w:t xml:space="preserve"> for the most abundant and mainly predatory taxa, selected by excluding fungal and archaeal taxa, nonpredatory bacteria, and eukaryotes classified only to the levels of super</w:t>
      </w:r>
      <w:r w:rsidR="00AE0C96">
        <w:rPr>
          <w:lang w:eastAsia="en-GB"/>
        </w:rPr>
        <w:t>-</w:t>
      </w:r>
      <w:r>
        <w:rPr>
          <w:lang w:eastAsia="en-GB"/>
        </w:rPr>
        <w:t>kingdom and phylum with relative abundances &lt;</w:t>
      </w:r>
      <w:r w:rsidR="00AE0C96">
        <w:rPr>
          <w:lang w:eastAsia="en-GB"/>
        </w:rPr>
        <w:t xml:space="preserve"> </w:t>
      </w:r>
      <w:r>
        <w:rPr>
          <w:lang w:eastAsia="en-GB"/>
        </w:rPr>
        <w:t>0.5%. Nematoda were classified based on their feeding mode following NEMAPLEX (</w:t>
      </w:r>
      <w:hyperlink r:id="rId5" w:history="1">
        <w:r w:rsidRPr="00D37B8D">
          <w:rPr>
            <w:rStyle w:val="Hyperlink"/>
            <w:lang w:eastAsia="en-GB"/>
          </w:rPr>
          <w:t>http://nemaplex.ucdavis.edu/</w:t>
        </w:r>
      </w:hyperlink>
      <w:r>
        <w:rPr>
          <w:lang w:eastAsia="en-GB"/>
        </w:rPr>
        <w:t xml:space="preserve">, a virtual encyclopaedia of soil and plant nematodes). Likewise, all identified phyla of Amoebozoa were confirmed to have a </w:t>
      </w:r>
      <w:r w:rsidRPr="00550C54">
        <w:rPr>
          <w:lang w:eastAsia="en-GB"/>
        </w:rPr>
        <w:t>phagotrophic lifestyle</w:t>
      </w:r>
      <w:r>
        <w:rPr>
          <w:lang w:eastAsia="en-GB"/>
        </w:rPr>
        <w:t xml:space="preserve"> (feeding on </w:t>
      </w:r>
      <w:r w:rsidRPr="00550C54">
        <w:rPr>
          <w:lang w:eastAsia="en-GB"/>
        </w:rPr>
        <w:t>bacteria</w:t>
      </w:r>
      <w:r>
        <w:rPr>
          <w:lang w:eastAsia="en-GB"/>
        </w:rPr>
        <w:t xml:space="preserve">, </w:t>
      </w:r>
      <w:r w:rsidRPr="00550C54">
        <w:rPr>
          <w:lang w:eastAsia="en-GB"/>
        </w:rPr>
        <w:t>yeasts</w:t>
      </w:r>
      <w:r>
        <w:rPr>
          <w:lang w:eastAsia="en-GB"/>
        </w:rPr>
        <w:t>,</w:t>
      </w:r>
      <w:r w:rsidRPr="00550C54">
        <w:rPr>
          <w:lang w:eastAsia="en-GB"/>
        </w:rPr>
        <w:t xml:space="preserve"> and fungal spores</w:t>
      </w:r>
      <w:r>
        <w:rPr>
          <w:lang w:eastAsia="en-GB"/>
        </w:rPr>
        <w:t xml:space="preserve">; </w:t>
      </w:r>
      <w:r w:rsidRPr="00CD7CD9">
        <w:rPr>
          <w:lang w:eastAsia="en-GB"/>
        </w:rPr>
        <w:t xml:space="preserve">personal correspondence with </w:t>
      </w:r>
      <w:proofErr w:type="spellStart"/>
      <w:r w:rsidRPr="00CD7CD9">
        <w:rPr>
          <w:lang w:eastAsia="en-GB"/>
        </w:rPr>
        <w:t>Dr.</w:t>
      </w:r>
      <w:proofErr w:type="spellEnd"/>
      <w:r w:rsidRPr="00CD7CD9">
        <w:rPr>
          <w:lang w:eastAsia="en-GB"/>
        </w:rPr>
        <w:t xml:space="preserve"> Stefan </w:t>
      </w:r>
      <w:proofErr w:type="spellStart"/>
      <w:r w:rsidRPr="00CD7CD9">
        <w:rPr>
          <w:lang w:eastAsia="en-GB"/>
        </w:rPr>
        <w:t>Geisen</w:t>
      </w:r>
      <w:proofErr w:type="spellEnd"/>
      <w:r>
        <w:rPr>
          <w:lang w:eastAsia="en-GB"/>
        </w:rPr>
        <w:t>) and were included in the analysis. The three most abundant pro- and eukaryotic host viruses were selected</w:t>
      </w:r>
      <w:r w:rsidRPr="002D6776">
        <w:rPr>
          <w:lang w:eastAsia="en-GB"/>
        </w:rPr>
        <w:t xml:space="preserve"> </w:t>
      </w:r>
      <w:r>
        <w:rPr>
          <w:lang w:eastAsia="en-GB"/>
        </w:rPr>
        <w:t xml:space="preserve">from the viral data set. Significant differences in abundance for each depicted group were identified using two-sided </w:t>
      </w:r>
      <w:r w:rsidRPr="002D4AE8">
        <w:rPr>
          <w:i/>
          <w:iCs/>
          <w:lang w:eastAsia="en-GB"/>
        </w:rPr>
        <w:t>t</w:t>
      </w:r>
      <w:r>
        <w:rPr>
          <w:lang w:eastAsia="en-GB"/>
        </w:rPr>
        <w:t xml:space="preserve">-tests. </w:t>
      </w:r>
      <w:r w:rsidRPr="002D4AE8">
        <w:rPr>
          <w:b/>
          <w:lang w:eastAsia="en-GB"/>
        </w:rPr>
        <w:t xml:space="preserve">Schematic food web model: </w:t>
      </w:r>
      <w:r>
        <w:rPr>
          <w:lang w:eastAsia="en-GB"/>
        </w:rPr>
        <w:t>Basic bar plots were combined into a schematic overview using Adobe Illustrator (</w:t>
      </w:r>
      <w:r w:rsidRPr="002E298F">
        <w:rPr>
          <w:lang w:eastAsia="en-GB"/>
        </w:rPr>
        <w:t>CC 23.0.2</w:t>
      </w:r>
      <w:r>
        <w:rPr>
          <w:lang w:eastAsia="en-GB"/>
        </w:rPr>
        <w:t xml:space="preserve">). </w:t>
      </w:r>
      <w:r w:rsidR="00021CC9" w:rsidRPr="00021CC9">
        <w:rPr>
          <w:b/>
          <w:lang w:eastAsia="en-GB"/>
        </w:rPr>
        <w:t>Person’s correlations</w:t>
      </w:r>
      <w:r w:rsidR="00021CC9">
        <w:rPr>
          <w:lang w:eastAsia="en-GB"/>
        </w:rPr>
        <w:t xml:space="preserve"> were performed between the NMDS axis1 and axis2 and soil and microbial properties: M</w:t>
      </w:r>
      <w:r w:rsidR="00021CC9" w:rsidRPr="00021CC9">
        <w:rPr>
          <w:lang w:eastAsia="en-GB"/>
        </w:rPr>
        <w:t xml:space="preserve">icrobial </w:t>
      </w:r>
      <w:proofErr w:type="gramStart"/>
      <w:r w:rsidR="00021CC9" w:rsidRPr="00021CC9">
        <w:rPr>
          <w:lang w:eastAsia="en-GB"/>
        </w:rPr>
        <w:t>C:N</w:t>
      </w:r>
      <w:proofErr w:type="gramEnd"/>
      <w:r w:rsidR="00021CC9">
        <w:rPr>
          <w:lang w:eastAsia="en-GB"/>
        </w:rPr>
        <w:t xml:space="preserve"> (Walker et al., 2018)</w:t>
      </w:r>
      <w:r w:rsidR="00021CC9" w:rsidRPr="00021CC9">
        <w:rPr>
          <w:lang w:eastAsia="en-GB"/>
        </w:rPr>
        <w:t xml:space="preserve"> and soil parameters: pH</w:t>
      </w:r>
      <w:r w:rsidR="00E102BB">
        <w:rPr>
          <w:lang w:eastAsia="en-GB"/>
        </w:rPr>
        <w:t xml:space="preserve">, </w:t>
      </w:r>
      <w:r w:rsidR="00021CC9" w:rsidRPr="00021CC9">
        <w:rPr>
          <w:lang w:eastAsia="en-GB"/>
        </w:rPr>
        <w:t>dissolved organic carbon (DOC</w:t>
      </w:r>
      <w:r w:rsidR="00E102BB">
        <w:rPr>
          <w:lang w:eastAsia="en-GB"/>
        </w:rPr>
        <w:t>, Walker et al., 2018</w:t>
      </w:r>
      <w:r w:rsidR="00021CC9" w:rsidRPr="00021CC9">
        <w:rPr>
          <w:lang w:eastAsia="en-GB"/>
        </w:rPr>
        <w:t>) , total soil nitrogen</w:t>
      </w:r>
      <w:r w:rsidR="00E102BB">
        <w:rPr>
          <w:lang w:eastAsia="en-GB"/>
        </w:rPr>
        <w:t xml:space="preserve"> (Walker et al., 2018)</w:t>
      </w:r>
      <w:r w:rsidR="00021CC9" w:rsidRPr="00021CC9">
        <w:rPr>
          <w:lang w:eastAsia="en-GB"/>
        </w:rPr>
        <w:t xml:space="preserve">, soil bulk density at 0 to 5 cm, and 5 to 10 </w:t>
      </w:r>
      <w:r w:rsidR="00021CC9" w:rsidRPr="00DB37F6">
        <w:rPr>
          <w:lang w:eastAsia="en-GB"/>
        </w:rPr>
        <w:t>cm depth</w:t>
      </w:r>
      <w:r w:rsidR="00E102BB" w:rsidRPr="00DB37F6">
        <w:rPr>
          <w:lang w:eastAsia="en-GB"/>
        </w:rPr>
        <w:t xml:space="preserve"> (</w:t>
      </w:r>
      <w:proofErr w:type="spellStart"/>
      <w:r w:rsidR="00DB37F6" w:rsidRPr="00DB37F6">
        <w:t>Verbrigghe</w:t>
      </w:r>
      <w:proofErr w:type="spellEnd"/>
      <w:r w:rsidR="00E102BB" w:rsidRPr="00DB37F6">
        <w:t xml:space="preserve"> et al., 202</w:t>
      </w:r>
      <w:r w:rsidR="00DB37F6">
        <w:t>2a</w:t>
      </w:r>
      <w:r w:rsidR="00E102BB" w:rsidRPr="00DB37F6">
        <w:rPr>
          <w:lang w:eastAsia="en-GB"/>
        </w:rPr>
        <w:t>)</w:t>
      </w:r>
      <w:r w:rsidR="00021CC9" w:rsidRPr="00DB37F6">
        <w:rPr>
          <w:lang w:eastAsia="en-GB"/>
        </w:rPr>
        <w:t xml:space="preserve"> and</w:t>
      </w:r>
      <w:r w:rsidR="00021CC9" w:rsidRPr="00021CC9">
        <w:rPr>
          <w:lang w:eastAsia="en-GB"/>
        </w:rPr>
        <w:t xml:space="preserve"> the abundance of ‘myxobacteria’ </w:t>
      </w:r>
      <w:r w:rsidR="00021CC9">
        <w:rPr>
          <w:lang w:eastAsia="en-GB"/>
        </w:rPr>
        <w:t xml:space="preserve">. </w:t>
      </w:r>
      <w:r>
        <w:rPr>
          <w:lang w:eastAsia="en-GB"/>
        </w:rPr>
        <w:t>The script used for analysis is available in Supplement S</w:t>
      </w:r>
      <w:r w:rsidR="00021CC9">
        <w:rPr>
          <w:lang w:eastAsia="en-GB"/>
        </w:rPr>
        <w:t>6</w:t>
      </w:r>
      <w:r>
        <w:rPr>
          <w:lang w:eastAsia="en-GB"/>
        </w:rPr>
        <w:t>.</w:t>
      </w:r>
    </w:p>
    <w:p w14:paraId="40D859D7" w14:textId="0DA9EBFF" w:rsidR="006577F4" w:rsidRDefault="006577F4" w:rsidP="006577F4">
      <w:pPr>
        <w:pStyle w:val="Heading3"/>
        <w:rPr>
          <w:lang w:eastAsia="en-GB"/>
        </w:rPr>
      </w:pPr>
      <w:r>
        <w:rPr>
          <w:lang w:eastAsia="en-GB"/>
        </w:rPr>
        <w:t>References Supplement 1</w:t>
      </w:r>
    </w:p>
    <w:p w14:paraId="1A98E9A3" w14:textId="77777777" w:rsidR="006577F4" w:rsidRPr="00E86A8A" w:rsidRDefault="006577F4" w:rsidP="006577F4">
      <w:pPr>
        <w:autoSpaceDE w:val="0"/>
        <w:autoSpaceDN w:val="0"/>
      </w:pPr>
      <w:r w:rsidRPr="00E86A8A">
        <w:t xml:space="preserve">Angel R, Claus P, Conrad R. Methanogenic archaea are globally ubiquitous in aerated soils and become active under wet anoxic conditions. </w:t>
      </w:r>
      <w:r w:rsidRPr="00E86A8A">
        <w:rPr>
          <w:i/>
          <w:iCs/>
        </w:rPr>
        <w:t xml:space="preserve">ISME J </w:t>
      </w:r>
      <w:r w:rsidRPr="00E86A8A">
        <w:t xml:space="preserve">2012; </w:t>
      </w:r>
      <w:r w:rsidRPr="00E86A8A">
        <w:rPr>
          <w:b/>
          <w:bCs/>
        </w:rPr>
        <w:t>6</w:t>
      </w:r>
      <w:r w:rsidRPr="00E86A8A">
        <w:t xml:space="preserve">: 847–862. </w:t>
      </w:r>
    </w:p>
    <w:p w14:paraId="4EC41344" w14:textId="77777777" w:rsidR="006577F4" w:rsidRPr="00E86A8A" w:rsidRDefault="006577F4" w:rsidP="006577F4">
      <w:pPr>
        <w:autoSpaceDE w:val="0"/>
        <w:autoSpaceDN w:val="0"/>
      </w:pPr>
      <w:proofErr w:type="spellStart"/>
      <w:r w:rsidRPr="00E86A8A">
        <w:t>Hulo</w:t>
      </w:r>
      <w:proofErr w:type="spellEnd"/>
      <w:r w:rsidRPr="00E86A8A">
        <w:t xml:space="preserve"> C, de Castro E, Masson P, </w:t>
      </w:r>
      <w:proofErr w:type="spellStart"/>
      <w:r w:rsidRPr="00E86A8A">
        <w:t>Bougueleret</w:t>
      </w:r>
      <w:proofErr w:type="spellEnd"/>
      <w:r w:rsidRPr="00E86A8A">
        <w:t xml:space="preserve"> L, </w:t>
      </w:r>
      <w:proofErr w:type="spellStart"/>
      <w:r w:rsidRPr="00E86A8A">
        <w:t>Bairoch</w:t>
      </w:r>
      <w:proofErr w:type="spellEnd"/>
      <w:r w:rsidRPr="00E86A8A">
        <w:t xml:space="preserve"> A, </w:t>
      </w:r>
      <w:proofErr w:type="spellStart"/>
      <w:r w:rsidRPr="00E86A8A">
        <w:t>Xenarios</w:t>
      </w:r>
      <w:proofErr w:type="spellEnd"/>
      <w:r w:rsidRPr="00E86A8A">
        <w:t xml:space="preserve"> I, et al. </w:t>
      </w:r>
      <w:proofErr w:type="spellStart"/>
      <w:r w:rsidRPr="00E86A8A">
        <w:t>ViralZone</w:t>
      </w:r>
      <w:proofErr w:type="spellEnd"/>
      <w:r w:rsidRPr="00E86A8A">
        <w:t xml:space="preserve">: A knowledge resource to understand virus diversity. </w:t>
      </w:r>
      <w:r w:rsidRPr="00E86A8A">
        <w:rPr>
          <w:i/>
          <w:iCs/>
        </w:rPr>
        <w:t>Nucleic Acids Res</w:t>
      </w:r>
      <w:r w:rsidRPr="00E86A8A">
        <w:t xml:space="preserve"> 2011; </w:t>
      </w:r>
      <w:r w:rsidRPr="00E86A8A">
        <w:rPr>
          <w:b/>
          <w:bCs/>
        </w:rPr>
        <w:t>39:</w:t>
      </w:r>
      <w:r w:rsidRPr="00D1266C">
        <w:t xml:space="preserve"> </w:t>
      </w:r>
      <w:r w:rsidRPr="00E86A8A">
        <w:rPr>
          <w:bCs/>
        </w:rPr>
        <w:t>D576–D582</w:t>
      </w:r>
      <w:r w:rsidRPr="00E86A8A">
        <w:t xml:space="preserve">. </w:t>
      </w:r>
    </w:p>
    <w:p w14:paraId="10F843AD" w14:textId="77777777" w:rsidR="006577F4" w:rsidRPr="00E86A8A" w:rsidRDefault="006577F4" w:rsidP="006577F4">
      <w:pPr>
        <w:autoSpaceDE w:val="0"/>
        <w:autoSpaceDN w:val="0"/>
      </w:pPr>
      <w:proofErr w:type="spellStart"/>
      <w:r w:rsidRPr="00E86A8A">
        <w:t>Huson</w:t>
      </w:r>
      <w:proofErr w:type="spellEnd"/>
      <w:r w:rsidRPr="00E86A8A">
        <w:t xml:space="preserve"> D, Auch A, Qi J, Schuster S. MEGAN analysis of metagenome data. </w:t>
      </w:r>
      <w:proofErr w:type="spellStart"/>
      <w:r w:rsidRPr="00E86A8A">
        <w:rPr>
          <w:i/>
          <w:iCs/>
        </w:rPr>
        <w:t>Gennome</w:t>
      </w:r>
      <w:proofErr w:type="spellEnd"/>
      <w:r w:rsidRPr="00E86A8A">
        <w:rPr>
          <w:i/>
          <w:iCs/>
        </w:rPr>
        <w:t xml:space="preserve"> Res</w:t>
      </w:r>
      <w:r w:rsidRPr="00E86A8A">
        <w:t xml:space="preserve"> 2007; </w:t>
      </w:r>
      <w:r w:rsidRPr="00E86A8A">
        <w:rPr>
          <w:b/>
          <w:bCs/>
        </w:rPr>
        <w:t>17</w:t>
      </w:r>
      <w:r w:rsidRPr="00E86A8A">
        <w:t xml:space="preserve">: 377–386. </w:t>
      </w:r>
    </w:p>
    <w:p w14:paraId="29AD2A0B" w14:textId="77777777" w:rsidR="006577F4" w:rsidRPr="006577F4" w:rsidRDefault="006577F4" w:rsidP="006577F4">
      <w:pPr>
        <w:autoSpaceDE w:val="0"/>
        <w:autoSpaceDN w:val="0"/>
        <w:rPr>
          <w:lang w:val="en-US"/>
        </w:rPr>
      </w:pPr>
      <w:proofErr w:type="spellStart"/>
      <w:r w:rsidRPr="00E86A8A">
        <w:t>Kopylova</w:t>
      </w:r>
      <w:proofErr w:type="spellEnd"/>
      <w:r w:rsidRPr="00E86A8A">
        <w:t xml:space="preserve"> E, </w:t>
      </w:r>
      <w:proofErr w:type="spellStart"/>
      <w:r w:rsidRPr="00E86A8A">
        <w:t>Noé</w:t>
      </w:r>
      <w:proofErr w:type="spellEnd"/>
      <w:r w:rsidRPr="00E86A8A">
        <w:t xml:space="preserve"> L, </w:t>
      </w:r>
      <w:proofErr w:type="spellStart"/>
      <w:r w:rsidRPr="00E86A8A">
        <w:t>Touzet</w:t>
      </w:r>
      <w:proofErr w:type="spellEnd"/>
      <w:r w:rsidRPr="00E86A8A">
        <w:t xml:space="preserve"> H. </w:t>
      </w:r>
      <w:proofErr w:type="spellStart"/>
      <w:r w:rsidRPr="00E86A8A">
        <w:t>SortMeRNA</w:t>
      </w:r>
      <w:proofErr w:type="spellEnd"/>
      <w:r w:rsidRPr="00E86A8A">
        <w:t xml:space="preserve">: Fast and accurate filtering of ribosomal RNAs in metatranscriptomic data. </w:t>
      </w:r>
      <w:r w:rsidRPr="006577F4">
        <w:rPr>
          <w:i/>
          <w:iCs/>
          <w:lang w:val="en-US"/>
        </w:rPr>
        <w:t>Bioinformatics</w:t>
      </w:r>
      <w:r w:rsidRPr="006577F4">
        <w:rPr>
          <w:lang w:val="en-US"/>
        </w:rPr>
        <w:t xml:space="preserve"> 2012; </w:t>
      </w:r>
      <w:r w:rsidRPr="006577F4">
        <w:rPr>
          <w:b/>
          <w:bCs/>
          <w:lang w:val="en-US"/>
        </w:rPr>
        <w:t>28</w:t>
      </w:r>
      <w:r w:rsidRPr="006577F4">
        <w:rPr>
          <w:lang w:val="en-US"/>
        </w:rPr>
        <w:t xml:space="preserve">: 3211–3217. </w:t>
      </w:r>
    </w:p>
    <w:p w14:paraId="4811C626" w14:textId="77777777" w:rsidR="006577F4" w:rsidRPr="00E86A8A" w:rsidRDefault="006577F4" w:rsidP="006577F4">
      <w:pPr>
        <w:autoSpaceDE w:val="0"/>
        <w:autoSpaceDN w:val="0"/>
      </w:pPr>
      <w:r w:rsidRPr="00E86A8A">
        <w:rPr>
          <w:lang w:val="da-DK"/>
        </w:rPr>
        <w:t xml:space="preserve">Lanzén A, Jørgensen SL, Huson DH, Gorfer M, Grindhaug SH, Jonassen I, </w:t>
      </w:r>
      <w:r w:rsidRPr="00E86A8A">
        <w:rPr>
          <w:i/>
          <w:lang w:val="da-DK"/>
        </w:rPr>
        <w:t>et al.</w:t>
      </w:r>
      <w:r w:rsidRPr="00E86A8A">
        <w:rPr>
          <w:lang w:val="da-DK"/>
        </w:rPr>
        <w:t xml:space="preserve"> </w:t>
      </w:r>
      <w:r w:rsidRPr="00E86A8A">
        <w:t xml:space="preserve">CREST - Classification Resources for Environmental Sequence Tags. </w:t>
      </w:r>
      <w:proofErr w:type="spellStart"/>
      <w:r w:rsidRPr="00E86A8A">
        <w:rPr>
          <w:i/>
          <w:iCs/>
        </w:rPr>
        <w:t>PLoS</w:t>
      </w:r>
      <w:proofErr w:type="spellEnd"/>
      <w:r w:rsidRPr="00E86A8A">
        <w:rPr>
          <w:i/>
          <w:iCs/>
        </w:rPr>
        <w:t xml:space="preserve"> One</w:t>
      </w:r>
      <w:r w:rsidRPr="00E86A8A">
        <w:t xml:space="preserve"> 2012; </w:t>
      </w:r>
      <w:r w:rsidRPr="00E86A8A">
        <w:rPr>
          <w:b/>
          <w:bCs/>
        </w:rPr>
        <w:t>7</w:t>
      </w:r>
      <w:r w:rsidRPr="00E86A8A">
        <w:t xml:space="preserve">: e49334. </w:t>
      </w:r>
    </w:p>
    <w:p w14:paraId="6DC4C006" w14:textId="77777777" w:rsidR="006577F4" w:rsidRPr="00E86A8A" w:rsidRDefault="006577F4" w:rsidP="006577F4">
      <w:pPr>
        <w:autoSpaceDE w:val="0"/>
        <w:autoSpaceDN w:val="0"/>
      </w:pPr>
      <w:r w:rsidRPr="00E86A8A">
        <w:rPr>
          <w:lang w:val="da-DK"/>
        </w:rPr>
        <w:lastRenderedPageBreak/>
        <w:t xml:space="preserve">Oksanen J, Blanchet G, Friendly M, Kindt R, Legendre P, McGlinn D, </w:t>
      </w:r>
      <w:r w:rsidRPr="00E86A8A">
        <w:rPr>
          <w:i/>
          <w:lang w:val="da-DK"/>
        </w:rPr>
        <w:t xml:space="preserve">et al. </w:t>
      </w:r>
      <w:r w:rsidRPr="00E86A8A">
        <w:t xml:space="preserve">Vegan: community ecology package R version 2.6-2. 2021. </w:t>
      </w:r>
      <w:r w:rsidRPr="00E86A8A">
        <w:rPr>
          <w:i/>
          <w:iCs/>
        </w:rPr>
        <w:t>https://CRANR-project.org/package=vegan</w:t>
      </w:r>
      <w:r w:rsidRPr="00E86A8A">
        <w:t xml:space="preserve">. </w:t>
      </w:r>
    </w:p>
    <w:p w14:paraId="6B30EAFF" w14:textId="77777777" w:rsidR="006577F4" w:rsidRPr="000F24A4" w:rsidRDefault="006577F4" w:rsidP="006577F4">
      <w:pPr>
        <w:autoSpaceDE w:val="0"/>
        <w:autoSpaceDN w:val="0"/>
        <w:rPr>
          <w:lang w:val="en-US"/>
        </w:rPr>
      </w:pPr>
      <w:r w:rsidRPr="00E86A8A">
        <w:t xml:space="preserve">R Core Team. R: A language and environment for statistical computing. R Foundation for Statistical Computing. 2021. </w:t>
      </w:r>
      <w:r w:rsidRPr="00E86A8A">
        <w:rPr>
          <w:iCs/>
        </w:rPr>
        <w:t>R Foundation for Statistical Computing Vienna</w:t>
      </w:r>
      <w:r w:rsidRPr="003C2CE6">
        <w:t>,</w:t>
      </w:r>
      <w:r>
        <w:t xml:space="preserve"> Austria. </w:t>
      </w:r>
      <w:r w:rsidRPr="000F24A4">
        <w:rPr>
          <w:lang w:val="en-US"/>
        </w:rPr>
        <w:t xml:space="preserve">URL https://www.R-project.org/. </w:t>
      </w:r>
    </w:p>
    <w:p w14:paraId="50A6FD5C" w14:textId="77777777" w:rsidR="006577F4" w:rsidRPr="00E86A8A" w:rsidRDefault="006577F4" w:rsidP="006577F4">
      <w:pPr>
        <w:autoSpaceDE w:val="0"/>
        <w:autoSpaceDN w:val="0"/>
        <w:rPr>
          <w:lang w:val="da-DK"/>
        </w:rPr>
      </w:pPr>
      <w:proofErr w:type="spellStart"/>
      <w:r w:rsidRPr="00E86A8A">
        <w:t>Schmieder</w:t>
      </w:r>
      <w:proofErr w:type="spellEnd"/>
      <w:r w:rsidRPr="00E86A8A">
        <w:t xml:space="preserve"> R, Edwards R. Quality control and </w:t>
      </w:r>
      <w:proofErr w:type="spellStart"/>
      <w:r w:rsidRPr="00E86A8A">
        <w:t>preprocessing</w:t>
      </w:r>
      <w:proofErr w:type="spellEnd"/>
      <w:r w:rsidRPr="00E86A8A">
        <w:t xml:space="preserve"> of metagenomic datasets. </w:t>
      </w:r>
      <w:r w:rsidRPr="00E86A8A">
        <w:rPr>
          <w:i/>
          <w:iCs/>
          <w:lang w:val="da-DK"/>
        </w:rPr>
        <w:t>Bioinformatics</w:t>
      </w:r>
      <w:r w:rsidRPr="00E86A8A">
        <w:rPr>
          <w:lang w:val="da-DK"/>
        </w:rPr>
        <w:t xml:space="preserve"> 2011; </w:t>
      </w:r>
      <w:r w:rsidRPr="00E86A8A">
        <w:rPr>
          <w:b/>
          <w:bCs/>
          <w:lang w:val="da-DK"/>
        </w:rPr>
        <w:t>27</w:t>
      </w:r>
      <w:r w:rsidRPr="00E86A8A">
        <w:rPr>
          <w:lang w:val="da-DK"/>
        </w:rPr>
        <w:t xml:space="preserve">: 863–864. </w:t>
      </w:r>
    </w:p>
    <w:p w14:paraId="6A28AC3F" w14:textId="77777777" w:rsidR="006577F4" w:rsidRPr="00E86A8A" w:rsidRDefault="006577F4" w:rsidP="006577F4">
      <w:pPr>
        <w:autoSpaceDE w:val="0"/>
        <w:autoSpaceDN w:val="0"/>
      </w:pPr>
      <w:r w:rsidRPr="00E86A8A">
        <w:rPr>
          <w:lang w:val="da-DK"/>
        </w:rPr>
        <w:t xml:space="preserve">Söllinger A, Tveit AT, Poulsen M, Noel SJ, Bengtsson M, Bernhardt J, </w:t>
      </w:r>
      <w:r w:rsidRPr="00E86A8A">
        <w:rPr>
          <w:i/>
          <w:lang w:val="da-DK"/>
        </w:rPr>
        <w:t>et al.</w:t>
      </w:r>
      <w:r w:rsidRPr="00E86A8A">
        <w:rPr>
          <w:lang w:val="da-DK"/>
        </w:rPr>
        <w:t xml:space="preserve"> </w:t>
      </w:r>
      <w:r w:rsidRPr="00E86A8A">
        <w:t xml:space="preserve">Holistic assessment of rumen microbiome dynamics through quantitative </w:t>
      </w:r>
      <w:proofErr w:type="spellStart"/>
      <w:r w:rsidRPr="00E86A8A">
        <w:t>metatranscriptomics</w:t>
      </w:r>
      <w:proofErr w:type="spellEnd"/>
      <w:r w:rsidRPr="00E86A8A">
        <w:t xml:space="preserve"> reveals multifunctional redundancy during key steps of anaerobic feed degradation. </w:t>
      </w:r>
      <w:proofErr w:type="spellStart"/>
      <w:r w:rsidRPr="00E86A8A">
        <w:rPr>
          <w:i/>
          <w:iCs/>
        </w:rPr>
        <w:t>mSystems</w:t>
      </w:r>
      <w:proofErr w:type="spellEnd"/>
      <w:r w:rsidRPr="00E86A8A">
        <w:t xml:space="preserve"> 2018; </w:t>
      </w:r>
      <w:r w:rsidRPr="00E86A8A">
        <w:rPr>
          <w:b/>
          <w:bCs/>
        </w:rPr>
        <w:t>3</w:t>
      </w:r>
      <w:r w:rsidRPr="00E86A8A">
        <w:t xml:space="preserve">: 1–19. </w:t>
      </w:r>
    </w:p>
    <w:p w14:paraId="2B7BF6BD" w14:textId="77777777" w:rsidR="006577F4" w:rsidRPr="00E86A8A" w:rsidRDefault="006577F4" w:rsidP="006577F4">
      <w:pPr>
        <w:autoSpaceDE w:val="0"/>
        <w:autoSpaceDN w:val="0"/>
      </w:pPr>
      <w:r w:rsidRPr="006577F4">
        <w:rPr>
          <w:lang w:val="da-DK"/>
        </w:rPr>
        <w:t xml:space="preserve">Tveit AT, Urich T, Svenning MM. </w:t>
      </w:r>
      <w:r w:rsidRPr="00E86A8A">
        <w:t xml:space="preserve">Metatranscriptomic analysis of arctic peat soil microbiota. </w:t>
      </w:r>
      <w:proofErr w:type="spellStart"/>
      <w:r w:rsidRPr="00E86A8A">
        <w:rPr>
          <w:i/>
          <w:iCs/>
        </w:rPr>
        <w:t>Appl</w:t>
      </w:r>
      <w:proofErr w:type="spellEnd"/>
      <w:r w:rsidRPr="00E86A8A">
        <w:rPr>
          <w:i/>
          <w:iCs/>
        </w:rPr>
        <w:t xml:space="preserve"> Environ </w:t>
      </w:r>
      <w:proofErr w:type="spellStart"/>
      <w:r w:rsidRPr="00E86A8A">
        <w:rPr>
          <w:i/>
          <w:iCs/>
        </w:rPr>
        <w:t>Microbiol</w:t>
      </w:r>
      <w:proofErr w:type="spellEnd"/>
      <w:r w:rsidRPr="00E86A8A">
        <w:t xml:space="preserve"> 2014; </w:t>
      </w:r>
      <w:r w:rsidRPr="00E86A8A">
        <w:rPr>
          <w:b/>
          <w:bCs/>
        </w:rPr>
        <w:t>80</w:t>
      </w:r>
      <w:r w:rsidRPr="00E86A8A">
        <w:t xml:space="preserve">: 5761–5772. </w:t>
      </w:r>
    </w:p>
    <w:p w14:paraId="11F530E6" w14:textId="77777777" w:rsidR="006577F4" w:rsidRPr="00E86A8A" w:rsidRDefault="006577F4" w:rsidP="006577F4">
      <w:pPr>
        <w:autoSpaceDE w:val="0"/>
        <w:autoSpaceDN w:val="0"/>
      </w:pPr>
      <w:r w:rsidRPr="00E86A8A">
        <w:t xml:space="preserve">Wickham H. ggplot2: Elegant graphics for data analysis. 2010. Springer-Verlag, New York, 2009. </w:t>
      </w:r>
    </w:p>
    <w:p w14:paraId="0661A214" w14:textId="77777777" w:rsidR="006577F4" w:rsidRPr="00E86A8A" w:rsidRDefault="006577F4" w:rsidP="006577F4">
      <w:pPr>
        <w:autoSpaceDE w:val="0"/>
        <w:autoSpaceDN w:val="0"/>
      </w:pPr>
      <w:r w:rsidRPr="00E86A8A">
        <w:t>Wickham H. Reshaping Data with the reshape Package. Journal of Statistical Software. 2021,</w:t>
      </w:r>
      <w:r w:rsidRPr="00E86A8A">
        <w:rPr>
          <w:b/>
        </w:rPr>
        <w:t>21</w:t>
      </w:r>
      <w:r w:rsidRPr="00E86A8A">
        <w:t xml:space="preserve">: 1–20. </w:t>
      </w:r>
    </w:p>
    <w:p w14:paraId="4ACF5FE4" w14:textId="77777777" w:rsidR="006577F4" w:rsidRPr="006577F4" w:rsidRDefault="006577F4" w:rsidP="006577F4">
      <w:pPr>
        <w:rPr>
          <w:lang w:eastAsia="en-GB"/>
        </w:rPr>
      </w:pPr>
      <w:bookmarkStart w:id="3" w:name="_GoBack"/>
      <w:bookmarkEnd w:id="3"/>
    </w:p>
    <w:p w14:paraId="32EC58BE" w14:textId="77777777" w:rsidR="00085B21" w:rsidRDefault="006577F4" w:rsidP="002D4AE8">
      <w:pPr>
        <w:pStyle w:val="ListParagraph"/>
      </w:pPr>
    </w:p>
    <w:sectPr w:rsidR="00085B21" w:rsidSect="001F2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15698"/>
    <w:multiLevelType w:val="hybridMultilevel"/>
    <w:tmpl w:val="9D14AD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E525AD"/>
    <w:multiLevelType w:val="hybridMultilevel"/>
    <w:tmpl w:val="2264C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D71751"/>
    <w:multiLevelType w:val="multilevel"/>
    <w:tmpl w:val="FE1AC2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AE8"/>
    <w:rsid w:val="00021CC9"/>
    <w:rsid w:val="00050D73"/>
    <w:rsid w:val="001F2A00"/>
    <w:rsid w:val="002D4AE8"/>
    <w:rsid w:val="00575432"/>
    <w:rsid w:val="005A0A69"/>
    <w:rsid w:val="006577F4"/>
    <w:rsid w:val="007D3129"/>
    <w:rsid w:val="007F31FD"/>
    <w:rsid w:val="00871271"/>
    <w:rsid w:val="008E78E5"/>
    <w:rsid w:val="00943488"/>
    <w:rsid w:val="00A008F2"/>
    <w:rsid w:val="00AE0C96"/>
    <w:rsid w:val="00B91EF4"/>
    <w:rsid w:val="00D4434A"/>
    <w:rsid w:val="00DB37F6"/>
    <w:rsid w:val="00E102BB"/>
    <w:rsid w:val="00E44E62"/>
    <w:rsid w:val="00EA0917"/>
    <w:rsid w:val="00ED4A23"/>
    <w:rsid w:val="00F42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6F361"/>
  <w15:chartTrackingRefBased/>
  <w15:docId w15:val="{D86F0F82-311A-4AE9-8235-286874084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4AE8"/>
    <w:pPr>
      <w:spacing w:line="360" w:lineRule="auto"/>
    </w:pPr>
    <w:rPr>
      <w:rFonts w:ascii="Calibri" w:eastAsia="Calibri" w:hAnsi="Calibri" w:cs="Times New Roman"/>
      <w:lang w:val="en-GB"/>
    </w:rPr>
  </w:style>
  <w:style w:type="paragraph" w:styleId="Heading2">
    <w:name w:val="heading 2"/>
    <w:basedOn w:val="Normal"/>
    <w:next w:val="Normal"/>
    <w:link w:val="Heading2Char"/>
    <w:uiPriority w:val="9"/>
    <w:unhideWhenUsed/>
    <w:qFormat/>
    <w:rsid w:val="002D4AE8"/>
    <w:pPr>
      <w:keepNext/>
      <w:keepLines/>
      <w:spacing w:before="40" w:after="0"/>
      <w:outlineLvl w:val="1"/>
    </w:pPr>
    <w:rPr>
      <w:rFonts w:eastAsia="Times New Roman"/>
      <w:b/>
      <w:sz w:val="26"/>
      <w:szCs w:val="26"/>
    </w:rPr>
  </w:style>
  <w:style w:type="paragraph" w:styleId="Heading3">
    <w:name w:val="heading 3"/>
    <w:basedOn w:val="Normal"/>
    <w:next w:val="Normal"/>
    <w:link w:val="Heading3Char"/>
    <w:uiPriority w:val="9"/>
    <w:unhideWhenUsed/>
    <w:qFormat/>
    <w:rsid w:val="002D4AE8"/>
    <w:pPr>
      <w:keepNext/>
      <w:keepLines/>
      <w:spacing w:before="40" w:after="0"/>
      <w:outlineLvl w:val="2"/>
    </w:pPr>
    <w:rPr>
      <w:rFonts w:eastAsia="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4AE8"/>
    <w:rPr>
      <w:rFonts w:ascii="Calibri" w:eastAsia="Times New Roman" w:hAnsi="Calibri" w:cs="Times New Roman"/>
      <w:b/>
      <w:sz w:val="26"/>
      <w:szCs w:val="26"/>
      <w:lang w:val="en-GB"/>
    </w:rPr>
  </w:style>
  <w:style w:type="character" w:customStyle="1" w:styleId="Heading3Char">
    <w:name w:val="Heading 3 Char"/>
    <w:basedOn w:val="DefaultParagraphFont"/>
    <w:link w:val="Heading3"/>
    <w:uiPriority w:val="9"/>
    <w:rsid w:val="002D4AE8"/>
    <w:rPr>
      <w:rFonts w:ascii="Calibri" w:eastAsia="Times New Roman" w:hAnsi="Calibri" w:cs="Times New Roman"/>
      <w:b/>
      <w:szCs w:val="24"/>
      <w:lang w:val="en-GB"/>
    </w:rPr>
  </w:style>
  <w:style w:type="character" w:styleId="Hyperlink">
    <w:name w:val="Hyperlink"/>
    <w:uiPriority w:val="99"/>
    <w:unhideWhenUsed/>
    <w:rsid w:val="002D4AE8"/>
    <w:rPr>
      <w:color w:val="0563C1"/>
      <w:u w:val="single"/>
    </w:rPr>
  </w:style>
  <w:style w:type="paragraph" w:styleId="ListParagraph">
    <w:name w:val="List Paragraph"/>
    <w:basedOn w:val="Normal"/>
    <w:uiPriority w:val="34"/>
    <w:qFormat/>
    <w:rsid w:val="002D4AE8"/>
    <w:pPr>
      <w:ind w:left="720"/>
      <w:contextualSpacing/>
    </w:pPr>
  </w:style>
  <w:style w:type="character" w:styleId="LineNumber">
    <w:name w:val="line number"/>
    <w:basedOn w:val="DefaultParagraphFont"/>
    <w:uiPriority w:val="99"/>
    <w:semiHidden/>
    <w:unhideWhenUsed/>
    <w:rsid w:val="00F4278B"/>
  </w:style>
  <w:style w:type="character" w:styleId="CommentReference">
    <w:name w:val="annotation reference"/>
    <w:basedOn w:val="DefaultParagraphFont"/>
    <w:uiPriority w:val="99"/>
    <w:semiHidden/>
    <w:unhideWhenUsed/>
    <w:rsid w:val="00E102BB"/>
    <w:rPr>
      <w:sz w:val="16"/>
      <w:szCs w:val="16"/>
    </w:rPr>
  </w:style>
  <w:style w:type="paragraph" w:styleId="CommentText">
    <w:name w:val="annotation text"/>
    <w:basedOn w:val="Normal"/>
    <w:link w:val="CommentTextChar"/>
    <w:uiPriority w:val="99"/>
    <w:semiHidden/>
    <w:unhideWhenUsed/>
    <w:rsid w:val="00E102BB"/>
    <w:pPr>
      <w:spacing w:line="240" w:lineRule="auto"/>
    </w:pPr>
    <w:rPr>
      <w:sz w:val="20"/>
      <w:szCs w:val="20"/>
    </w:rPr>
  </w:style>
  <w:style w:type="character" w:customStyle="1" w:styleId="CommentTextChar">
    <w:name w:val="Comment Text Char"/>
    <w:basedOn w:val="DefaultParagraphFont"/>
    <w:link w:val="CommentText"/>
    <w:uiPriority w:val="99"/>
    <w:semiHidden/>
    <w:rsid w:val="00E102BB"/>
    <w:rPr>
      <w:rFonts w:ascii="Calibri" w:eastAsia="Calibri" w:hAnsi="Calibr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E102BB"/>
    <w:rPr>
      <w:b/>
      <w:bCs/>
    </w:rPr>
  </w:style>
  <w:style w:type="character" w:customStyle="1" w:styleId="CommentSubjectChar">
    <w:name w:val="Comment Subject Char"/>
    <w:basedOn w:val="CommentTextChar"/>
    <w:link w:val="CommentSubject"/>
    <w:uiPriority w:val="99"/>
    <w:semiHidden/>
    <w:rsid w:val="00E102BB"/>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E102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02BB"/>
    <w:rPr>
      <w:rFonts w:ascii="Segoe UI" w:eastAsia="Calibr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nemaplex.ucdavis.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 Dahl, Mathilde</dc:creator>
  <cp:keywords/>
  <dc:description/>
  <cp:lastModifiedBy>Borg Dahl, Mathilde</cp:lastModifiedBy>
  <cp:revision>2</cp:revision>
  <dcterms:created xsi:type="dcterms:W3CDTF">2023-05-02T07:07:00Z</dcterms:created>
  <dcterms:modified xsi:type="dcterms:W3CDTF">2023-05-02T07:07:00Z</dcterms:modified>
</cp:coreProperties>
</file>