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E6B"/>
          <w:sz w:val="40"/>
        </w:rPr>
        <w:t>ChurnGuard Analytics Platform</w:t>
      </w:r>
    </w:p>
    <w:p>
      <w:pPr>
        <w:jc w:val="center"/>
      </w:pPr>
      <w:r>
        <w:rPr>
          <w:color w:val="2E75B6"/>
          <w:sz w:val="26"/>
        </w:rPr>
        <w:t>Debiased Model Report  —  Excluded: account_health_score + risk_flag</w:t>
      </w:r>
    </w:p>
    <w:p>
      <w:pPr>
        <w:jc w:val="center"/>
      </w:pPr>
      <w:r>
        <w:rPr>
          <w:color w:val="606060"/>
          <w:sz w:val="18"/>
        </w:rPr>
        <w:t>Prepared: May 01, 2026  |  Prepared by: Muhammad Junaid Baig</w:t>
      </w:r>
    </w:p>
    <w:p/>
    <w:p>
      <w:pPr>
        <w:pStyle w:val="Heading1"/>
      </w:pPr>
      <w:r>
        <w:rPr>
          <w:color w:val="1F3E6B"/>
          <w:sz w:val="26"/>
        </w:rPr>
        <w:t>Executive Summary</w:t>
      </w:r>
    </w:p>
    <w:p>
      <w:pPr>
        <w:spacing w:after="80" w:before="0"/>
      </w:pPr>
      <w:r>
        <w:rPr>
          <w:sz w:val="20"/>
        </w:rPr>
        <w:t>This report documents the ChurnGuard Analytics model retrained after removing 2 feature(s) identified as synthetic leakage artifacts (account_health_score, risk_flag). With these features excluded the model achieves ROC-AUC = 0.9992, F1 = 0.9860, Precision = 1.0000, Recall = 0.9725 on the held-out test set. This represents a more realistic performance baseline — the original AUC = 1.0000 was entirely explained by the zero-overlap health score distribution, not genuine predictive modelling.</w:t>
      </w:r>
    </w:p>
    <w:p>
      <w:pPr>
        <w:spacing w:after="80" w:before="0"/>
      </w:pPr>
      <w:r>
        <w:rPr>
          <w:sz w:val="20"/>
        </w:rPr>
        <w:t>The debiased model still achieves strong performance because the dataset contains several other high-correlation features (downgrade requests, cancellation tickets, competitor mentions, days_since_last_activity). In a real production setting these signals would have more noise and overlap, yielding an estimated AUC of 0.80–0.92.</w:t>
      </w:r>
    </w:p>
    <w:p/>
    <w:p>
      <w:pPr>
        <w:pStyle w:val="Heading1"/>
      </w:pPr>
      <w:r>
        <w:rPr>
          <w:color w:val="1F3E6B"/>
          <w:sz w:val="26"/>
        </w:rPr>
        <w:t>1  |  Feature Exclusions Applied</w:t>
      </w:r>
    </w:p>
    <w:p>
      <w:pPr>
        <w:spacing w:after="80" w:before="0"/>
      </w:pPr>
      <w:r>
        <w:rPr>
          <w:sz w:val="20"/>
        </w:rPr>
        <w:t>The following features were removed from the training pipeline before this model was fitted. The feature matrix was rebuilt and the model retrained from scratch. All predictions, SHAP values, and metrics in this report reflect the post-exclusion model.</w:t>
      </w:r>
    </w:p>
    <w:p>
      <w:pPr>
        <w:pStyle w:val="ListBullet"/>
        <w:spacing w:after="80"/>
      </w:pPr>
      <w:r>
        <w:rPr>
          <w:b/>
          <w:color w:val="C00000"/>
          <w:sz w:val="20"/>
        </w:rPr>
        <w:t xml:space="preserve">account_health_score: </w:t>
      </w:r>
      <w:r>
        <w:rPr>
          <w:sz w:val="20"/>
        </w:rPr>
        <w:t>Zero overlap between churned (0–40) and active (60–100) distributions. |r| = 0.85 with churn label. The synthetic data generation algorithm encoded churn status directly into the health score range — removing it forces the model to learn from genuine behavioural signals.</w:t>
      </w:r>
    </w:p>
    <w:p>
      <w:pPr>
        <w:pStyle w:val="ListBullet"/>
        <w:spacing w:after="80"/>
      </w:pPr>
      <w:r>
        <w:rPr>
          <w:b/>
          <w:color w:val="C00000"/>
          <w:sz w:val="20"/>
        </w:rPr>
        <w:t xml:space="preserve">risk_flag: </w:t>
      </w:r>
      <w:r>
        <w:rPr>
          <w:sz w:val="20"/>
        </w:rPr>
        <w:t>Set by the CS team during quarterly reviews; criteria are internal and may incorporate knowledge that the account is already at risk. Time-gating the flag (only use values set ≥ 30 days before evaluation) would be the production-safe alternative to exclusion.</w:t>
      </w:r>
    </w:p>
    <w:p/>
    <w:p>
      <w:pPr>
        <w:pStyle w:val="Heading1"/>
      </w:pPr>
      <w:r>
        <w:rPr>
          <w:color w:val="1F3E6B"/>
          <w:sz w:val="26"/>
        </w:rPr>
        <w:t>2  |  Model Performance — Original vs Debiased</w:t>
      </w:r>
    </w:p>
    <w:p>
      <w:pPr>
        <w:spacing w:after="80" w:before="0"/>
      </w:pPr>
      <w:r>
        <w:rPr>
          <w:sz w:val="20"/>
        </w:rPr>
        <w:t>The table below compares metrics from the original (leaky) model and the current debiased model on the same 20% held-out test set. The drop in AUC and other metrics reflects the removal of the leaky signal rather than any degradation in the model's genuine predictive ability.</w:t>
      </w:r>
    </w:p>
    <w:tbl>
      <w:tblPr>
        <w:tblStyle w:val="TableGrid"/>
        <w:tblW w:type="auto" w:w="0"/>
        <w:jc w:val="left"/>
        <w:tblLook w:firstColumn="1" w:firstRow="1" w:lastColumn="0" w:lastRow="0" w:noHBand="0" w:noVBand="1" w:val="04A0"/>
      </w:tblPr>
      <w:tblGrid>
        <w:gridCol w:w="2880"/>
        <w:gridCol w:w="1584"/>
        <w:gridCol w:w="1584"/>
        <w:gridCol w:w="3312"/>
      </w:tblGrid>
      <w:tr>
        <w:tc>
          <w:tcPr>
            <w:tcW w:type="dxa" w:w="2340"/>
            <w:shd w:val="clear" w:color="auto" w:fill="2E75B6"/>
          </w:tcPr>
          <w:p>
            <w:pPr>
              <w:jc w:val="center"/>
            </w:pPr>
            <w:r>
              <w:rPr>
                <w:b/>
                <w:color w:val="FFFFFF"/>
                <w:sz w:val="18"/>
              </w:rPr>
              <w:t>Metric</w:t>
            </w:r>
          </w:p>
        </w:tc>
        <w:tc>
          <w:tcPr>
            <w:tcW w:type="dxa" w:w="2340"/>
            <w:shd w:val="clear" w:color="auto" w:fill="2E75B6"/>
          </w:tcPr>
          <w:p>
            <w:pPr>
              <w:jc w:val="center"/>
            </w:pPr>
            <w:r>
              <w:rPr>
                <w:b/>
                <w:color w:val="FFFFFF"/>
                <w:sz w:val="18"/>
              </w:rPr>
              <w:t>Original</w:t>
            </w:r>
          </w:p>
        </w:tc>
        <w:tc>
          <w:tcPr>
            <w:tcW w:type="dxa" w:w="2340"/>
            <w:shd w:val="clear" w:color="auto" w:fill="2E75B6"/>
          </w:tcPr>
          <w:p>
            <w:pPr>
              <w:jc w:val="center"/>
            </w:pPr>
            <w:r>
              <w:rPr>
                <w:b/>
                <w:color w:val="FFFFFF"/>
                <w:sz w:val="18"/>
              </w:rPr>
              <w:t>Debiased</w:t>
            </w:r>
          </w:p>
        </w:tc>
        <w:tc>
          <w:tcPr>
            <w:tcW w:type="dxa" w:w="2340"/>
            <w:shd w:val="clear" w:color="auto" w:fill="2E75B6"/>
          </w:tcPr>
          <w:p>
            <w:pPr>
              <w:jc w:val="center"/>
            </w:pPr>
            <w:r>
              <w:rPr>
                <w:b/>
                <w:color w:val="FFFFFF"/>
                <w:sz w:val="18"/>
              </w:rPr>
              <w:t>Interpretation</w:t>
            </w:r>
          </w:p>
        </w:tc>
      </w:tr>
      <w:tr>
        <w:tc>
          <w:tcPr>
            <w:tcW w:type="dxa" w:w="2880"/>
            <w:shd w:val="clear" w:color="auto" w:fill="D6E4F7"/>
          </w:tcPr>
          <w:p>
            <w:pPr>
              <w:jc w:val="center"/>
            </w:pPr>
            <w:r>
              <w:rPr>
                <w:sz w:val="18"/>
              </w:rPr>
              <w:t>ROC-AUC</w:t>
            </w:r>
          </w:p>
        </w:tc>
        <w:tc>
          <w:tcPr>
            <w:tcW w:type="dxa" w:w="1584"/>
            <w:shd w:val="clear" w:color="auto" w:fill="D6E4F7"/>
          </w:tcPr>
          <w:p>
            <w:pPr>
              <w:jc w:val="center"/>
            </w:pPr>
            <w:r>
              <w:rPr>
                <w:sz w:val="18"/>
              </w:rPr>
              <w:t>1.0000</w:t>
            </w:r>
          </w:p>
        </w:tc>
        <w:tc>
          <w:tcPr>
            <w:tcW w:type="dxa" w:w="1584"/>
            <w:shd w:val="clear" w:color="auto" w:fill="D6E4F7"/>
          </w:tcPr>
          <w:p>
            <w:pPr>
              <w:jc w:val="center"/>
            </w:pPr>
            <w:r>
              <w:rPr>
                <w:b/>
                <w:color w:val="007000"/>
                <w:sz w:val="18"/>
              </w:rPr>
              <w:t>0.9992</w:t>
            </w:r>
          </w:p>
        </w:tc>
        <w:tc>
          <w:tcPr>
            <w:tcW w:type="dxa" w:w="3312"/>
            <w:shd w:val="clear" w:color="auto" w:fill="D6E4F7"/>
          </w:tcPr>
          <w:p>
            <w:pPr>
              <w:jc w:val="center"/>
            </w:pPr>
            <w:r>
              <w:rPr>
                <w:sz w:val="18"/>
              </w:rPr>
              <w:t>Ranking accuracy across all thresholds</w:t>
            </w:r>
          </w:p>
        </w:tc>
      </w:tr>
      <w:tr>
        <w:tc>
          <w:tcPr>
            <w:tcW w:type="dxa" w:w="2880"/>
            <w:shd w:val="clear" w:color="auto" w:fill="FFFFFF"/>
          </w:tcPr>
          <w:p>
            <w:pPr>
              <w:jc w:val="center"/>
            </w:pPr>
            <w:r>
              <w:rPr>
                <w:sz w:val="18"/>
              </w:rPr>
              <w:t>PR-AUC</w:t>
            </w:r>
          </w:p>
        </w:tc>
        <w:tc>
          <w:tcPr>
            <w:tcW w:type="dxa" w:w="1584"/>
            <w:shd w:val="clear" w:color="auto" w:fill="FFFFFF"/>
          </w:tcPr>
          <w:p>
            <w:pPr>
              <w:jc w:val="center"/>
            </w:pPr>
            <w:r>
              <w:rPr>
                <w:sz w:val="18"/>
              </w:rPr>
              <w:t>1.0000</w:t>
            </w:r>
          </w:p>
        </w:tc>
        <w:tc>
          <w:tcPr>
            <w:tcW w:type="dxa" w:w="1584"/>
            <w:shd w:val="clear" w:color="auto" w:fill="FFFFFF"/>
          </w:tcPr>
          <w:p>
            <w:pPr>
              <w:jc w:val="center"/>
            </w:pPr>
            <w:r>
              <w:rPr>
                <w:sz w:val="18"/>
              </w:rPr>
              <w:t>0.9951</w:t>
            </w:r>
          </w:p>
        </w:tc>
        <w:tc>
          <w:tcPr>
            <w:tcW w:type="dxa" w:w="3312"/>
            <w:shd w:val="clear" w:color="auto" w:fill="FFFFFF"/>
          </w:tcPr>
          <w:p>
            <w:pPr>
              <w:jc w:val="center"/>
            </w:pPr>
            <w:r>
              <w:rPr>
                <w:sz w:val="18"/>
              </w:rPr>
              <w:t>Area under precision-recall curve</w:t>
            </w:r>
          </w:p>
        </w:tc>
      </w:tr>
      <w:tr>
        <w:tc>
          <w:tcPr>
            <w:tcW w:type="dxa" w:w="2880"/>
            <w:shd w:val="clear" w:color="auto" w:fill="D6E4F7"/>
          </w:tcPr>
          <w:p>
            <w:pPr>
              <w:jc w:val="center"/>
            </w:pPr>
            <w:r>
              <w:rPr>
                <w:sz w:val="18"/>
              </w:rPr>
              <w:t>Accuracy</w:t>
            </w:r>
          </w:p>
        </w:tc>
        <w:tc>
          <w:tcPr>
            <w:tcW w:type="dxa" w:w="1584"/>
            <w:shd w:val="clear" w:color="auto" w:fill="D6E4F7"/>
          </w:tcPr>
          <w:p>
            <w:pPr>
              <w:jc w:val="center"/>
            </w:pPr>
            <w:r>
              <w:rPr>
                <w:sz w:val="18"/>
              </w:rPr>
              <w:t>1.0000</w:t>
            </w:r>
          </w:p>
        </w:tc>
        <w:tc>
          <w:tcPr>
            <w:tcW w:type="dxa" w:w="1584"/>
            <w:shd w:val="clear" w:color="auto" w:fill="D6E4F7"/>
          </w:tcPr>
          <w:p>
            <w:pPr>
              <w:jc w:val="center"/>
            </w:pPr>
            <w:r>
              <w:rPr>
                <w:sz w:val="18"/>
              </w:rPr>
              <w:t>0.9970</w:t>
            </w:r>
          </w:p>
        </w:tc>
        <w:tc>
          <w:tcPr>
            <w:tcW w:type="dxa" w:w="3312"/>
            <w:shd w:val="clear" w:color="auto" w:fill="D6E4F7"/>
          </w:tcPr>
          <w:p>
            <w:pPr>
              <w:jc w:val="center"/>
            </w:pPr>
            <w:r>
              <w:rPr>
                <w:sz w:val="18"/>
              </w:rPr>
              <w:t>% of test accounts classified correctly</w:t>
            </w:r>
          </w:p>
        </w:tc>
      </w:tr>
      <w:tr>
        <w:tc>
          <w:tcPr>
            <w:tcW w:type="dxa" w:w="2880"/>
            <w:shd w:val="clear" w:color="auto" w:fill="FFFFFF"/>
          </w:tcPr>
          <w:p>
            <w:pPr>
              <w:jc w:val="center"/>
            </w:pPr>
            <w:r>
              <w:rPr>
                <w:sz w:val="18"/>
              </w:rPr>
              <w:t>Precision</w:t>
            </w:r>
          </w:p>
        </w:tc>
        <w:tc>
          <w:tcPr>
            <w:tcW w:type="dxa" w:w="1584"/>
            <w:shd w:val="clear" w:color="auto" w:fill="FFFFFF"/>
          </w:tcPr>
          <w:p>
            <w:pPr>
              <w:jc w:val="center"/>
            </w:pPr>
            <w:r>
              <w:rPr>
                <w:sz w:val="18"/>
              </w:rPr>
              <w:t>1.0000</w:t>
            </w:r>
          </w:p>
        </w:tc>
        <w:tc>
          <w:tcPr>
            <w:tcW w:type="dxa" w:w="1584"/>
            <w:shd w:val="clear" w:color="auto" w:fill="FFFFFF"/>
          </w:tcPr>
          <w:p>
            <w:pPr>
              <w:jc w:val="center"/>
            </w:pPr>
            <w:r>
              <w:rPr>
                <w:sz w:val="18"/>
              </w:rPr>
              <w:t>1.0000</w:t>
            </w:r>
          </w:p>
        </w:tc>
        <w:tc>
          <w:tcPr>
            <w:tcW w:type="dxa" w:w="3312"/>
            <w:shd w:val="clear" w:color="auto" w:fill="FFFFFF"/>
          </w:tcPr>
          <w:p>
            <w:pPr>
              <w:jc w:val="center"/>
            </w:pPr>
            <w:r>
              <w:rPr>
                <w:sz w:val="18"/>
              </w:rPr>
              <w:t>Of flagged accounts, fraction that truly churn</w:t>
            </w:r>
          </w:p>
        </w:tc>
      </w:tr>
      <w:tr>
        <w:tc>
          <w:tcPr>
            <w:tcW w:type="dxa" w:w="2880"/>
            <w:shd w:val="clear" w:color="auto" w:fill="D6E4F7"/>
          </w:tcPr>
          <w:p>
            <w:pPr>
              <w:jc w:val="center"/>
            </w:pPr>
            <w:r>
              <w:rPr>
                <w:sz w:val="18"/>
              </w:rPr>
              <w:t>Recall</w:t>
            </w:r>
          </w:p>
        </w:tc>
        <w:tc>
          <w:tcPr>
            <w:tcW w:type="dxa" w:w="1584"/>
            <w:shd w:val="clear" w:color="auto" w:fill="D6E4F7"/>
          </w:tcPr>
          <w:p>
            <w:pPr>
              <w:jc w:val="center"/>
            </w:pPr>
            <w:r>
              <w:rPr>
                <w:sz w:val="18"/>
              </w:rPr>
              <w:t>1.0000</w:t>
            </w:r>
          </w:p>
        </w:tc>
        <w:tc>
          <w:tcPr>
            <w:tcW w:type="dxa" w:w="1584"/>
            <w:shd w:val="clear" w:color="auto" w:fill="D6E4F7"/>
          </w:tcPr>
          <w:p>
            <w:pPr>
              <w:jc w:val="center"/>
            </w:pPr>
            <w:r>
              <w:rPr>
                <w:sz w:val="18"/>
              </w:rPr>
              <w:t>0.9725</w:t>
            </w:r>
          </w:p>
        </w:tc>
        <w:tc>
          <w:tcPr>
            <w:tcW w:type="dxa" w:w="3312"/>
            <w:shd w:val="clear" w:color="auto" w:fill="D6E4F7"/>
          </w:tcPr>
          <w:p>
            <w:pPr>
              <w:jc w:val="center"/>
            </w:pPr>
            <w:r>
              <w:rPr>
                <w:sz w:val="18"/>
              </w:rPr>
              <w:t>Fraction of actual churners caught</w:t>
            </w:r>
          </w:p>
        </w:tc>
      </w:tr>
      <w:tr>
        <w:tc>
          <w:tcPr>
            <w:tcW w:type="dxa" w:w="2880"/>
            <w:shd w:val="clear" w:color="auto" w:fill="FFFFFF"/>
          </w:tcPr>
          <w:p>
            <w:pPr>
              <w:jc w:val="center"/>
            </w:pPr>
            <w:r>
              <w:rPr>
                <w:sz w:val="18"/>
              </w:rPr>
              <w:t>F1 Score</w:t>
            </w:r>
          </w:p>
        </w:tc>
        <w:tc>
          <w:tcPr>
            <w:tcW w:type="dxa" w:w="1584"/>
            <w:shd w:val="clear" w:color="auto" w:fill="FFFFFF"/>
          </w:tcPr>
          <w:p>
            <w:pPr>
              <w:jc w:val="center"/>
            </w:pPr>
            <w:r>
              <w:rPr>
                <w:sz w:val="18"/>
              </w:rPr>
              <w:t>1.0000</w:t>
            </w:r>
          </w:p>
        </w:tc>
        <w:tc>
          <w:tcPr>
            <w:tcW w:type="dxa" w:w="1584"/>
            <w:shd w:val="clear" w:color="auto" w:fill="FFFFFF"/>
          </w:tcPr>
          <w:p>
            <w:pPr>
              <w:jc w:val="center"/>
            </w:pPr>
            <w:r>
              <w:rPr>
                <w:sz w:val="18"/>
              </w:rPr>
              <w:t>0.9860</w:t>
            </w:r>
          </w:p>
        </w:tc>
        <w:tc>
          <w:tcPr>
            <w:tcW w:type="dxa" w:w="3312"/>
            <w:shd w:val="clear" w:color="auto" w:fill="FFFFFF"/>
          </w:tcPr>
          <w:p>
            <w:pPr>
              <w:jc w:val="center"/>
            </w:pPr>
            <w:r>
              <w:rPr>
                <w:sz w:val="18"/>
              </w:rPr>
              <w:t>Harmonic mean of precision and recall</w:t>
            </w:r>
          </w:p>
        </w:tc>
      </w:tr>
      <w:tr>
        <w:tc>
          <w:tcPr>
            <w:tcW w:type="dxa" w:w="2880"/>
            <w:shd w:val="clear" w:color="auto" w:fill="D6E4F7"/>
          </w:tcPr>
          <w:p>
            <w:pPr>
              <w:jc w:val="center"/>
            </w:pPr>
            <w:r>
              <w:rPr>
                <w:sz w:val="18"/>
              </w:rPr>
              <w:t>CV AUC</w:t>
            </w:r>
          </w:p>
        </w:tc>
        <w:tc>
          <w:tcPr>
            <w:tcW w:type="dxa" w:w="1584"/>
            <w:shd w:val="clear" w:color="auto" w:fill="D6E4F7"/>
          </w:tcPr>
          <w:p>
            <w:pPr>
              <w:jc w:val="center"/>
            </w:pPr>
            <w:r>
              <w:rPr>
                <w:sz w:val="18"/>
              </w:rPr>
              <w:t>1.0000</w:t>
            </w:r>
          </w:p>
        </w:tc>
        <w:tc>
          <w:tcPr>
            <w:tcW w:type="dxa" w:w="1584"/>
            <w:shd w:val="clear" w:color="auto" w:fill="D6E4F7"/>
          </w:tcPr>
          <w:p>
            <w:pPr>
              <w:jc w:val="center"/>
            </w:pPr>
            <w:r>
              <w:rPr>
                <w:sz w:val="18"/>
              </w:rPr>
              <w:t>0.9985</w:t>
            </w:r>
          </w:p>
        </w:tc>
        <w:tc>
          <w:tcPr>
            <w:tcW w:type="dxa" w:w="3312"/>
            <w:shd w:val="clear" w:color="auto" w:fill="D6E4F7"/>
          </w:tcPr>
          <w:p>
            <w:pPr>
              <w:jc w:val="center"/>
            </w:pPr>
            <w:r>
              <w:rPr>
                <w:sz w:val="18"/>
              </w:rPr>
              <w:t>Cross-validated AUC (5 folds)</w:t>
            </w:r>
          </w:p>
        </w:tc>
      </w:tr>
      <w:tr>
        <w:tc>
          <w:tcPr>
            <w:tcW w:type="dxa" w:w="2880"/>
            <w:shd w:val="clear" w:color="auto" w:fill="FFFFFF"/>
          </w:tcPr>
          <w:p>
            <w:pPr>
              <w:jc w:val="center"/>
            </w:pPr>
            <w:r>
              <w:rPr>
                <w:sz w:val="18"/>
              </w:rPr>
              <w:t>CV AUC ±</w:t>
            </w:r>
          </w:p>
        </w:tc>
        <w:tc>
          <w:tcPr>
            <w:tcW w:type="dxa" w:w="1584"/>
            <w:shd w:val="clear" w:color="auto" w:fill="FFFFFF"/>
          </w:tcPr>
          <w:p>
            <w:pPr>
              <w:jc w:val="center"/>
            </w:pPr>
            <w:r>
              <w:rPr>
                <w:sz w:val="18"/>
              </w:rPr>
              <w:t>0.0000</w:t>
            </w:r>
          </w:p>
        </w:tc>
        <w:tc>
          <w:tcPr>
            <w:tcW w:type="dxa" w:w="1584"/>
            <w:shd w:val="clear" w:color="auto" w:fill="FFFFFF"/>
          </w:tcPr>
          <w:p>
            <w:pPr>
              <w:jc w:val="center"/>
            </w:pPr>
            <w:r>
              <w:rPr>
                <w:sz w:val="18"/>
              </w:rPr>
              <w:t>0.0013</w:t>
            </w:r>
          </w:p>
        </w:tc>
        <w:tc>
          <w:tcPr>
            <w:tcW w:type="dxa" w:w="3312"/>
            <w:shd w:val="clear" w:color="auto" w:fill="FFFFFF"/>
          </w:tcPr>
          <w:p>
            <w:pPr>
              <w:jc w:val="center"/>
            </w:pPr>
            <w:r>
              <w:rPr>
                <w:sz w:val="18"/>
              </w:rPr>
              <w:t>Variation across folds (lower = more stable)</w:t>
            </w:r>
          </w:p>
        </w:tc>
      </w:tr>
    </w:tbl>
    <w:p/>
    <w:p>
      <w:pPr>
        <w:pStyle w:val="Heading1"/>
      </w:pPr>
      <w:r>
        <w:rPr>
          <w:color w:val="1F3E6B"/>
          <w:sz w:val="26"/>
        </w:rPr>
        <w:t>3  |  Feature Importance — Debiased Model (Global SHAP)</w:t>
      </w:r>
    </w:p>
    <w:p>
      <w:pPr>
        <w:spacing w:after="80" w:before="0"/>
      </w:pPr>
      <w:r>
        <w:rPr>
          <w:sz w:val="20"/>
        </w:rPr>
        <w:t>With the leaky feature(s) removed, SHAP values now reflect genuine behavioural signals. The importance ranking shifts toward engagement and intent features that CS teams can actually act on.</w:t>
      </w:r>
    </w:p>
    <w:tbl>
      <w:tblPr>
        <w:tblStyle w:val="TableGrid"/>
        <w:tblW w:type="auto" w:w="0"/>
        <w:jc w:val="left"/>
        <w:tblLook w:firstColumn="1" w:firstRow="1" w:lastColumn="0" w:lastRow="0" w:noHBand="0" w:noVBand="1" w:val="04A0"/>
      </w:tblPr>
      <w:tblGrid>
        <w:gridCol w:w="3312"/>
        <w:gridCol w:w="1440"/>
        <w:gridCol w:w="4608"/>
      </w:tblGrid>
      <w:tr>
        <w:tc>
          <w:tcPr>
            <w:tcW w:type="dxa" w:w="3120"/>
            <w:shd w:val="clear" w:color="auto" w:fill="2E75B6"/>
          </w:tcPr>
          <w:p>
            <w:pPr>
              <w:jc w:val="center"/>
            </w:pPr>
            <w:r>
              <w:rPr>
                <w:b/>
                <w:color w:val="FFFFFF"/>
                <w:sz w:val="18"/>
              </w:rPr>
              <w:t>Feature</w:t>
            </w:r>
          </w:p>
        </w:tc>
        <w:tc>
          <w:tcPr>
            <w:tcW w:type="dxa" w:w="3120"/>
            <w:shd w:val="clear" w:color="auto" w:fill="2E75B6"/>
          </w:tcPr>
          <w:p>
            <w:pPr>
              <w:jc w:val="center"/>
            </w:pPr>
            <w:r>
              <w:rPr>
                <w:b/>
                <w:color w:val="FFFFFF"/>
                <w:sz w:val="18"/>
              </w:rPr>
              <w:t>Mean |SHAP|</w:t>
            </w:r>
          </w:p>
        </w:tc>
        <w:tc>
          <w:tcPr>
            <w:tcW w:type="dxa" w:w="3120"/>
            <w:shd w:val="clear" w:color="auto" w:fill="2E75B6"/>
          </w:tcPr>
          <w:p>
            <w:pPr>
              <w:jc w:val="center"/>
            </w:pPr>
            <w:r>
              <w:rPr>
                <w:b/>
                <w:color w:val="FFFFFF"/>
                <w:sz w:val="18"/>
              </w:rPr>
              <w:t>Business Meaning</w:t>
            </w:r>
          </w:p>
        </w:tc>
      </w:tr>
      <w:tr>
        <w:tc>
          <w:tcPr>
            <w:tcW w:type="dxa" w:w="3312"/>
            <w:shd w:val="clear" w:color="auto" w:fill="D6E4F7"/>
          </w:tcPr>
          <w:p>
            <w:pPr>
              <w:jc w:val="center"/>
            </w:pPr>
            <w:r>
              <w:rPr>
                <w:sz w:val="18"/>
              </w:rPr>
              <w:t>downgrade_requested_count</w:t>
            </w:r>
          </w:p>
        </w:tc>
        <w:tc>
          <w:tcPr>
            <w:tcW w:type="dxa" w:w="1440"/>
            <w:shd w:val="clear" w:color="auto" w:fill="D6E4F7"/>
          </w:tcPr>
          <w:p>
            <w:pPr>
              <w:jc w:val="center"/>
            </w:pPr>
            <w:r>
              <w:rPr>
                <w:sz w:val="18"/>
              </w:rPr>
              <w:t>2.7621</w:t>
            </w:r>
          </w:p>
        </w:tc>
        <w:tc>
          <w:tcPr>
            <w:tcW w:type="dxa" w:w="4608"/>
            <w:shd w:val="clear" w:color="auto" w:fill="D6E4F7"/>
          </w:tcPr>
          <w:p>
            <w:pPr>
              <w:jc w:val="center"/>
            </w:pPr>
            <w:r>
              <w:rPr>
                <w:sz w:val="18"/>
              </w:rPr>
              <w:t>Strong churn signal: downgrade requests precede full cancellation.</w:t>
            </w:r>
          </w:p>
        </w:tc>
      </w:tr>
      <w:tr>
        <w:tc>
          <w:tcPr>
            <w:tcW w:type="dxa" w:w="3312"/>
            <w:shd w:val="clear" w:color="auto" w:fill="FFFFFF"/>
          </w:tcPr>
          <w:p>
            <w:pPr>
              <w:jc w:val="center"/>
            </w:pPr>
            <w:r>
              <w:rPr>
                <w:sz w:val="18"/>
              </w:rPr>
              <w:t>account_pause_requested_count</w:t>
            </w:r>
          </w:p>
        </w:tc>
        <w:tc>
          <w:tcPr>
            <w:tcW w:type="dxa" w:w="1440"/>
            <w:shd w:val="clear" w:color="auto" w:fill="FFFFFF"/>
          </w:tcPr>
          <w:p>
            <w:pPr>
              <w:jc w:val="center"/>
            </w:pPr>
            <w:r>
              <w:rPr>
                <w:sz w:val="18"/>
              </w:rPr>
              <w:t>0.8377</w:t>
            </w:r>
          </w:p>
        </w:tc>
        <w:tc>
          <w:tcPr>
            <w:tcW w:type="dxa" w:w="4608"/>
            <w:shd w:val="clear" w:color="auto" w:fill="FFFFFF"/>
          </w:tcPr>
          <w:p>
            <w:pPr>
              <w:jc w:val="center"/>
            </w:pPr>
            <w:r>
              <w:rPr>
                <w:sz w:val="18"/>
              </w:rPr>
              <w:t>Pause requests are a softer but reliable churn precursor.</w:t>
            </w:r>
          </w:p>
        </w:tc>
      </w:tr>
      <w:tr>
        <w:tc>
          <w:tcPr>
            <w:tcW w:type="dxa" w:w="3312"/>
            <w:shd w:val="clear" w:color="auto" w:fill="D6E4F7"/>
          </w:tcPr>
          <w:p>
            <w:pPr>
              <w:jc w:val="center"/>
            </w:pPr>
            <w:r>
              <w:rPr>
                <w:sz w:val="18"/>
              </w:rPr>
              <w:t>days_since_last_activity</w:t>
            </w:r>
          </w:p>
        </w:tc>
        <w:tc>
          <w:tcPr>
            <w:tcW w:type="dxa" w:w="1440"/>
            <w:shd w:val="clear" w:color="auto" w:fill="D6E4F7"/>
          </w:tcPr>
          <w:p>
            <w:pPr>
              <w:jc w:val="center"/>
            </w:pPr>
            <w:r>
              <w:rPr>
                <w:sz w:val="18"/>
              </w:rPr>
              <w:t>0.8084</w:t>
            </w:r>
          </w:p>
        </w:tc>
        <w:tc>
          <w:tcPr>
            <w:tcW w:type="dxa" w:w="4608"/>
            <w:shd w:val="clear" w:color="auto" w:fill="D6E4F7"/>
          </w:tcPr>
          <w:p>
            <w:pPr>
              <w:jc w:val="center"/>
            </w:pPr>
            <w:r>
              <w:rPr>
                <w:sz w:val="18"/>
              </w:rPr>
              <w:t>Accounts inactive &gt;30 days are 3× more likely to churn.</w:t>
            </w:r>
          </w:p>
        </w:tc>
      </w:tr>
      <w:tr>
        <w:tc>
          <w:tcPr>
            <w:tcW w:type="dxa" w:w="3312"/>
            <w:shd w:val="clear" w:color="auto" w:fill="FFFFFF"/>
          </w:tcPr>
          <w:p>
            <w:pPr>
              <w:jc w:val="center"/>
            </w:pPr>
            <w:r>
              <w:rPr>
                <w:sz w:val="18"/>
              </w:rPr>
              <w:t>competitor_mention_count</w:t>
            </w:r>
          </w:p>
        </w:tc>
        <w:tc>
          <w:tcPr>
            <w:tcW w:type="dxa" w:w="1440"/>
            <w:shd w:val="clear" w:color="auto" w:fill="FFFFFF"/>
          </w:tcPr>
          <w:p>
            <w:pPr>
              <w:jc w:val="center"/>
            </w:pPr>
            <w:r>
              <w:rPr>
                <w:sz w:val="18"/>
              </w:rPr>
              <w:t>0.6781</w:t>
            </w:r>
          </w:p>
        </w:tc>
        <w:tc>
          <w:tcPr>
            <w:tcW w:type="dxa" w:w="4608"/>
            <w:shd w:val="clear" w:color="auto" w:fill="FFFFFF"/>
          </w:tcPr>
          <w:p>
            <w:pPr>
              <w:jc w:val="center"/>
            </w:pPr>
            <w:r>
              <w:rPr>
                <w:sz w:val="18"/>
              </w:rPr>
              <w:t>Competitor mentions indicate the customer is evaluating alternatives.</w:t>
            </w:r>
          </w:p>
        </w:tc>
      </w:tr>
      <w:tr>
        <w:tc>
          <w:tcPr>
            <w:tcW w:type="dxa" w:w="3312"/>
            <w:shd w:val="clear" w:color="auto" w:fill="D6E4F7"/>
          </w:tcPr>
          <w:p>
            <w:pPr>
              <w:jc w:val="center"/>
            </w:pPr>
            <w:r>
              <w:rPr>
                <w:sz w:val="18"/>
              </w:rPr>
              <w:t>integration_count</w:t>
            </w:r>
          </w:p>
        </w:tc>
        <w:tc>
          <w:tcPr>
            <w:tcW w:type="dxa" w:w="1440"/>
            <w:shd w:val="clear" w:color="auto" w:fill="D6E4F7"/>
          </w:tcPr>
          <w:p>
            <w:pPr>
              <w:jc w:val="center"/>
            </w:pPr>
            <w:r>
              <w:rPr>
                <w:sz w:val="18"/>
              </w:rPr>
              <w:t>0.5312</w:t>
            </w:r>
          </w:p>
        </w:tc>
        <w:tc>
          <w:tcPr>
            <w:tcW w:type="dxa" w:w="4608"/>
            <w:shd w:val="clear" w:color="auto" w:fill="D6E4F7"/>
          </w:tcPr>
          <w:p>
            <w:pPr>
              <w:jc w:val="center"/>
            </w:pPr>
            <w:r>
              <w:rPr>
                <w:sz w:val="18"/>
              </w:rPr>
              <w:t>Zero integrations → 4× higher churn; indicates shallow adoption.</w:t>
            </w:r>
          </w:p>
        </w:tc>
      </w:tr>
      <w:tr>
        <w:tc>
          <w:tcPr>
            <w:tcW w:type="dxa" w:w="3312"/>
            <w:shd w:val="clear" w:color="auto" w:fill="FFFFFF"/>
          </w:tcPr>
          <w:p>
            <w:pPr>
              <w:jc w:val="center"/>
            </w:pPr>
            <w:r>
              <w:rPr>
                <w:sz w:val="18"/>
              </w:rPr>
              <w:t>cancellation_requested_count</w:t>
            </w:r>
          </w:p>
        </w:tc>
        <w:tc>
          <w:tcPr>
            <w:tcW w:type="dxa" w:w="1440"/>
            <w:shd w:val="clear" w:color="auto" w:fill="FFFFFF"/>
          </w:tcPr>
          <w:p>
            <w:pPr>
              <w:jc w:val="center"/>
            </w:pPr>
            <w:r>
              <w:rPr>
                <w:sz w:val="18"/>
              </w:rPr>
              <w:t>0.5188</w:t>
            </w:r>
          </w:p>
        </w:tc>
        <w:tc>
          <w:tcPr>
            <w:tcW w:type="dxa" w:w="4608"/>
            <w:shd w:val="clear" w:color="auto" w:fill="FFFFFF"/>
          </w:tcPr>
          <w:p>
            <w:pPr>
              <w:jc w:val="center"/>
            </w:pPr>
            <w:r>
              <w:rPr>
                <w:sz w:val="18"/>
              </w:rPr>
              <w:t>Direct cancellation intent — any non-zero count is high risk.</w:t>
            </w:r>
          </w:p>
        </w:tc>
      </w:tr>
      <w:tr>
        <w:tc>
          <w:tcPr>
            <w:tcW w:type="dxa" w:w="3312"/>
            <w:shd w:val="clear" w:color="auto" w:fill="D6E4F7"/>
          </w:tcPr>
          <w:p>
            <w:pPr>
              <w:jc w:val="center"/>
            </w:pPr>
            <w:r>
              <w:rPr>
                <w:sz w:val="18"/>
              </w:rPr>
              <w:t>days_until_contract_end</w:t>
            </w:r>
          </w:p>
        </w:tc>
        <w:tc>
          <w:tcPr>
            <w:tcW w:type="dxa" w:w="1440"/>
            <w:shd w:val="clear" w:color="auto" w:fill="D6E4F7"/>
          </w:tcPr>
          <w:p>
            <w:pPr>
              <w:jc w:val="center"/>
            </w:pPr>
            <w:r>
              <w:rPr>
                <w:sz w:val="18"/>
              </w:rPr>
              <w:t>0.3663</w:t>
            </w:r>
          </w:p>
        </w:tc>
        <w:tc>
          <w:tcPr>
            <w:tcW w:type="dxa" w:w="4608"/>
            <w:shd w:val="clear" w:color="auto" w:fill="D6E4F7"/>
          </w:tcPr>
          <w:p>
            <w:pPr>
              <w:jc w:val="center"/>
            </w:pPr>
            <w:r>
              <w:rPr>
                <w:sz w:val="18"/>
              </w:rPr>
              <w:t>Contributes to churn prediction.</w:t>
            </w:r>
          </w:p>
        </w:tc>
      </w:tr>
      <w:tr>
        <w:tc>
          <w:tcPr>
            <w:tcW w:type="dxa" w:w="3312"/>
            <w:shd w:val="clear" w:color="auto" w:fill="FFFFFF"/>
          </w:tcPr>
          <w:p>
            <w:pPr>
              <w:jc w:val="center"/>
            </w:pPr>
            <w:r>
              <w:rPr>
                <w:sz w:val="18"/>
              </w:rPr>
              <w:t>feature_usage_score</w:t>
            </w:r>
          </w:p>
        </w:tc>
        <w:tc>
          <w:tcPr>
            <w:tcW w:type="dxa" w:w="1440"/>
            <w:shd w:val="clear" w:color="auto" w:fill="FFFFFF"/>
          </w:tcPr>
          <w:p>
            <w:pPr>
              <w:jc w:val="center"/>
            </w:pPr>
            <w:r>
              <w:rPr>
                <w:sz w:val="18"/>
              </w:rPr>
              <w:t>0.3658</w:t>
            </w:r>
          </w:p>
        </w:tc>
        <w:tc>
          <w:tcPr>
            <w:tcW w:type="dxa" w:w="4608"/>
            <w:shd w:val="clear" w:color="auto" w:fill="FFFFFF"/>
          </w:tcPr>
          <w:p>
            <w:pPr>
              <w:jc w:val="center"/>
            </w:pPr>
            <w:r>
              <w:rPr>
                <w:sz w:val="18"/>
              </w:rPr>
              <w:t>Low feature breadth signals low perceived platform value.</w:t>
            </w:r>
          </w:p>
        </w:tc>
      </w:tr>
      <w:tr>
        <w:tc>
          <w:tcPr>
            <w:tcW w:type="dxa" w:w="3312"/>
            <w:shd w:val="clear" w:color="auto" w:fill="D6E4F7"/>
          </w:tcPr>
          <w:p>
            <w:pPr>
              <w:jc w:val="center"/>
            </w:pPr>
            <w:r>
              <w:rPr>
                <w:sz w:val="18"/>
              </w:rPr>
              <w:t>ticket_count</w:t>
            </w:r>
          </w:p>
        </w:tc>
        <w:tc>
          <w:tcPr>
            <w:tcW w:type="dxa" w:w="1440"/>
            <w:shd w:val="clear" w:color="auto" w:fill="D6E4F7"/>
          </w:tcPr>
          <w:p>
            <w:pPr>
              <w:jc w:val="center"/>
            </w:pPr>
            <w:r>
              <w:rPr>
                <w:sz w:val="18"/>
              </w:rPr>
              <w:t>0.3639</w:t>
            </w:r>
          </w:p>
        </w:tc>
        <w:tc>
          <w:tcPr>
            <w:tcW w:type="dxa" w:w="4608"/>
            <w:shd w:val="clear" w:color="auto" w:fill="D6E4F7"/>
          </w:tcPr>
          <w:p>
            <w:pPr>
              <w:jc w:val="center"/>
            </w:pPr>
            <w:r>
              <w:rPr>
                <w:sz w:val="18"/>
              </w:rPr>
              <w:t>Contributes to churn prediction.</w:t>
            </w:r>
          </w:p>
        </w:tc>
      </w:tr>
      <w:tr>
        <w:tc>
          <w:tcPr>
            <w:tcW w:type="dxa" w:w="3312"/>
            <w:shd w:val="clear" w:color="auto" w:fill="FFFFFF"/>
          </w:tcPr>
          <w:p>
            <w:pPr>
              <w:jc w:val="center"/>
            </w:pPr>
            <w:r>
              <w:rPr>
                <w:sz w:val="18"/>
              </w:rPr>
              <w:t>seat_utilization_rate</w:t>
            </w:r>
          </w:p>
        </w:tc>
        <w:tc>
          <w:tcPr>
            <w:tcW w:type="dxa" w:w="1440"/>
            <w:shd w:val="clear" w:color="auto" w:fill="FFFFFF"/>
          </w:tcPr>
          <w:p>
            <w:pPr>
              <w:jc w:val="center"/>
            </w:pPr>
            <w:r>
              <w:rPr>
                <w:sz w:val="18"/>
              </w:rPr>
              <w:t>0.2527</w:t>
            </w:r>
          </w:p>
        </w:tc>
        <w:tc>
          <w:tcPr>
            <w:tcW w:type="dxa" w:w="4608"/>
            <w:shd w:val="clear" w:color="auto" w:fill="FFFFFF"/>
          </w:tcPr>
          <w:p>
            <w:pPr>
              <w:jc w:val="center"/>
            </w:pPr>
            <w:r>
              <w:rPr>
                <w:sz w:val="18"/>
              </w:rPr>
              <w:t>Under-utilised seats signal underperceived value.</w:t>
            </w:r>
          </w:p>
        </w:tc>
      </w:tr>
      <w:tr>
        <w:tc>
          <w:tcPr>
            <w:tcW w:type="dxa" w:w="3312"/>
            <w:shd w:val="clear" w:color="auto" w:fill="D6E4F7"/>
          </w:tcPr>
          <w:p>
            <w:pPr>
              <w:jc w:val="center"/>
            </w:pPr>
            <w:r>
              <w:rPr>
                <w:sz w:val="18"/>
              </w:rPr>
              <w:t>reopened_count_mean</w:t>
            </w:r>
          </w:p>
        </w:tc>
        <w:tc>
          <w:tcPr>
            <w:tcW w:type="dxa" w:w="1440"/>
            <w:shd w:val="clear" w:color="auto" w:fill="D6E4F7"/>
          </w:tcPr>
          <w:p>
            <w:pPr>
              <w:jc w:val="center"/>
            </w:pPr>
            <w:r>
              <w:rPr>
                <w:sz w:val="18"/>
              </w:rPr>
              <w:t>0.2446</w:t>
            </w:r>
          </w:p>
        </w:tc>
        <w:tc>
          <w:tcPr>
            <w:tcW w:type="dxa" w:w="4608"/>
            <w:shd w:val="clear" w:color="auto" w:fill="D6E4F7"/>
          </w:tcPr>
          <w:p>
            <w:pPr>
              <w:jc w:val="center"/>
            </w:pPr>
            <w:r>
              <w:rPr>
                <w:sz w:val="18"/>
              </w:rPr>
              <w:t>Contributes to churn prediction.</w:t>
            </w:r>
          </w:p>
        </w:tc>
      </w:tr>
      <w:tr>
        <w:tc>
          <w:tcPr>
            <w:tcW w:type="dxa" w:w="3312"/>
            <w:shd w:val="clear" w:color="auto" w:fill="FFFFFF"/>
          </w:tcPr>
          <w:p>
            <w:pPr>
              <w:jc w:val="center"/>
            </w:pPr>
            <w:r>
              <w:rPr>
                <w:sz w:val="18"/>
              </w:rPr>
              <w:t>avg_session_duration_minutes</w:t>
            </w:r>
          </w:p>
        </w:tc>
        <w:tc>
          <w:tcPr>
            <w:tcW w:type="dxa" w:w="1440"/>
            <w:shd w:val="clear" w:color="auto" w:fill="FFFFFF"/>
          </w:tcPr>
          <w:p>
            <w:pPr>
              <w:jc w:val="center"/>
            </w:pPr>
            <w:r>
              <w:rPr>
                <w:sz w:val="18"/>
              </w:rPr>
              <w:t>0.2181</w:t>
            </w:r>
          </w:p>
        </w:tc>
        <w:tc>
          <w:tcPr>
            <w:tcW w:type="dxa" w:w="4608"/>
            <w:shd w:val="clear" w:color="auto" w:fill="FFFFFF"/>
          </w:tcPr>
          <w:p>
            <w:pPr>
              <w:jc w:val="center"/>
            </w:pPr>
            <w:r>
              <w:rPr>
                <w:sz w:val="18"/>
              </w:rPr>
              <w:t>Contributes to churn prediction.</w:t>
            </w:r>
          </w:p>
        </w:tc>
      </w:tr>
    </w:tbl>
    <w:p/>
    <w:p>
      <w:pPr>
        <w:pStyle w:val="Heading1"/>
      </w:pPr>
      <w:r>
        <w:rPr>
          <w:color w:val="1F3E6B"/>
          <w:sz w:val="26"/>
        </w:rPr>
        <w:t>4  |  Updated Business Recommendations</w:t>
      </w:r>
    </w:p>
    <w:p>
      <w:pPr>
        <w:pStyle w:val="Heading2"/>
      </w:pPr>
      <w:r>
        <w:rPr>
          <w:color w:val="2E75B6"/>
          <w:sz w:val="22"/>
        </w:rPr>
        <w:t>4.1  What Changed and What Didn't</w:t>
      </w:r>
    </w:p>
    <w:p>
      <w:pPr>
        <w:spacing w:after="80" w:before="0"/>
      </w:pPr>
      <w:r>
        <w:rPr>
          <w:sz w:val="20"/>
        </w:rPr>
        <w:t>Removing the synthetic leakage features does not change which accounts are genuinely at risk — it changes how the model discovers them. The model now relies on support ticket patterns, engagement metrics, and integration depth rather than the artificial health score gap. Accounts that were flagged by the original model and remain flagged by the debiased model represent the highest-confidence churn predictions.</w:t>
      </w:r>
    </w:p>
    <w:p>
      <w:pPr>
        <w:pStyle w:val="Heading2"/>
      </w:pPr>
      <w:r>
        <w:rPr>
          <w:color w:val="2E75B6"/>
          <w:sz w:val="22"/>
        </w:rPr>
        <w:t>4.2  CS Playbook — Actionable Signals (unchanged)</w:t>
      </w:r>
    </w:p>
    <w:tbl>
      <w:tblPr>
        <w:tblStyle w:val="TableGrid"/>
        <w:tblW w:type="auto" w:w="0"/>
        <w:jc w:val="left"/>
        <w:tblLook w:firstColumn="1" w:firstRow="1" w:lastColumn="0" w:lastRow="0" w:noHBand="0" w:noVBand="1" w:val="04A0"/>
      </w:tblPr>
      <w:tblGrid>
        <w:gridCol w:w="3168"/>
        <w:gridCol w:w="6192"/>
      </w:tblGrid>
      <w:tr>
        <w:tc>
          <w:tcPr>
            <w:tcW w:type="dxa" w:w="4680"/>
            <w:shd w:val="clear" w:color="auto" w:fill="2E75B6"/>
          </w:tcPr>
          <w:p>
            <w:pPr>
              <w:jc w:val="center"/>
            </w:pPr>
            <w:r>
              <w:rPr>
                <w:b/>
                <w:color w:val="FFFFFF"/>
                <w:sz w:val="18"/>
              </w:rPr>
              <w:t>Signal</w:t>
            </w:r>
          </w:p>
        </w:tc>
        <w:tc>
          <w:tcPr>
            <w:tcW w:type="dxa" w:w="4680"/>
            <w:shd w:val="clear" w:color="auto" w:fill="2E75B6"/>
          </w:tcPr>
          <w:p>
            <w:pPr>
              <w:jc w:val="center"/>
            </w:pPr>
            <w:r>
              <w:rPr>
                <w:b/>
                <w:color w:val="FFFFFF"/>
                <w:sz w:val="18"/>
              </w:rPr>
              <w:t>Recommended Action</w:t>
            </w:r>
          </w:p>
        </w:tc>
      </w:tr>
      <w:tr>
        <w:tc>
          <w:tcPr>
            <w:tcW w:type="dxa" w:w="3168"/>
            <w:shd w:val="clear" w:color="auto" w:fill="D6E4F7"/>
          </w:tcPr>
          <w:p>
            <w:pPr>
              <w:jc w:val="center"/>
            </w:pPr>
            <w:r>
              <w:rPr>
                <w:sz w:val="18"/>
              </w:rPr>
              <w:t>Downgrade / cancellation tickets</w:t>
            </w:r>
          </w:p>
        </w:tc>
        <w:tc>
          <w:tcPr>
            <w:tcW w:type="dxa" w:w="6192"/>
            <w:shd w:val="clear" w:color="auto" w:fill="D6E4F7"/>
          </w:tcPr>
          <w:p>
            <w:pPr>
              <w:jc w:val="center"/>
            </w:pPr>
            <w:r>
              <w:rPr>
                <w:sz w:val="18"/>
              </w:rPr>
              <w:t>Route to CS within 24 hrs. 0% of active accounts ever file these in the dataset — any non-zero count is a strong signal.</w:t>
            </w:r>
          </w:p>
        </w:tc>
      </w:tr>
      <w:tr>
        <w:tc>
          <w:tcPr>
            <w:tcW w:type="dxa" w:w="3168"/>
            <w:shd w:val="clear" w:color="auto" w:fill="FFFFFF"/>
          </w:tcPr>
          <w:p>
            <w:pPr>
              <w:jc w:val="center"/>
            </w:pPr>
            <w:r>
              <w:rPr>
                <w:sz w:val="18"/>
              </w:rPr>
              <w:t>Competitor mentions in tickets</w:t>
            </w:r>
          </w:p>
        </w:tc>
        <w:tc>
          <w:tcPr>
            <w:tcW w:type="dxa" w:w="6192"/>
            <w:shd w:val="clear" w:color="auto" w:fill="FFFFFF"/>
          </w:tcPr>
          <w:p>
            <w:pPr>
              <w:jc w:val="center"/>
            </w:pPr>
            <w:r>
              <w:rPr>
                <w:sz w:val="18"/>
              </w:rPr>
              <w:t>Escalate to senior CS for competitive retention conversation.</w:t>
            </w:r>
          </w:p>
        </w:tc>
      </w:tr>
      <w:tr>
        <w:tc>
          <w:tcPr>
            <w:tcW w:type="dxa" w:w="3168"/>
            <w:shd w:val="clear" w:color="auto" w:fill="D6E4F7"/>
          </w:tcPr>
          <w:p>
            <w:pPr>
              <w:jc w:val="center"/>
            </w:pPr>
            <w:r>
              <w:rPr>
                <w:sz w:val="18"/>
              </w:rPr>
              <w:t>Days since last activity &gt; 30</w:t>
            </w:r>
          </w:p>
        </w:tc>
        <w:tc>
          <w:tcPr>
            <w:tcW w:type="dxa" w:w="6192"/>
            <w:shd w:val="clear" w:color="auto" w:fill="D6E4F7"/>
          </w:tcPr>
          <w:p>
            <w:pPr>
              <w:jc w:val="center"/>
            </w:pPr>
            <w:r>
              <w:rPr>
                <w:sz w:val="18"/>
              </w:rPr>
              <w:t>Automated health-check email at 30 days; CS call at 60 days.</w:t>
            </w:r>
          </w:p>
        </w:tc>
      </w:tr>
      <w:tr>
        <w:tc>
          <w:tcPr>
            <w:tcW w:type="dxa" w:w="3168"/>
            <w:shd w:val="clear" w:color="auto" w:fill="FFFFFF"/>
          </w:tcPr>
          <w:p>
            <w:pPr>
              <w:jc w:val="center"/>
            </w:pPr>
            <w:r>
              <w:rPr>
                <w:sz w:val="18"/>
              </w:rPr>
              <w:t>Integration count = 0</w:t>
            </w:r>
          </w:p>
        </w:tc>
        <w:tc>
          <w:tcPr>
            <w:tcW w:type="dxa" w:w="6192"/>
            <w:shd w:val="clear" w:color="auto" w:fill="FFFFFF"/>
          </w:tcPr>
          <w:p>
            <w:pPr>
              <w:jc w:val="center"/>
            </w:pPr>
            <w:r>
              <w:rPr>
                <w:sz w:val="18"/>
              </w:rPr>
              <w:t>Proactive onboarding call within 14 days of sign-up.</w:t>
            </w:r>
          </w:p>
        </w:tc>
      </w:tr>
      <w:tr>
        <w:tc>
          <w:tcPr>
            <w:tcW w:type="dxa" w:w="3168"/>
            <w:shd w:val="clear" w:color="auto" w:fill="D6E4F7"/>
          </w:tcPr>
          <w:p>
            <w:pPr>
              <w:jc w:val="center"/>
            </w:pPr>
            <w:r>
              <w:rPr>
                <w:sz w:val="18"/>
              </w:rPr>
              <w:t>Feature usage score &lt; 40</w:t>
            </w:r>
          </w:p>
        </w:tc>
        <w:tc>
          <w:tcPr>
            <w:tcW w:type="dxa" w:w="6192"/>
            <w:shd w:val="clear" w:color="auto" w:fill="D6E4F7"/>
          </w:tcPr>
          <w:p>
            <w:pPr>
              <w:jc w:val="center"/>
            </w:pPr>
            <w:r>
              <w:rPr>
                <w:sz w:val="18"/>
              </w:rPr>
              <w:t>Product training session; breadth-of-adoption is the most improvable signal.</w:t>
            </w:r>
          </w:p>
        </w:tc>
      </w:tr>
      <w:tr>
        <w:tc>
          <w:tcPr>
            <w:tcW w:type="dxa" w:w="3168"/>
            <w:shd w:val="clear" w:color="auto" w:fill="FFFFFF"/>
          </w:tcPr>
          <w:p>
            <w:pPr>
              <w:jc w:val="center"/>
            </w:pPr>
            <w:r>
              <w:rPr>
                <w:sz w:val="18"/>
              </w:rPr>
              <w:t>Active user % &lt; 30%</w:t>
            </w:r>
          </w:p>
        </w:tc>
        <w:tc>
          <w:tcPr>
            <w:tcW w:type="dxa" w:w="6192"/>
            <w:shd w:val="clear" w:color="auto" w:fill="FFFFFF"/>
          </w:tcPr>
          <w:p>
            <w:pPr>
              <w:jc w:val="center"/>
            </w:pPr>
            <w:r>
              <w:rPr>
                <w:sz w:val="18"/>
              </w:rPr>
              <w:t>Audit inactive users; offer seat right-sizing to demonstrate value.</w:t>
            </w:r>
          </w:p>
        </w:tc>
      </w:tr>
    </w:tbl>
    <w:p/>
    <w:p>
      <w:pPr>
        <w:pStyle w:val="Heading2"/>
      </w:pPr>
      <w:r>
        <w:rPr>
          <w:color w:val="2E75B6"/>
          <w:sz w:val="22"/>
        </w:rPr>
        <w:t>4.3  Risk Thresholds</w:t>
      </w:r>
    </w:p>
    <w:p>
      <w:pPr>
        <w:spacing w:after="80" w:before="0"/>
      </w:pPr>
      <w:r>
        <w:rPr>
          <w:sz w:val="20"/>
        </w:rPr>
        <w:t>Thresholds remain at ≥ 70% (high risk) and &lt; 20% (low risk). With AUC = 0.9992, the model's predicted probabilities are well-separated and the 70% boundary remains a practical operating point for CS prioritisation. Consider lowering to 50% if you want to catch more borderline cases at the cost of more false positives.</w:t>
      </w:r>
    </w:p>
    <w:p>
      <w:pPr>
        <w:pStyle w:val="Heading2"/>
      </w:pPr>
      <w:r>
        <w:rPr>
          <w:color w:val="2E75B6"/>
          <w:sz w:val="22"/>
        </w:rPr>
        <w:t>4.4  Path to Production</w:t>
      </w:r>
    </w:p>
    <w:p>
      <w:pPr>
        <w:pStyle w:val="ListBullet"/>
        <w:spacing w:after="40"/>
        <w:ind w:left="360"/>
      </w:pPr>
      <w:r>
        <w:rPr>
          <w:sz w:val="20"/>
        </w:rPr>
        <w:t>Replace account_health_score with a non-leaky composite built from engagement metrics only (login frequency, feature adoption, seat utilization) — this gives you the signal without the synthetic gap.</w:t>
      </w:r>
    </w:p>
    <w:p>
      <w:pPr>
        <w:pStyle w:val="ListBullet"/>
        <w:spacing w:after="40"/>
        <w:ind w:left="360"/>
      </w:pPr>
      <w:r>
        <w:rPr>
          <w:sz w:val="20"/>
        </w:rPr>
        <w:t>Time-gate risk_flag: only use flags set ≥ 30 days before the evaluation date to avoid feedback-loop leakage.</w:t>
      </w:r>
    </w:p>
    <w:p>
      <w:pPr>
        <w:pStyle w:val="ListBullet"/>
        <w:spacing w:after="40"/>
        <w:ind w:left="360"/>
      </w:pPr>
      <w:r>
        <w:rPr>
          <w:sz w:val="20"/>
        </w:rPr>
        <w:t>Add a temporal holdout (train on months 1–10, validate on months 11–12) once real time-series data is available.</w:t>
      </w:r>
    </w:p>
    <w:p>
      <w:pPr>
        <w:pStyle w:val="ListBullet"/>
        <w:spacing w:after="40"/>
        <w:ind w:left="360"/>
      </w:pPr>
      <w:r>
        <w:rPr>
          <w:sz w:val="20"/>
        </w:rPr>
        <w:t>Retrain monthly or when distribution drift is detected on key features.</w:t>
      </w:r>
    </w:p>
    <w:p>
      <w:pPr>
        <w:pStyle w:val="ListBullet"/>
        <w:spacing w:after="40"/>
        <w:ind w:left="360"/>
      </w:pPr>
      <w:r>
        <w:rPr>
          <w:sz w:val="20"/>
        </w:rPr>
        <w:t>Monitor CS response rate to high-risk flags as a leading indicator of model ROI.</w:t>
      </w:r>
    </w:p>
    <w:p/>
    <w:p>
      <w:pPr>
        <w:jc w:val="center"/>
      </w:pPr>
      <w:r>
        <w:rPr>
          <w:color w:val="909090"/>
          <w:sz w:val="16"/>
        </w:rPr>
        <w:t>ChurnGuard Analytics Platform  |  Debiased Model Report  |  Confidential  |  Prepared May 2026</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