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500"/>
      </w:pP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2D8A52"/>
          <w:spacing w:val="60"/>
          <w:sz w:val="30"/>
          <w:szCs w:val="30"/>
        </w:rPr>
        <w:t xml:space="preserve">NEW FRONTIER</w:t>
      </w:r>
    </w:p>
    <w:p>
      <w:pPr>
        <w:spacing w:after="420"/>
        <w:jc w:val="center"/>
      </w:pPr>
      <w:r>
        <w:rPr>
          <w:rFonts w:ascii="Calibri" w:cs="Calibri" w:eastAsia="Calibri" w:hAnsi="Calibri"/>
          <w:color w:val="5A6478"/>
          <w:spacing w:val="30"/>
          <w:sz w:val="20"/>
          <w:szCs w:val="20"/>
        </w:rPr>
        <w:t xml:space="preserve">Recruiting Platform  ·  Strategy &amp; Vision</w:t>
      </w:r>
    </w:p>
    <w:p>
      <w:pPr>
        <w:spacing w:after="180"/>
        <w:jc w:val="center"/>
      </w:pPr>
      <w:r>
        <w:rPr>
          <w:rFonts w:ascii="Georgia" w:cs="Georgia" w:eastAsia="Georgia" w:hAnsi="Georgia"/>
          <w:b/>
          <w:bCs/>
          <w:color w:val="12182B"/>
          <w:sz w:val="58"/>
          <w:szCs w:val="58"/>
        </w:rPr>
        <w:t xml:space="preserve">Strategy &amp; Vision</w:t>
      </w:r>
    </w:p>
    <w:p>
      <w:pPr>
        <w:spacing w:after="520"/>
        <w:jc w:val="center"/>
      </w:pPr>
      <w:r>
        <w:rPr>
          <w:rFonts w:ascii="Calibri" w:cs="Calibri" w:eastAsia="Calibri" w:hAnsi="Calibri"/>
          <w:i/>
          <w:iCs/>
          <w:color w:val="5A6478"/>
          <w:sz w:val="24"/>
          <w:szCs w:val="24"/>
        </w:rPr>
        <w:t xml:space="preserve">Where we’re going and why we win</w:t>
      </w:r>
    </w:p>
    <w:p>
      <w:pPr>
        <w:pBdr>
          <w:top w:val="single" w:color="2D8A52" w:sz="8" w:space="10"/>
        </w:pBdr>
        <w:jc w:val="center"/>
      </w:pPr>
    </w:p>
    <w:p>
      <w:pPr>
        <w:spacing w:before="420"/>
      </w:pPr>
    </w:p>
    <w:tbl>
      <w:tblPr>
        <w:tblW w:type="dxa" w:w="9360"/>
        <w:tblBorders>
          <w:top w:val="single" w:color="C9D2DE" w:sz="2"/>
          <w:left w:val="none"/>
          <w:bottom w:val="single" w:color="C9D2DE" w:sz="2"/>
          <w:right w:val="none"/>
          <w:insideH w:val="single" w:color="C9D2DE" w:sz="2"/>
          <w:insideV w:val="none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2182B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760"/>
            <w:shd w:fill="12182B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60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Document</w:t>
            </w:r>
          </w:p>
        </w:tc>
        <w:tc>
          <w:tcPr>
            <w:tcW w:type="dxa" w:w="676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Strategy &amp; Vision</w:t>
            </w:r>
          </w:p>
        </w:tc>
      </w:tr>
      <w:tr>
        <w:tc>
          <w:tcPr>
            <w:tcW w:type="dxa" w:w="2600"/>
            <w:shd w:fill="F3F6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Version</w:t>
            </w:r>
          </w:p>
        </w:tc>
        <w:tc>
          <w:tcPr>
            <w:tcW w:type="dxa" w:w="6760"/>
            <w:shd w:fill="F3F6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1.0 (Draft for alignment)</w:t>
            </w:r>
          </w:p>
        </w:tc>
      </w:tr>
      <w:tr>
        <w:tc>
          <w:tcPr>
            <w:tcW w:type="dxa" w:w="260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Date</w:t>
            </w:r>
          </w:p>
        </w:tc>
        <w:tc>
          <w:tcPr>
            <w:tcW w:type="dxa" w:w="676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October 7, 2026</w:t>
            </w:r>
          </w:p>
        </w:tc>
      </w:tr>
      <w:tr>
        <w:tc>
          <w:tcPr>
            <w:tcW w:type="dxa" w:w="2600"/>
            <w:shd w:fill="F3F6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Stage</w:t>
            </w:r>
          </w:p>
        </w:tc>
        <w:tc>
          <w:tcPr>
            <w:tcW w:type="dxa" w:w="6760"/>
            <w:shd w:fill="F3F6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Commercial product — go-to-market</w:t>
            </w:r>
          </w:p>
        </w:tc>
      </w:tr>
      <w:tr>
        <w:tc>
          <w:tcPr>
            <w:tcW w:type="dxa" w:w="260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Target market</w:t>
            </w:r>
          </w:p>
        </w:tc>
        <w:tc>
          <w:tcPr>
            <w:tcW w:type="dxa" w:w="676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In-house talent teams (employers)</w:t>
            </w:r>
          </w:p>
        </w:tc>
      </w:tr>
      <w:tr>
        <w:tc>
          <w:tcPr>
            <w:tcW w:type="dxa" w:w="2600"/>
            <w:shd w:fill="F3F6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Audience</w:t>
            </w:r>
          </w:p>
        </w:tc>
        <w:tc>
          <w:tcPr>
            <w:tcW w:type="dxa" w:w="6760"/>
            <w:shd w:fill="F3F6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Leadership, Product, GTM, Investors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D8A52" w:sz="12" w:space="6"/>
        </w:pBdr>
        <w:spacing w:after="140" w:before="360"/>
      </w:pPr>
      <w:bookmarkStart w:name="_Toc28" w:id="28"/>
      <w:r>
        <w:rPr>
          <w:rFonts w:ascii="Calibri" w:cs="Calibri" w:eastAsia="Calibri" w:hAnsi="Calibri"/>
          <w:b/>
          <w:bCs/>
          <w:color w:val="12182B"/>
          <w:sz w:val="30"/>
          <w:szCs w:val="30"/>
        </w:rPr>
        <w:t xml:space="preserve">Contents</w:t>
      </w:r>
      <w:bookmarkEnd w:id="28"/>
    </w:p>
    <w:sdt>
      <w:sdtPr>
        <w:alias w:val="Table of Contents"/>
      </w:sdtPr>
      <w:sdtContent>
        <w:p>
          <w:pPr>
            <w:pStyle w:val="TOC1"/>
            <w:tabs>
              <w:tab w:val="right" w:pos="9360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28">
            <w:r>
              <w:t xml:space="preserve">Contents</w:t>
            </w:r>
            <w:r>
              <w:tab/>
            </w:r>
            <w:r>
              <w:fldChar w:fldCharType="begin" w:dirty="true"/>
              <w:instrText xml:space="preserve">PAGEREF _Toc28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29">
            <w:r>
              <w:t xml:space="preserve">1. Vision</w:t>
            </w:r>
            <w:r>
              <w:tab/>
            </w:r>
            <w:r>
              <w:fldChar w:fldCharType="begin" w:dirty="true"/>
              <w:instrText xml:space="preserve">PAGEREF _Toc29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30">
            <w:r>
              <w:t xml:space="preserve">2. Mission</w:t>
            </w:r>
            <w:r>
              <w:tab/>
            </w:r>
            <w:r>
              <w:fldChar w:fldCharType="begin" w:dirty="true"/>
              <w:instrText xml:space="preserve">PAGEREF _Toc30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31">
            <w:r>
              <w:t xml:space="preserve">3. Market Context</w:t>
            </w:r>
            <w:r>
              <w:tab/>
            </w:r>
            <w:r>
              <w:fldChar w:fldCharType="begin" w:dirty="true"/>
              <w:instrText xml:space="preserve">PAGEREF _Toc31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32">
            <w:r>
              <w:t xml:space="preserve">3.1 Who We Serve</w:t>
            </w:r>
            <w:r>
              <w:tab/>
            </w:r>
            <w:r>
              <w:fldChar w:fldCharType="begin" w:dirty="true"/>
              <w:instrText xml:space="preserve">PAGEREF _Toc32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33">
            <w:r>
              <w:t xml:space="preserve">3.2 Why Now</w:t>
            </w:r>
            <w:r>
              <w:tab/>
            </w:r>
            <w:r>
              <w:fldChar w:fldCharType="begin" w:dirty="true"/>
              <w:instrText xml:space="preserve">PAGEREF _Toc33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34">
            <w:r>
              <w:t xml:space="preserve">4. Ideal Customer Profile</w:t>
            </w:r>
            <w:r>
              <w:tab/>
            </w:r>
            <w:r>
              <w:fldChar w:fldCharType="begin" w:dirty="true"/>
              <w:instrText xml:space="preserve">PAGEREF _Toc34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35">
            <w:r>
              <w:t xml:space="preserve">5. Value Proposition</w:t>
            </w:r>
            <w:r>
              <w:tab/>
            </w:r>
            <w:r>
              <w:fldChar w:fldCharType="begin" w:dirty="true"/>
              <w:instrText xml:space="preserve">PAGEREF _Toc35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36">
            <w:r>
              <w:t xml:space="preserve">5.1 Core Promise</w:t>
            </w:r>
            <w:r>
              <w:tab/>
            </w:r>
            <w:r>
              <w:fldChar w:fldCharType="begin" w:dirty="true"/>
              <w:instrText xml:space="preserve">PAGEREF _Toc36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37">
            <w:r>
              <w:t xml:space="preserve">5.2 Differentiation</w:t>
            </w:r>
            <w:r>
              <w:tab/>
            </w:r>
            <w:r>
              <w:fldChar w:fldCharType="begin" w:dirty="true"/>
              <w:instrText xml:space="preserve">PAGEREF _Toc37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38">
            <w:r>
              <w:t xml:space="preserve">6. Competitive Landscape</w:t>
            </w:r>
            <w:r>
              <w:tab/>
            </w:r>
            <w:r>
              <w:fldChar w:fldCharType="begin" w:dirty="true"/>
              <w:instrText xml:space="preserve">PAGEREF _Toc38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39">
            <w:r>
              <w:t xml:space="preserve">7. Strategic Pillars</w:t>
            </w:r>
            <w:r>
              <w:tab/>
            </w:r>
            <w:r>
              <w:fldChar w:fldCharType="begin" w:dirty="true"/>
              <w:instrText xml:space="preserve">PAGEREF _Toc39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40">
            <w:r>
              <w:t xml:space="preserve">8. Business Model</w:t>
            </w:r>
            <w:r>
              <w:tab/>
            </w:r>
            <w:r>
              <w:fldChar w:fldCharType="begin" w:dirty="true"/>
              <w:instrText xml:space="preserve">PAGEREF _Toc40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41">
            <w:r>
              <w:t xml:space="preserve">9. Go-To-Market</w:t>
            </w:r>
            <w:r>
              <w:tab/>
            </w:r>
            <w:r>
              <w:fldChar w:fldCharType="begin" w:dirty="true"/>
              <w:instrText xml:space="preserve">PAGEREF _Toc41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42">
            <w:r>
              <w:t xml:space="preserve">10. Strategic Roadmap (Themes)</w:t>
            </w:r>
            <w:r>
              <w:tab/>
            </w:r>
            <w:r>
              <w:fldChar w:fldCharType="begin" w:dirty="true"/>
              <w:instrText xml:space="preserve">PAGEREF _Toc42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43">
            <w:r>
              <w:t xml:space="preserve">11. Risks &amp; Moats</w:t>
            </w:r>
            <w:r>
              <w:tab/>
            </w:r>
            <w:r>
              <w:fldChar w:fldCharType="begin" w:dirty="true"/>
              <w:instrText xml:space="preserve">PAGEREF _Toc43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44">
            <w:r>
              <w:t xml:space="preserve">11.1 Key Risks</w:t>
            </w:r>
            <w:r>
              <w:tab/>
            </w:r>
            <w:r>
              <w:fldChar w:fldCharType="begin" w:dirty="true"/>
              <w:instrText xml:space="preserve">PAGEREF _Toc44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45">
            <w:r>
              <w:t xml:space="preserve">11.2 Emerging Moats</w:t>
            </w:r>
            <w:r>
              <w:tab/>
            </w:r>
            <w:r>
              <w:fldChar w:fldCharType="begin" w:dirty="true"/>
              <w:instrText xml:space="preserve">PAGEREF _Toc45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46">
            <w:r>
              <w:t xml:space="preserve">12. North Star</w:t>
            </w:r>
            <w:r>
              <w:tab/>
            </w:r>
            <w:r>
              <w:fldChar w:fldCharType="begin" w:dirty="true"/>
              <w:instrText xml:space="preserve">PAGEREF _Toc46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D8A52" w:sz="12" w:space="6"/>
        </w:pBdr>
        <w:spacing w:after="140" w:before="360"/>
      </w:pPr>
      <w:bookmarkStart w:name="_Toc29" w:id="29"/>
      <w:r>
        <w:rPr>
          <w:rFonts w:ascii="Calibri" w:cs="Calibri" w:eastAsia="Calibri" w:hAnsi="Calibri"/>
          <w:b/>
          <w:bCs/>
          <w:color w:val="12182B"/>
          <w:sz w:val="30"/>
          <w:szCs w:val="30"/>
        </w:rPr>
        <w:t xml:space="preserve">1. Vision</w:t>
      </w:r>
      <w:bookmarkEnd w:id="29"/>
    </w:p>
    <w:p>
      <w:pPr>
        <w:spacing w:after="120" w:line="276"/>
      </w:pPr>
      <w:r>
        <w:rPr>
          <w:rFonts w:ascii="Calibri" w:cs="Calibri" w:eastAsia="Calibri" w:hAnsi="Calibri"/>
          <w:color w:val="1C2433"/>
          <w:sz w:val="21"/>
          <w:szCs w:val="21"/>
        </w:rPr>
        <w:t xml:space="preserve"/>
      </w:r>
      <w:r>
        <w:rPr>
          <w:rFonts w:ascii="Calibri" w:cs="Calibri" w:eastAsia="Calibri" w:hAnsi="Calibri"/>
          <w:i/>
          <w:iCs/>
          <w:color w:val="12182B"/>
          <w:sz w:val="26"/>
          <w:szCs w:val="26"/>
        </w:rPr>
        <w:t xml:space="preserve">"Hiring should be fast, fair, and evidence-based — for the team doing the hiring and the person being hired."</w:t>
      </w:r>
    </w:p>
    <w:p>
      <w:pPr>
        <w:spacing w:after="120" w:line="276"/>
      </w:pPr>
      <w:r>
        <w:rPr>
          <w:rFonts w:ascii="Calibri" w:cs="Calibri" w:eastAsia="Calibri" w:hAnsi="Calibri"/>
          <w:color w:val="1C2433"/>
          <w:sz w:val="21"/>
          <w:szCs w:val="21"/>
        </w:rPr>
        <w:t xml:space="preserve">New Frontier’s vision is to be the system of record where in-house talent teams run their entire hiring motion, with AI handling the first pass so humans spend their time on judgment and relationships — and where every applicant is treated with the clarity and respect that reflects well on the employer.</w:t>
      </w:r>
    </w:p>
    <w:p>
      <w:pPr>
        <w:pStyle w:val="Heading1"/>
        <w:pBdr>
          <w:bottom w:val="single" w:color="2D8A52" w:sz="12" w:space="6"/>
        </w:pBdr>
        <w:spacing w:after="140" w:before="360"/>
      </w:pPr>
      <w:bookmarkStart w:name="_Toc30" w:id="30"/>
      <w:r>
        <w:rPr>
          <w:rFonts w:ascii="Calibri" w:cs="Calibri" w:eastAsia="Calibri" w:hAnsi="Calibri"/>
          <w:b/>
          <w:bCs/>
          <w:color w:val="12182B"/>
          <w:sz w:val="30"/>
          <w:szCs w:val="30"/>
        </w:rPr>
        <w:t xml:space="preserve">2. Mission</w:t>
      </w:r>
      <w:bookmarkEnd w:id="30"/>
    </w:p>
    <w:p>
      <w:pPr>
        <w:pBdr>
          <w:top w:val="single" w:color="2D8A52" w:sz="4"/>
          <w:left w:val="single" w:color="2D8A52" w:sz="20"/>
          <w:bottom w:val="single" w:color="2D8A52" w:sz="4"/>
          <w:right w:val="single" w:color="2D8A52" w:sz="4"/>
        </w:pBdr>
        <w:shd w:fill="E6F2EB" w:val="clear"/>
        <w:spacing w:after="140" w:before="80" w:line="276"/>
      </w:pPr>
      <w:r>
        <w:rPr>
          <w:rFonts w:ascii="Calibri" w:cs="Calibri" w:eastAsia="Calibri" w:hAnsi="Calibri"/>
          <w:b/>
          <w:bCs/>
          <w:color w:val="2D8A52"/>
          <w:sz w:val="20"/>
          <w:szCs w:val="20"/>
        </w:rPr>
        <w:t xml:space="preserve">Mission:  </w:t>
      </w:r>
      <w:r>
        <w:rPr>
          <w:rFonts w:ascii="Calibri" w:cs="Calibri" w:eastAsia="Calibri" w:hAnsi="Calibri"/>
          <w:color w:val="1C2433"/>
          <w:sz w:val="20"/>
          <w:szCs w:val="20"/>
        </w:rPr>
        <w:t xml:space="preserve">give in-house talent teams one trustworthy place to post roles, evaluate candidates with AI-assisted evidence, coordinate interviews, and decide — cutting time-to-hire while improving candidate experience.</w:t>
      </w:r>
    </w:p>
    <w:p>
      <w:pPr>
        <w:pStyle w:val="Heading1"/>
        <w:pBdr>
          <w:bottom w:val="single" w:color="2D8A52" w:sz="12" w:space="6"/>
        </w:pBdr>
        <w:spacing w:after="140" w:before="360"/>
      </w:pPr>
      <w:bookmarkStart w:name="_Toc31" w:id="31"/>
      <w:r>
        <w:rPr>
          <w:rFonts w:ascii="Calibri" w:cs="Calibri" w:eastAsia="Calibri" w:hAnsi="Calibri"/>
          <w:b/>
          <w:bCs/>
          <w:color w:val="12182B"/>
          <w:sz w:val="30"/>
          <w:szCs w:val="30"/>
        </w:rPr>
        <w:t xml:space="preserve">3. Market Context</w:t>
      </w:r>
      <w:bookmarkEnd w:id="31"/>
    </w:p>
    <w:p>
      <w:pPr>
        <w:pStyle w:val="Heading2"/>
        <w:spacing w:after="90" w:before="240"/>
      </w:pPr>
      <w:bookmarkStart w:name="_Toc32" w:id="32"/>
      <w:r>
        <w:rPr>
          <w:rFonts w:ascii="Calibri" w:cs="Calibri" w:eastAsia="Calibri" w:hAnsi="Calibri"/>
          <w:b/>
          <w:bCs/>
          <w:color w:val="2D8A52"/>
          <w:sz w:val="24"/>
          <w:szCs w:val="24"/>
        </w:rPr>
        <w:t xml:space="preserve">3.1 Who We Serve</w:t>
      </w:r>
      <w:bookmarkEnd w:id="32"/>
    </w:p>
    <w:p>
      <w:pPr>
        <w:spacing w:after="120" w:line="276"/>
      </w:pPr>
      <w:r>
        <w:rPr>
          <w:rFonts w:ascii="Calibri" w:cs="Calibri" w:eastAsia="Calibri" w:hAnsi="Calibri"/>
          <w:color w:val="1C2433"/>
          <w:sz w:val="21"/>
          <w:szCs w:val="21"/>
        </w:rPr>
        <w:t xml:space="preserve">Our customer is the in-house talent function at small and mid-sized employers: teams of recruiters and hiring managers who hire for their own company rather than for clients. They are tool-fatigued, measured on speed and quality of hire, and under pressure to do more with the same headcount.</w:t>
      </w:r>
    </w:p>
    <w:p>
      <w:pPr>
        <w:pStyle w:val="Heading2"/>
        <w:spacing w:after="90" w:before="240"/>
      </w:pPr>
      <w:bookmarkStart w:name="_Toc33" w:id="33"/>
      <w:r>
        <w:rPr>
          <w:rFonts w:ascii="Calibri" w:cs="Calibri" w:eastAsia="Calibri" w:hAnsi="Calibri"/>
          <w:b/>
          <w:bCs/>
          <w:color w:val="2D8A52"/>
          <w:sz w:val="24"/>
          <w:szCs w:val="24"/>
        </w:rPr>
        <w:t xml:space="preserve">3.2 Why Now</w:t>
      </w:r>
      <w:bookmarkEnd w:id="33"/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1C2433"/>
          <w:sz w:val="21"/>
          <w:szCs w:val="21"/>
        </w:rPr>
        <w:t xml:space="preserve">AI can now do the first pass of screening, authoring, and communication at a quality that saves real recruiter time.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1C2433"/>
          <w:sz w:val="21"/>
          <w:szCs w:val="21"/>
        </w:rPr>
        <w:t xml:space="preserve">Teams are consolidating point tools to cut cost and context-switching.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1C2433"/>
          <w:sz w:val="21"/>
          <w:szCs w:val="21"/>
        </w:rPr>
        <w:t xml:space="preserve">Candidate experience has become an employer-brand differentiator, not a nicety.</w:t>
      </w:r>
    </w:p>
    <w:p>
      <w:pPr>
        <w:pStyle w:val="Heading1"/>
        <w:pBdr>
          <w:bottom w:val="single" w:color="2D8A52" w:sz="12" w:space="6"/>
        </w:pBdr>
        <w:spacing w:after="140" w:before="360"/>
      </w:pPr>
      <w:bookmarkStart w:name="_Toc34" w:id="34"/>
      <w:r>
        <w:rPr>
          <w:rFonts w:ascii="Calibri" w:cs="Calibri" w:eastAsia="Calibri" w:hAnsi="Calibri"/>
          <w:b/>
          <w:bCs/>
          <w:color w:val="12182B"/>
          <w:sz w:val="30"/>
          <w:szCs w:val="30"/>
        </w:rPr>
        <w:t xml:space="preserve">4. Ideal Customer Profile</w:t>
      </w:r>
      <w:bookmarkEnd w:id="34"/>
    </w:p>
    <w:tbl>
      <w:tblPr>
        <w:tblW w:type="dxa" w:w="9360"/>
        <w:tblBorders>
          <w:top w:val="single" w:color="C9D2DE" w:sz="2"/>
          <w:left w:val="none"/>
          <w:bottom w:val="single" w:color="C9D2DE" w:sz="2"/>
          <w:right w:val="none"/>
          <w:insideH w:val="single" w:color="C9D2DE" w:sz="2"/>
          <w:insideV w:val="none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shd w:fill="12182B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Dimension</w:t>
            </w:r>
          </w:p>
        </w:tc>
        <w:tc>
          <w:tcPr>
            <w:tcW w:type="dxa" w:w="7360"/>
            <w:shd w:fill="12182B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</w:tr>
      <w:tr>
        <w:tc>
          <w:tcPr>
            <w:tcW w:type="dxa" w:w="200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Segment</w:t>
            </w:r>
          </w:p>
        </w:tc>
        <w:tc>
          <w:tcPr>
            <w:tcW w:type="dxa" w:w="736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In-house talent teams at SMB / mid-market employers</w:t>
            </w:r>
          </w:p>
        </w:tc>
      </w:tr>
      <w:tr>
        <w:tc>
          <w:tcPr>
            <w:tcW w:type="dxa" w:w="2000"/>
            <w:shd w:fill="F3F6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Team shape</w:t>
            </w:r>
          </w:p>
        </w:tc>
        <w:tc>
          <w:tcPr>
            <w:tcW w:type="dxa" w:w="7360"/>
            <w:shd w:fill="F3F6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1–10 recruiters working with line hiring managers</w:t>
            </w:r>
          </w:p>
        </w:tc>
      </w:tr>
      <w:tr>
        <w:tc>
          <w:tcPr>
            <w:tcW w:type="dxa" w:w="200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Pain</w:t>
            </w:r>
          </w:p>
        </w:tc>
        <w:tc>
          <w:tcPr>
            <w:tcW w:type="dxa" w:w="736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Fragmented tooling, slow shortlisting, poor applicant visibility</w:t>
            </w:r>
          </w:p>
        </w:tc>
      </w:tr>
      <w:tr>
        <w:tc>
          <w:tcPr>
            <w:tcW w:type="dxa" w:w="2000"/>
            <w:shd w:fill="F3F6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Buyer</w:t>
            </w:r>
          </w:p>
        </w:tc>
        <w:tc>
          <w:tcPr>
            <w:tcW w:type="dxa" w:w="7360"/>
            <w:shd w:fill="F3F6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Head of Talent / Recruiting; People/HR leader</w:t>
            </w:r>
          </w:p>
        </w:tc>
      </w:tr>
      <w:tr>
        <w:tc>
          <w:tcPr>
            <w:tcW w:type="dxa" w:w="200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Trigger</w:t>
            </w:r>
          </w:p>
        </w:tc>
        <w:tc>
          <w:tcPr>
            <w:tcW w:type="dxa" w:w="736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Hiring ramp, tool renewal, or a candidate-experience mandate</w:t>
            </w:r>
          </w:p>
        </w:tc>
      </w:tr>
      <w:tr>
        <w:tc>
          <w:tcPr>
            <w:tcW w:type="dxa" w:w="2000"/>
            <w:shd w:fill="F3F6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Not a fit (v1)</w:t>
            </w:r>
          </w:p>
        </w:tc>
        <w:tc>
          <w:tcPr>
            <w:tcW w:type="dxa" w:w="7360"/>
            <w:shd w:fill="F3F6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Staffing agencies, enterprise ATS replacements, pure job boards</w:t>
            </w:r>
          </w:p>
        </w:tc>
      </w:tr>
    </w:tbl>
    <w:p>
      <w:pPr>
        <w:pStyle w:val="Heading1"/>
        <w:pBdr>
          <w:bottom w:val="single" w:color="2D8A52" w:sz="12" w:space="6"/>
        </w:pBdr>
        <w:spacing w:after="140" w:before="360"/>
      </w:pPr>
      <w:bookmarkStart w:name="_Toc35" w:id="35"/>
      <w:r>
        <w:rPr>
          <w:rFonts w:ascii="Calibri" w:cs="Calibri" w:eastAsia="Calibri" w:hAnsi="Calibri"/>
          <w:b/>
          <w:bCs/>
          <w:color w:val="12182B"/>
          <w:sz w:val="30"/>
          <w:szCs w:val="30"/>
        </w:rPr>
        <w:t xml:space="preserve">5. Value Proposition</w:t>
      </w:r>
      <w:bookmarkEnd w:id="35"/>
    </w:p>
    <w:p>
      <w:pPr>
        <w:pStyle w:val="Heading2"/>
        <w:spacing w:after="90" w:before="240"/>
      </w:pPr>
      <w:bookmarkStart w:name="_Toc36" w:id="36"/>
      <w:r>
        <w:rPr>
          <w:rFonts w:ascii="Calibri" w:cs="Calibri" w:eastAsia="Calibri" w:hAnsi="Calibri"/>
          <w:b/>
          <w:bCs/>
          <w:color w:val="2D8A52"/>
          <w:sz w:val="24"/>
          <w:szCs w:val="24"/>
        </w:rPr>
        <w:t xml:space="preserve">5.1 Core Promise</w:t>
      </w:r>
      <w:bookmarkEnd w:id="36"/>
    </w:p>
    <w:p>
      <w:pPr>
        <w:spacing w:after="120" w:line="276"/>
      </w:pPr>
      <w:r>
        <w:rPr>
          <w:rFonts w:ascii="Calibri" w:cs="Calibri" w:eastAsia="Calibri" w:hAnsi="Calibri"/>
          <w:color w:val="1C2433"/>
          <w:sz w:val="21"/>
          <w:szCs w:val="21"/>
        </w:rPr>
        <w:t xml:space="preserve">One place to run hiring, where AI does the first pass and every decision is backed by evidence and an audit trail.</w:t>
      </w:r>
    </w:p>
    <w:p>
      <w:pPr>
        <w:pStyle w:val="Heading2"/>
        <w:spacing w:after="90" w:before="240"/>
      </w:pPr>
      <w:bookmarkStart w:name="_Toc37" w:id="37"/>
      <w:r>
        <w:rPr>
          <w:rFonts w:ascii="Calibri" w:cs="Calibri" w:eastAsia="Calibri" w:hAnsi="Calibri"/>
          <w:b/>
          <w:bCs/>
          <w:color w:val="2D8A52"/>
          <w:sz w:val="24"/>
          <w:szCs w:val="24"/>
        </w:rPr>
        <w:t xml:space="preserve">5.2 Differentiation</w:t>
      </w:r>
      <w:bookmarkEnd w:id="37"/>
    </w:p>
    <w:tbl>
      <w:tblPr>
        <w:tblW w:type="dxa" w:w="9360"/>
        <w:tblBorders>
          <w:top w:val="single" w:color="C9D2DE" w:sz="2"/>
          <w:left w:val="none"/>
          <w:bottom w:val="single" w:color="C9D2DE" w:sz="2"/>
          <w:right w:val="none"/>
          <w:insideH w:val="single" w:color="C9D2DE" w:sz="2"/>
          <w:insideV w:val="none"/>
        </w:tblBorders>
      </w:tblPr>
      <w:tblGrid>
        <w:gridCol w:w="1900"/>
        <w:gridCol w:w="3800"/>
        <w:gridCol w:w="3660"/>
      </w:tblGrid>
      <w:tr>
        <w:trPr>
          <w:tblHeader/>
        </w:trPr>
        <w:tc>
          <w:tcPr>
            <w:tcW w:type="dxa" w:w="1900"/>
            <w:shd w:fill="12182B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Pillar</w:t>
            </w:r>
          </w:p>
        </w:tc>
        <w:tc>
          <w:tcPr>
            <w:tcW w:type="dxa" w:w="3800"/>
            <w:shd w:fill="12182B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it means</w:t>
            </w:r>
          </w:p>
        </w:tc>
        <w:tc>
          <w:tcPr>
            <w:tcW w:type="dxa" w:w="3660"/>
            <w:shd w:fill="12182B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Why it wins</w:t>
            </w:r>
          </w:p>
        </w:tc>
      </w:tr>
      <w:tr>
        <w:tc>
          <w:tcPr>
            <w:tcW w:type="dxa" w:w="190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AI-first triage</w:t>
            </w:r>
          </w:p>
        </w:tc>
        <w:tc>
          <w:tcPr>
            <w:tcW w:type="dxa" w:w="380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Parse, score, and draft automatically</w:t>
            </w:r>
          </w:p>
        </w:tc>
        <w:tc>
          <w:tcPr>
            <w:tcW w:type="dxa" w:w="366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Recruiters shortlist faster, with evidence</w:t>
            </w:r>
          </w:p>
        </w:tc>
      </w:tr>
      <w:tr>
        <w:tc>
          <w:tcPr>
            <w:tcW w:type="dxa" w:w="1900"/>
            <w:shd w:fill="F3F6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Evidence &amp; audit</w:t>
            </w:r>
          </w:p>
        </w:tc>
        <w:tc>
          <w:tcPr>
            <w:tcW w:type="dxa" w:w="3800"/>
            <w:shd w:fill="F3F6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Match scores + append-only log</w:t>
            </w:r>
          </w:p>
        </w:tc>
        <w:tc>
          <w:tcPr>
            <w:tcW w:type="dxa" w:w="3660"/>
            <w:shd w:fill="F3F6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Defensible, transparent decisions</w:t>
            </w:r>
          </w:p>
        </w:tc>
      </w:tr>
      <w:tr>
        <w:tc>
          <w:tcPr>
            <w:tcW w:type="dxa" w:w="190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Respectful applicants</w:t>
            </w:r>
          </w:p>
        </w:tc>
        <w:tc>
          <w:tcPr>
            <w:tcW w:type="dxa" w:w="380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Self-serve status dashboard</w:t>
            </w:r>
          </w:p>
        </w:tc>
        <w:tc>
          <w:tcPr>
            <w:tcW w:type="dxa" w:w="366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Better brand, higher completion</w:t>
            </w:r>
          </w:p>
        </w:tc>
      </w:tr>
      <w:tr>
        <w:tc>
          <w:tcPr>
            <w:tcW w:type="dxa" w:w="1900"/>
            <w:shd w:fill="F3F6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Consolidated</w:t>
            </w:r>
          </w:p>
        </w:tc>
        <w:tc>
          <w:tcPr>
            <w:tcW w:type="dxa" w:w="3800"/>
            <w:shd w:fill="F3F6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Roles, candidates, scheduling in one</w:t>
            </w:r>
          </w:p>
        </w:tc>
        <w:tc>
          <w:tcPr>
            <w:tcW w:type="dxa" w:w="3660"/>
            <w:shd w:fill="F3F6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Less tool sprawl and cost</w:t>
            </w:r>
          </w:p>
        </w:tc>
      </w:tr>
    </w:tbl>
    <w:p>
      <w:pPr>
        <w:pStyle w:val="Heading1"/>
        <w:pBdr>
          <w:bottom w:val="single" w:color="2D8A52" w:sz="12" w:space="6"/>
        </w:pBdr>
        <w:spacing w:after="140" w:before="360"/>
      </w:pPr>
      <w:bookmarkStart w:name="_Toc38" w:id="38"/>
      <w:r>
        <w:rPr>
          <w:rFonts w:ascii="Calibri" w:cs="Calibri" w:eastAsia="Calibri" w:hAnsi="Calibri"/>
          <w:b/>
          <w:bCs/>
          <w:color w:val="12182B"/>
          <w:sz w:val="30"/>
          <w:szCs w:val="30"/>
        </w:rPr>
        <w:t xml:space="preserve">6. Competitive Landscape</w:t>
      </w:r>
      <w:bookmarkEnd w:id="38"/>
    </w:p>
    <w:tbl>
      <w:tblPr>
        <w:tblW w:type="dxa" w:w="9360"/>
        <w:tblBorders>
          <w:top w:val="single" w:color="C9D2DE" w:sz="2"/>
          <w:left w:val="none"/>
          <w:bottom w:val="single" w:color="C9D2DE" w:sz="2"/>
          <w:right w:val="none"/>
          <w:insideH w:val="single" w:color="C9D2DE" w:sz="2"/>
          <w:insideV w:val="none"/>
        </w:tblBorders>
      </w:tblPr>
      <w:tblGrid>
        <w:gridCol w:w="2100"/>
        <w:gridCol w:w="3560"/>
        <w:gridCol w:w="3700"/>
      </w:tblGrid>
      <w:tr>
        <w:trPr>
          <w:tblHeader/>
        </w:trPr>
        <w:tc>
          <w:tcPr>
            <w:tcW w:type="dxa" w:w="2100"/>
            <w:shd w:fill="12182B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Alternative</w:t>
            </w:r>
          </w:p>
        </w:tc>
        <w:tc>
          <w:tcPr>
            <w:tcW w:type="dxa" w:w="3560"/>
            <w:shd w:fill="12182B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Where they are strong</w:t>
            </w:r>
          </w:p>
        </w:tc>
        <w:tc>
          <w:tcPr>
            <w:tcW w:type="dxa" w:w="3700"/>
            <w:shd w:fill="12182B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Our wedge</w:t>
            </w:r>
          </w:p>
        </w:tc>
      </w:tr>
      <w:tr>
        <w:tc>
          <w:tcPr>
            <w:tcW w:type="dxa" w:w="210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Spreadsheets + email</w:t>
            </w:r>
          </w:p>
        </w:tc>
        <w:tc>
          <w:tcPr>
            <w:tcW w:type="dxa" w:w="356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Free, flexible</w:t>
            </w:r>
          </w:p>
        </w:tc>
        <w:tc>
          <w:tcPr>
            <w:tcW w:type="dxa" w:w="370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No scoring, no audit, no applicant view</w:t>
            </w:r>
          </w:p>
        </w:tc>
      </w:tr>
      <w:tr>
        <w:tc>
          <w:tcPr>
            <w:tcW w:type="dxa" w:w="2100"/>
            <w:shd w:fill="F3F6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Legacy ATS</w:t>
            </w:r>
          </w:p>
        </w:tc>
        <w:tc>
          <w:tcPr>
            <w:tcW w:type="dxa" w:w="3560"/>
            <w:shd w:fill="F3F6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Breadth, enterprise fit</w:t>
            </w:r>
          </w:p>
        </w:tc>
        <w:tc>
          <w:tcPr>
            <w:tcW w:type="dxa" w:w="3700"/>
            <w:shd w:fill="F3F6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Heavy, slow, weak AI, poor UX</w:t>
            </w:r>
          </w:p>
        </w:tc>
      </w:tr>
      <w:tr>
        <w:tc>
          <w:tcPr>
            <w:tcW w:type="dxa" w:w="210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Job boards</w:t>
            </w:r>
          </w:p>
        </w:tc>
        <w:tc>
          <w:tcPr>
            <w:tcW w:type="dxa" w:w="356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Reach, sourcing</w:t>
            </w:r>
          </w:p>
        </w:tc>
        <w:tc>
          <w:tcPr>
            <w:tcW w:type="dxa" w:w="370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No evaluation or workflow</w:t>
            </w:r>
          </w:p>
        </w:tc>
      </w:tr>
      <w:tr>
        <w:tc>
          <w:tcPr>
            <w:tcW w:type="dxa" w:w="2100"/>
            <w:shd w:fill="F3F6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Point AI tools</w:t>
            </w:r>
          </w:p>
        </w:tc>
        <w:tc>
          <w:tcPr>
            <w:tcW w:type="dxa" w:w="3560"/>
            <w:shd w:fill="F3F6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One sharp feature</w:t>
            </w:r>
          </w:p>
        </w:tc>
        <w:tc>
          <w:tcPr>
            <w:tcW w:type="dxa" w:w="3700"/>
            <w:shd w:fill="F3F6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Not a system of record</w:t>
            </w:r>
          </w:p>
        </w:tc>
      </w:tr>
    </w:tbl>
    <w:p>
      <w:pPr>
        <w:pStyle w:val="Heading1"/>
        <w:pBdr>
          <w:bottom w:val="single" w:color="2D8A52" w:sz="12" w:space="6"/>
        </w:pBdr>
        <w:spacing w:after="140" w:before="360"/>
      </w:pPr>
      <w:bookmarkStart w:name="_Toc39" w:id="39"/>
      <w:r>
        <w:rPr>
          <w:rFonts w:ascii="Calibri" w:cs="Calibri" w:eastAsia="Calibri" w:hAnsi="Calibri"/>
          <w:b/>
          <w:bCs/>
          <w:color w:val="12182B"/>
          <w:sz w:val="30"/>
          <w:szCs w:val="30"/>
        </w:rPr>
        <w:t xml:space="preserve">7. Strategic Pillars</w:t>
      </w:r>
      <w:bookmarkEnd w:id="39"/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rFonts w:ascii="Calibri" w:cs="Calibri" w:eastAsia="Calibri" w:hAnsi="Calibri"/>
          <w:b/>
          <w:bCs/>
          <w:color w:val="1C2433"/>
          <w:sz w:val="21"/>
          <w:szCs w:val="21"/>
        </w:rPr>
        <w:t xml:space="preserve">Earn trust through evidence. </w:t>
      </w:r>
      <w:r>
        <w:rPr>
          <w:rFonts w:ascii="Calibri" w:cs="Calibri" w:eastAsia="Calibri" w:hAnsi="Calibri"/>
          <w:color w:val="1C2433"/>
          <w:sz w:val="21"/>
          <w:szCs w:val="21"/>
        </w:rPr>
        <w:t xml:space="preserve">Every AI output is reviewable, every action is logged. Trust is the moat in hiring.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rFonts w:ascii="Calibri" w:cs="Calibri" w:eastAsia="Calibri" w:hAnsi="Calibri"/>
          <w:b/>
          <w:bCs/>
          <w:color w:val="1C2433"/>
          <w:sz w:val="21"/>
          <w:szCs w:val="21"/>
        </w:rPr>
        <w:t xml:space="preserve">Save recruiter time first. </w:t>
      </w:r>
      <w:r>
        <w:rPr>
          <w:rFonts w:ascii="Calibri" w:cs="Calibri" w:eastAsia="Calibri" w:hAnsi="Calibri"/>
          <w:color w:val="1C2433"/>
          <w:sz w:val="21"/>
          <w:szCs w:val="21"/>
        </w:rPr>
        <w:t xml:space="preserve">Lead with the first-pass automation that gives back hours immediately.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rFonts w:ascii="Calibri" w:cs="Calibri" w:eastAsia="Calibri" w:hAnsi="Calibri"/>
          <w:b/>
          <w:bCs/>
          <w:color w:val="1C2433"/>
          <w:sz w:val="21"/>
          <w:szCs w:val="21"/>
        </w:rPr>
        <w:t xml:space="preserve">Respect the applicant. </w:t>
      </w:r>
      <w:r>
        <w:rPr>
          <w:rFonts w:ascii="Calibri" w:cs="Calibri" w:eastAsia="Calibri" w:hAnsi="Calibri"/>
          <w:color w:val="1C2433"/>
          <w:sz w:val="21"/>
          <w:szCs w:val="21"/>
        </w:rPr>
        <w:t xml:space="preserve">A clear candidate experience is a product feature and a growth loop.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rFonts w:ascii="Calibri" w:cs="Calibri" w:eastAsia="Calibri" w:hAnsi="Calibri"/>
          <w:b/>
          <w:bCs/>
          <w:color w:val="1C2433"/>
          <w:sz w:val="21"/>
          <w:szCs w:val="21"/>
        </w:rPr>
        <w:t xml:space="preserve">Stay portable and open. </w:t>
      </w:r>
      <w:r>
        <w:rPr>
          <w:rFonts w:ascii="Calibri" w:cs="Calibri" w:eastAsia="Calibri" w:hAnsi="Calibri"/>
          <w:color w:val="1C2433"/>
          <w:sz w:val="21"/>
          <w:szCs w:val="21"/>
        </w:rPr>
        <w:t xml:space="preserve">Clean interfaces (data, AI providers) avoid lock-in and de-risk scale.</w:t>
      </w:r>
    </w:p>
    <w:p>
      <w:pPr>
        <w:pStyle w:val="Heading1"/>
        <w:pBdr>
          <w:bottom w:val="single" w:color="2D8A52" w:sz="12" w:space="6"/>
        </w:pBdr>
        <w:spacing w:after="140" w:before="360"/>
      </w:pPr>
      <w:bookmarkStart w:name="_Toc40" w:id="40"/>
      <w:r>
        <w:rPr>
          <w:rFonts w:ascii="Calibri" w:cs="Calibri" w:eastAsia="Calibri" w:hAnsi="Calibri"/>
          <w:b/>
          <w:bCs/>
          <w:color w:val="12182B"/>
          <w:sz w:val="30"/>
          <w:szCs w:val="30"/>
        </w:rPr>
        <w:t xml:space="preserve">8. Business Model</w:t>
      </w:r>
      <w:bookmarkEnd w:id="40"/>
    </w:p>
    <w:p>
      <w:pPr>
        <w:spacing w:after="120" w:line="276"/>
      </w:pPr>
      <w:r>
        <w:rPr>
          <w:rFonts w:ascii="Calibri" w:cs="Calibri" w:eastAsia="Calibri" w:hAnsi="Calibri"/>
          <w:color w:val="1C2433"/>
          <w:sz w:val="21"/>
          <w:szCs w:val="21"/>
        </w:rPr>
        <w:t xml:space="preserve">Direct B2B SaaS sold to the in-house talent function. The working hypothesis for v1 pricing is a per-recruiter seat subscription with usage allowances for AI actions, validated with design partners before public pricing is set.</w:t>
      </w:r>
    </w:p>
    <w:tbl>
      <w:tblPr>
        <w:tblW w:type="dxa" w:w="9360"/>
        <w:tblBorders>
          <w:top w:val="single" w:color="C9D2DE" w:sz="2"/>
          <w:left w:val="none"/>
          <w:bottom w:val="single" w:color="C9D2DE" w:sz="2"/>
          <w:right w:val="none"/>
          <w:insideH w:val="single" w:color="C9D2DE" w:sz="2"/>
          <w:insideV w:val="none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2182B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Lever</w:t>
            </w:r>
          </w:p>
        </w:tc>
        <w:tc>
          <w:tcPr>
            <w:tcW w:type="dxa" w:w="6760"/>
            <w:shd w:fill="12182B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v1 hypothesis</w:t>
            </w:r>
          </w:p>
        </w:tc>
      </w:tr>
      <w:tr>
        <w:tc>
          <w:tcPr>
            <w:tcW w:type="dxa" w:w="260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Primary metric</w:t>
            </w:r>
          </w:p>
        </w:tc>
        <w:tc>
          <w:tcPr>
            <w:tcW w:type="dxa" w:w="676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Seats (active recruiters / hiring managers)</w:t>
            </w:r>
          </w:p>
        </w:tc>
      </w:tr>
      <w:tr>
        <w:tc>
          <w:tcPr>
            <w:tcW w:type="dxa" w:w="2600"/>
            <w:shd w:fill="F3F6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Usage component</w:t>
            </w:r>
          </w:p>
        </w:tc>
        <w:tc>
          <w:tcPr>
            <w:tcW w:type="dxa" w:w="6760"/>
            <w:shd w:fill="F3F6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AI actions (parse, score, generate) within plan allowances</w:t>
            </w:r>
          </w:p>
        </w:tc>
      </w:tr>
      <w:tr>
        <w:tc>
          <w:tcPr>
            <w:tcW w:type="dxa" w:w="260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Land</w:t>
            </w:r>
          </w:p>
        </w:tc>
        <w:tc>
          <w:tcPr>
            <w:tcW w:type="dxa" w:w="676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Single team / department pilot</w:t>
            </w:r>
          </w:p>
        </w:tc>
      </w:tr>
      <w:tr>
        <w:tc>
          <w:tcPr>
            <w:tcW w:type="dxa" w:w="2600"/>
            <w:shd w:fill="F3F6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Expand</w:t>
            </w:r>
          </w:p>
        </w:tc>
        <w:tc>
          <w:tcPr>
            <w:tcW w:type="dxa" w:w="6760"/>
            <w:shd w:fill="F3F6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More teams, more roles, more AI usage</w:t>
            </w:r>
          </w:p>
        </w:tc>
      </w:tr>
    </w:tbl>
    <w:p>
      <w:pPr>
        <w:pStyle w:val="Heading1"/>
        <w:pBdr>
          <w:bottom w:val="single" w:color="2D8A52" w:sz="12" w:space="6"/>
        </w:pBdr>
        <w:spacing w:after="140" w:before="360"/>
      </w:pPr>
      <w:bookmarkStart w:name="_Toc41" w:id="41"/>
      <w:r>
        <w:rPr>
          <w:rFonts w:ascii="Calibri" w:cs="Calibri" w:eastAsia="Calibri" w:hAnsi="Calibri"/>
          <w:b/>
          <w:bCs/>
          <w:color w:val="12182B"/>
          <w:sz w:val="30"/>
          <w:szCs w:val="30"/>
        </w:rPr>
        <w:t xml:space="preserve">9. Go-To-Market</w:t>
      </w:r>
      <w:bookmarkEnd w:id="41"/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color w:val="1C2433"/>
          <w:sz w:val="21"/>
          <w:szCs w:val="21"/>
        </w:rPr>
        <w:t xml:space="preserve">Design partners first. </w:t>
      </w:r>
      <w:r>
        <w:rPr>
          <w:rFonts w:ascii="Calibri" w:cs="Calibri" w:eastAsia="Calibri" w:hAnsi="Calibri"/>
          <w:color w:val="1C2433"/>
          <w:sz w:val="21"/>
          <w:szCs w:val="21"/>
        </w:rPr>
        <w:t xml:space="preserve">Ship v1 with 3–5 in-house teams, instrument time-to-shortlist, and convert to paid.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color w:val="1C2433"/>
          <w:sz w:val="21"/>
          <w:szCs w:val="21"/>
        </w:rPr>
        <w:t xml:space="preserve">Land narrow. </w:t>
      </w:r>
      <w:r>
        <w:rPr>
          <w:rFonts w:ascii="Calibri" w:cs="Calibri" w:eastAsia="Calibri" w:hAnsi="Calibri"/>
          <w:color w:val="1C2433"/>
          <w:sz w:val="21"/>
          <w:szCs w:val="21"/>
        </w:rPr>
        <w:t xml:space="preserve">Win one hiring team on speed-to-shortlist, then expand across the org.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color w:val="1C2433"/>
          <w:sz w:val="21"/>
          <w:szCs w:val="21"/>
        </w:rPr>
        <w:t xml:space="preserve">Proof-led. </w:t>
      </w:r>
      <w:r>
        <w:rPr>
          <w:rFonts w:ascii="Calibri" w:cs="Calibri" w:eastAsia="Calibri" w:hAnsi="Calibri"/>
          <w:color w:val="1C2433"/>
          <w:sz w:val="21"/>
          <w:szCs w:val="21"/>
        </w:rPr>
        <w:t xml:space="preserve">Lead marketing with before/after metrics and candidate-experience evidence.</w:t>
      </w:r>
    </w:p>
    <w:p>
      <w:pPr>
        <w:pStyle w:val="Heading1"/>
        <w:pBdr>
          <w:bottom w:val="single" w:color="2D8A52" w:sz="12" w:space="6"/>
        </w:pBdr>
        <w:spacing w:after="140" w:before="360"/>
      </w:pPr>
      <w:bookmarkStart w:name="_Toc42" w:id="42"/>
      <w:r>
        <w:rPr>
          <w:rFonts w:ascii="Calibri" w:cs="Calibri" w:eastAsia="Calibri" w:hAnsi="Calibri"/>
          <w:b/>
          <w:bCs/>
          <w:color w:val="12182B"/>
          <w:sz w:val="30"/>
          <w:szCs w:val="30"/>
        </w:rPr>
        <w:t xml:space="preserve">10. Strategic Roadmap (Themes)</w:t>
      </w:r>
      <w:bookmarkEnd w:id="42"/>
    </w:p>
    <w:tbl>
      <w:tblPr>
        <w:tblW w:type="dxa" w:w="9360"/>
        <w:tblBorders>
          <w:top w:val="single" w:color="C9D2DE" w:sz="2"/>
          <w:left w:val="none"/>
          <w:bottom w:val="single" w:color="C9D2DE" w:sz="2"/>
          <w:right w:val="none"/>
          <w:insideH w:val="single" w:color="C9D2DE" w:sz="2"/>
          <w:insideV w:val="none"/>
        </w:tblBorders>
      </w:tblPr>
      <w:tblGrid>
        <w:gridCol w:w="1900"/>
        <w:gridCol w:w="2800"/>
        <w:gridCol w:w="4660"/>
      </w:tblGrid>
      <w:tr>
        <w:trPr>
          <w:tblHeader/>
        </w:trPr>
        <w:tc>
          <w:tcPr>
            <w:tcW w:type="dxa" w:w="1900"/>
            <w:shd w:fill="12182B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Horizon</w:t>
            </w:r>
          </w:p>
        </w:tc>
        <w:tc>
          <w:tcPr>
            <w:tcW w:type="dxa" w:w="2800"/>
            <w:shd w:fill="12182B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Theme</w:t>
            </w:r>
          </w:p>
        </w:tc>
        <w:tc>
          <w:tcPr>
            <w:tcW w:type="dxa" w:w="4660"/>
            <w:shd w:fill="12182B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Outcome</w:t>
            </w:r>
          </w:p>
        </w:tc>
      </w:tr>
      <w:tr>
        <w:tc>
          <w:tcPr>
            <w:tcW w:type="dxa" w:w="190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Now (to launch)</w:t>
            </w:r>
          </w:p>
        </w:tc>
        <w:tc>
          <w:tcPr>
            <w:tcW w:type="dxa" w:w="280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Trustworthy core</w:t>
            </w:r>
          </w:p>
        </w:tc>
        <w:tc>
          <w:tcPr>
            <w:tcW w:type="dxa" w:w="466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Post → apply → shortlist → decide, with audit</w:t>
            </w:r>
          </w:p>
        </w:tc>
      </w:tr>
      <w:tr>
        <w:tc>
          <w:tcPr>
            <w:tcW w:type="dxa" w:w="1900"/>
            <w:shd w:fill="F3F6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Next</w:t>
            </w:r>
          </w:p>
        </w:tc>
        <w:tc>
          <w:tcPr>
            <w:tcW w:type="dxa" w:w="2800"/>
            <w:shd w:fill="F3F6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AI depth</w:t>
            </w:r>
          </w:p>
        </w:tc>
        <w:tc>
          <w:tcPr>
            <w:tcW w:type="dxa" w:w="4660"/>
            <w:shd w:fill="F3F6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Semantic matching, parsing, scheduling, comms at quality</w:t>
            </w:r>
          </w:p>
        </w:tc>
      </w:tr>
      <w:tr>
        <w:tc>
          <w:tcPr>
            <w:tcW w:type="dxa" w:w="190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Later</w:t>
            </w:r>
          </w:p>
        </w:tc>
        <w:tc>
          <w:tcPr>
            <w:tcW w:type="dxa" w:w="280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Scale &amp; insight</w:t>
            </w:r>
          </w:p>
        </w:tc>
        <w:tc>
          <w:tcPr>
            <w:tcW w:type="dxa" w:w="466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Database-backed multi-tenant, analytics, integrations</w:t>
            </w:r>
          </w:p>
        </w:tc>
      </w:tr>
    </w:tbl>
    <w:p>
      <w:pPr>
        <w:pStyle w:val="Heading1"/>
        <w:pBdr>
          <w:bottom w:val="single" w:color="2D8A52" w:sz="12" w:space="6"/>
        </w:pBdr>
        <w:spacing w:after="140" w:before="360"/>
      </w:pPr>
      <w:bookmarkStart w:name="_Toc43" w:id="43"/>
      <w:r>
        <w:rPr>
          <w:rFonts w:ascii="Calibri" w:cs="Calibri" w:eastAsia="Calibri" w:hAnsi="Calibri"/>
          <w:b/>
          <w:bCs/>
          <w:color w:val="12182B"/>
          <w:sz w:val="30"/>
          <w:szCs w:val="30"/>
        </w:rPr>
        <w:t xml:space="preserve">11. Risks &amp; Moats</w:t>
      </w:r>
      <w:bookmarkEnd w:id="43"/>
    </w:p>
    <w:p>
      <w:pPr>
        <w:pStyle w:val="Heading2"/>
        <w:spacing w:after="90" w:before="240"/>
      </w:pPr>
      <w:bookmarkStart w:name="_Toc44" w:id="44"/>
      <w:r>
        <w:rPr>
          <w:rFonts w:ascii="Calibri" w:cs="Calibri" w:eastAsia="Calibri" w:hAnsi="Calibri"/>
          <w:b/>
          <w:bCs/>
          <w:color w:val="2D8A52"/>
          <w:sz w:val="24"/>
          <w:szCs w:val="24"/>
        </w:rPr>
        <w:t xml:space="preserve">11.1 Key Risks</w:t>
      </w:r>
      <w:bookmarkEnd w:id="44"/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1C2433"/>
          <w:sz w:val="21"/>
          <w:szCs w:val="21"/>
        </w:rPr>
        <w:t xml:space="preserve">Trust risk: AI scoring must be fair and explainable, or adoption stalls.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1C2433"/>
          <w:sz w:val="21"/>
          <w:szCs w:val="21"/>
        </w:rPr>
        <w:t xml:space="preserve">Scale risk: the file-based store must migrate to a database before multi-tenant scale.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1C2433"/>
          <w:sz w:val="21"/>
          <w:szCs w:val="21"/>
        </w:rPr>
        <w:t xml:space="preserve">Dependency risk: reliance on external AI providers for core value.</w:t>
      </w:r>
    </w:p>
    <w:p>
      <w:pPr>
        <w:pStyle w:val="Heading2"/>
        <w:spacing w:after="90" w:before="240"/>
      </w:pPr>
      <w:bookmarkStart w:name="_Toc45" w:id="45"/>
      <w:r>
        <w:rPr>
          <w:rFonts w:ascii="Calibri" w:cs="Calibri" w:eastAsia="Calibri" w:hAnsi="Calibri"/>
          <w:b/>
          <w:bCs/>
          <w:color w:val="2D8A52"/>
          <w:sz w:val="24"/>
          <w:szCs w:val="24"/>
        </w:rPr>
        <w:t xml:space="preserve">11.2 Emerging Moats</w:t>
      </w:r>
      <w:bookmarkEnd w:id="45"/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1C2433"/>
          <w:sz w:val="21"/>
          <w:szCs w:val="21"/>
        </w:rPr>
        <w:t xml:space="preserve">Proprietary outcome data (what actually led to good hires) compounds matching quality.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1C2433"/>
          <w:sz w:val="21"/>
          <w:szCs w:val="21"/>
        </w:rPr>
        <w:t xml:space="preserve">System-of-record stickiness once a team runs all hiring through it.</w:t>
      </w:r>
    </w:p>
    <w:p>
      <w:pPr>
        <w:pStyle w:val="Heading1"/>
        <w:pBdr>
          <w:bottom w:val="single" w:color="2D8A52" w:sz="12" w:space="6"/>
        </w:pBdr>
        <w:spacing w:after="140" w:before="360"/>
      </w:pPr>
      <w:bookmarkStart w:name="_Toc46" w:id="46"/>
      <w:r>
        <w:rPr>
          <w:rFonts w:ascii="Calibri" w:cs="Calibri" w:eastAsia="Calibri" w:hAnsi="Calibri"/>
          <w:b/>
          <w:bCs/>
          <w:color w:val="12182B"/>
          <w:sz w:val="30"/>
          <w:szCs w:val="30"/>
        </w:rPr>
        <w:t xml:space="preserve">12. North Star</w:t>
      </w:r>
      <w:bookmarkEnd w:id="46"/>
    </w:p>
    <w:p>
      <w:pPr>
        <w:pBdr>
          <w:top w:val="single" w:color="2D8A52" w:sz="4"/>
          <w:left w:val="single" w:color="2D8A52" w:sz="20"/>
          <w:bottom w:val="single" w:color="2D8A52" w:sz="4"/>
          <w:right w:val="single" w:color="2D8A52" w:sz="4"/>
        </w:pBdr>
        <w:shd w:fill="E6F2EB" w:val="clear"/>
        <w:spacing w:after="140" w:before="80" w:line="276"/>
      </w:pPr>
      <w:r>
        <w:rPr>
          <w:rFonts w:ascii="Calibri" w:cs="Calibri" w:eastAsia="Calibri" w:hAnsi="Calibri"/>
          <w:b/>
          <w:bCs/>
          <w:color w:val="2D8A52"/>
          <w:sz w:val="20"/>
          <w:szCs w:val="20"/>
        </w:rPr>
        <w:t xml:space="preserve">North Star metric:  </w:t>
      </w:r>
      <w:r>
        <w:rPr>
          <w:rFonts w:ascii="Calibri" w:cs="Calibri" w:eastAsia="Calibri" w:hAnsi="Calibri"/>
          <w:color w:val="1C2433"/>
          <w:sz w:val="20"/>
          <w:szCs w:val="20"/>
        </w:rPr>
        <w:t xml:space="preserve">recruiter hours saved per hire — the clearest proxy for the value we create and the discipline that keeps us honest about shipping real automation, not features.</w:t>
      </w:r>
    </w:p>
    <w:p>
      <w:pPr>
        <w:pBdr>
          <w:top w:val="single" w:color="2D8A52" w:sz="6" w:space="8"/>
        </w:pBdr>
        <w:spacing w:before="300"/>
      </w:pPr>
      <w:r>
        <w:rPr>
          <w:rFonts w:ascii="Calibri" w:cs="Calibri" w:eastAsia="Calibri" w:hAnsi="Calibri"/>
          <w:i/>
          <w:iCs/>
          <w:color w:val="5A6478"/>
          <w:sz w:val="17"/>
          <w:szCs w:val="17"/>
        </w:rPr>
        <w:t xml:space="preserve">End of document  ·  New Frontier Recruiting Platform  ·  Strategy v1.0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2DE" w:sz="4" w:space="4"/>
      </w:pBdr>
      <w:jc w:val="center"/>
    </w:pPr>
    <w:r>
      <w:rPr>
        <w:rFonts w:ascii="Calibri" w:cs="Calibri" w:eastAsia="Calibri" w:hAnsi="Calibri"/>
        <w:color w:val="5A6478"/>
        <w:sz w:val="15"/>
        <w:szCs w:val="15"/>
      </w:rPr>
      <w:t xml:space="preserve">Confidential  ·  Strategy v1.0  ·  Page </w:t>
    </w:r>
    <w:r>
      <w:rPr>
        <w:rFonts w:ascii="Calibri" w:cs="Calibri" w:eastAsia="Calibri" w:hAnsi="Calibri"/>
        <w:color w:val="5A6478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A6478"/>
        <w:sz w:val="15"/>
        <w:szCs w:val="15"/>
      </w:rPr>
      <w:t xml:space="preserve"> of </w:t>
    </w:r>
    <w:r>
      <w:rPr>
        <w:rFonts w:ascii="Calibri" w:cs="Calibri" w:eastAsia="Calibri" w:hAnsi="Calibri"/>
        <w:color w:val="5A6478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2DE" w:sz="4" w:space="4"/>
      </w:pBdr>
      <w:jc w:val="right"/>
    </w:pPr>
    <w:r>
      <w:rPr>
        <w:rFonts w:ascii="Calibri" w:cs="Calibri" w:eastAsia="Calibri" w:hAnsi="Calibri"/>
        <w:color w:val="5A6478"/>
        <w:sz w:val="15"/>
        <w:szCs w:val="15"/>
      </w:rPr>
      <w:t xml:space="preserve">New Frontier  ·  Strategy &amp; Vision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60" w:hanging="260"/>
      </w:pPr>
      <w:rPr>
        <w:color w:val="2D8A52"/>
      </w:rPr>
    </w:lvl>
    <w:lvl w:ilvl="1" w:tentative="1">
      <w:start w:val="1"/>
      <w:numFmt w:val="bullet"/>
      <w:lvlText w:val="◦"/>
      <w:lvlJc w:val="left"/>
      <w:pPr>
        <w:ind w:left="92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60" w:hanging="300"/>
      </w:pPr>
      <w:rPr>
        <w:b/>
        <w:bCs/>
        <w:color w:val="2D8A5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2433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New Frontier — Strategy &amp; Vision</dc:title>
  <dc:creator>New Frontier Product</dc:creator>
  <dc:description>Strategy &amp; Vision</dc:description>
  <cp:lastModifiedBy>Un-named</cp:lastModifiedBy>
  <cp:revision>1</cp:revision>
  <dcterms:created xsi:type="dcterms:W3CDTF">2026-10-07T11:30:43.801Z</dcterms:created>
  <dcterms:modified xsi:type="dcterms:W3CDTF">2026-10-07T11:30:43.801Z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