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PostgreSQL CI Failure Review</w:t>
      </w:r>
    </w:p>
    <w:p>
      <w:pPr>
        <w:spacing w:after="240"/>
      </w:pPr>
      <w:r>
        <w:rPr>
          <w:color w:val="58646F"/>
        </w:rPr>
        <w:t>Lead developer and team review  |  26 October 2026</w:t>
      </w:r>
    </w:p>
    <w:p>
      <w:r>
        <w:t>Decision requested: approve a route migration to the existing atomic store API, or fund a larger company and job repository refactor. The current PostgreSQL gate fails because production company and job handlers still call a legacy write API that the database backend deliberately rejects. Five failed assertions are mostly a cascade from the first company create failure. The gate was already failing on main before the applicant security PR merged.</w:t>
      </w:r>
    </w:p>
    <w:p>
      <w:pPr>
        <w:pStyle w:val="Heading1"/>
      </w:pPr>
      <w:r>
        <w:t>Observed CI result</w:t>
      </w:r>
    </w:p>
    <w:p>
      <w:r>
        <w:t>The 26 October PR run used PostgreSQL 16 with USE_DATABASE=true. Database readiness, dependency install, typecheck, lint, and build passed. The durability and migration command reported 20 tests: 13 passed, 5 failed, 2 skipped. The built-artifact smoke step was skipped because the test step failed. The 23 October main run shows the same five failing test names and the same first writeStore error.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232"/>
            <w:shd w:fill="E8EEF3"/>
          </w:tcPr>
          <w:p>
            <w:r>
              <w:rPr>
                <w:b/>
                <w:sz w:val="18"/>
              </w:rPr>
              <w:t>Failure</w:t>
            </w:r>
          </w:p>
        </w:tc>
        <w:tc>
          <w:tcPr>
            <w:tcW w:type="dxa" w:w="3600"/>
            <w:shd w:fill="E8EEF3"/>
          </w:tcPr>
          <w:p>
            <w:r>
              <w:rPr>
                <w:b/>
                <w:sz w:val="18"/>
              </w:rPr>
              <w:t>Observed result</w:t>
            </w:r>
          </w:p>
        </w:tc>
        <w:tc>
          <w:tcPr>
            <w:tcW w:type="dxa" w:w="3960"/>
            <w:shd w:fill="E8EEF3"/>
          </w:tcPr>
          <w:p>
            <w:r>
              <w:rPr>
                <w:b/>
                <w:sz w:val="18"/>
              </w:rPr>
              <w:t>Causal reading</w:t>
            </w:r>
          </w:p>
        </w:tc>
      </w:tr>
      <w:tr>
        <w:tc>
          <w:tcPr>
            <w:tcW w:type="dxa" w:w="2232"/>
            <w:vAlign w:val="top"/>
          </w:tcPr>
          <w:p>
            <w:pPr>
              <w:spacing w:after="40"/>
            </w:pPr>
            <w:r>
              <w:rPr>
                <w:sz w:val="17"/>
              </w:rPr>
              <w:t>End-to-end persistence</w:t>
            </w:r>
          </w:p>
        </w:tc>
        <w:tc>
          <w:tcPr>
            <w:tcW w:type="dxa" w:w="3600"/>
            <w:vAlign w:val="top"/>
          </w:tcPr>
          <w:p>
            <w:pPr>
              <w:spacing w:after="40"/>
            </w:pPr>
            <w:r>
              <w:rPr>
                <w:sz w:val="17"/>
              </w:rPr>
              <w:t>POST /api/companies returned 500 instead of 201; response contained “writeStore() is not supported with the database backend; use updateStore()”.</w:t>
            </w:r>
          </w:p>
        </w:tc>
        <w:tc>
          <w:tcPr>
            <w:tcW w:type="dxa" w:w="3960"/>
            <w:vAlign w:val="top"/>
          </w:tcPr>
          <w:p>
            <w:pPr>
              <w:spacing w:after="40"/>
            </w:pPr>
            <w:r>
              <w:rPr>
                <w:sz w:val="17"/>
              </w:rPr>
              <w:t>Direct production-code failure. The company is never created.</w:t>
            </w:r>
          </w:p>
        </w:tc>
      </w:tr>
      <w:tr>
        <w:tc>
          <w:tcPr>
            <w:tcW w:type="dxa" w:w="2232"/>
            <w:vAlign w:val="top"/>
          </w:tcPr>
          <w:p>
            <w:pPr>
              <w:spacing w:after="40"/>
            </w:pPr>
            <w:r>
              <w:rPr>
                <w:sz w:val="17"/>
              </w:rPr>
              <w:t>Duplicate and capacity submissions</w:t>
            </w:r>
          </w:p>
        </w:tc>
        <w:tc>
          <w:tcPr>
            <w:tcW w:type="dxa" w:w="3600"/>
            <w:vAlign w:val="top"/>
          </w:tcPr>
          <w:p>
            <w:pPr>
              <w:spacing w:after="40"/>
            </w:pPr>
            <w:r>
              <w:rPr>
                <w:sz w:val="17"/>
              </w:rPr>
              <w:t>Expected eight 409 responses; received zero.</w:t>
            </w:r>
          </w:p>
        </w:tc>
        <w:tc>
          <w:tcPr>
            <w:tcW w:type="dxa" w:w="3960"/>
            <w:vAlign w:val="top"/>
          </w:tcPr>
          <w:p>
            <w:pPr>
              <w:spacing w:after="40"/>
            </w:pPr>
            <w:r>
              <w:rPr>
                <w:sz w:val="17"/>
              </w:rPr>
              <w:t>Earlier setup did not create the job/applicant/application state. This assertion cannot validate duplicate handling in this run.</w:t>
            </w:r>
          </w:p>
        </w:tc>
      </w:tr>
      <w:tr>
        <w:tc>
          <w:tcPr>
            <w:tcW w:type="dxa" w:w="2232"/>
            <w:vAlign w:val="top"/>
          </w:tcPr>
          <w:p>
            <w:pPr>
              <w:spacing w:after="40"/>
            </w:pPr>
            <w:r>
              <w:rPr>
                <w:sz w:val="17"/>
              </w:rPr>
              <w:t>Acceptance and hire creation</w:t>
            </w:r>
          </w:p>
        </w:tc>
        <w:tc>
          <w:tcPr>
            <w:tcW w:type="dxa" w:w="3600"/>
            <w:vAlign w:val="top"/>
          </w:tcPr>
          <w:p>
            <w:pPr>
              <w:spacing w:after="40"/>
            </w:pPr>
            <w:r>
              <w:rPr>
                <w:sz w:val="17"/>
              </w:rPr>
              <w:t>PUT /api/applications//status returned 404.</w:t>
            </w:r>
          </w:p>
        </w:tc>
        <w:tc>
          <w:tcPr>
            <w:tcW w:type="dxa" w:w="3960"/>
            <w:vAlign w:val="top"/>
          </w:tcPr>
          <w:p>
            <w:pPr>
              <w:spacing w:after="40"/>
            </w:pPr>
            <w:r>
              <w:rPr>
                <w:sz w:val="17"/>
              </w:rPr>
              <w:t>applicationId remained empty after the first test aborted.</w:t>
            </w:r>
          </w:p>
        </w:tc>
      </w:tr>
      <w:tr>
        <w:tc>
          <w:tcPr>
            <w:tcW w:type="dxa" w:w="2232"/>
            <w:vAlign w:val="top"/>
          </w:tcPr>
          <w:p>
            <w:pPr>
              <w:spacing w:after="40"/>
            </w:pPr>
            <w:r>
              <w:rPr>
                <w:sz w:val="17"/>
              </w:rPr>
              <w:t>Single-use password reset</w:t>
            </w:r>
          </w:p>
        </w:tc>
        <w:tc>
          <w:tcPr>
            <w:tcW w:type="dxa" w:w="3600"/>
            <w:vAlign w:val="top"/>
          </w:tcPr>
          <w:p>
            <w:pPr>
              <w:spacing w:after="40"/>
            </w:pPr>
            <w:r>
              <w:rPr>
                <w:sz w:val="17"/>
              </w:rPr>
              <w:t>Reset returned 401 “Invalid reset token” instead of 200.</w:t>
            </w:r>
          </w:p>
        </w:tc>
        <w:tc>
          <w:tcPr>
            <w:tcW w:type="dxa" w:w="3960"/>
            <w:vAlign w:val="top"/>
          </w:tcPr>
          <w:p>
            <w:pPr>
              <w:spacing w:after="40"/>
            </w:pPr>
            <w:r>
              <w:rPr>
                <w:sz w:val="17"/>
              </w:rPr>
              <w:t>applicantId remained empty; the reset helper has no matching applicant.</w:t>
            </w:r>
          </w:p>
        </w:tc>
      </w:tr>
      <w:tr>
        <w:tc>
          <w:tcPr>
            <w:tcW w:type="dxa" w:w="2232"/>
            <w:vAlign w:val="top"/>
          </w:tcPr>
          <w:p>
            <w:pPr>
              <w:spacing w:after="40"/>
            </w:pPr>
            <w:r>
              <w:rPr>
                <w:sz w:val="17"/>
              </w:rPr>
              <w:t>Rollback on failed applicant update</w:t>
            </w:r>
          </w:p>
        </w:tc>
        <w:tc>
          <w:tcPr>
            <w:tcW w:type="dxa" w:w="3600"/>
            <w:vAlign w:val="top"/>
          </w:tcPr>
          <w:p>
            <w:pPr>
              <w:spacing w:after="40"/>
            </w:pPr>
            <w:r>
              <w:rPr>
                <w:sz w:val="17"/>
              </w:rPr>
              <w:t>Expected database-trigger rejection did not occur.</w:t>
            </w:r>
          </w:p>
        </w:tc>
        <w:tc>
          <w:tcPr>
            <w:tcW w:type="dxa" w:w="3960"/>
            <w:vAlign w:val="top"/>
          </w:tcPr>
          <w:p>
            <w:pPr>
              <w:spacing w:after="40"/>
            </w:pPr>
            <w:r>
              <w:rPr>
                <w:sz w:val="17"/>
              </w:rPr>
              <w:t>Trigger targets the empty applicantId; reset helper returns no_applicant before updating a row.</w:t>
            </w:r>
          </w:p>
        </w:tc>
      </w:tr>
    </w:tbl>
    <w:p>
      <w:pPr>
        <w:spacing w:after="20"/>
      </w:pPr>
    </w:p>
    <w:p>
      <w:r>
        <w:t>Confidence: the unsupported company write is proven by the response and source. The four later failures are strongly explained by suite-level variables populated only after the first test passes; they may conceal further defects. They should not be counted as four independently diagnosed production bugs.</w:t>
      </w:r>
    </w:p>
    <w:p>
      <w:pPr>
        <w:pStyle w:val="Heading1"/>
      </w:pPr>
      <w:r>
        <w:t>Root cause and affected paths</w:t>
      </w:r>
    </w:p>
    <w:p>
      <w:pPr>
        <w:pStyle w:val="ListNumber"/>
        <w:spacing w:after="60"/>
      </w:pPr>
      <w:r>
        <w:t>The store contract defines readStore() as a detached snapshot and updateStore() as the atomic read-latest, mutate, commit API. In PostgreSQL mode, writeStore() always throws LegacyWholesaleWriteError to prevent a stale snapshot from overwriting concurrent commits.</w:t>
      </w:r>
    </w:p>
    <w:p>
      <w:pPr>
        <w:pStyle w:val="ListNumber"/>
        <w:spacing w:after="60"/>
      </w:pPr>
      <w:r>
        <w:t>The company create handler reads a snapshot, pushes a company, then calls writeStore(). PostgreSQL rejects the call before persistence and the route converts the exception to HTTP 500. The integration suite stops at that assertion, leaving shared IDs unset.</w:t>
      </w:r>
    </w:p>
    <w:p>
      <w:pPr>
        <w:pStyle w:val="ListNumber"/>
        <w:spacing w:after="60"/>
      </w:pPr>
      <w:r>
        <w:t>The problem extends beyond that one route: company create, update, and delete contain three writeStore() calls; job create, import, update, and delete contain four. All seven write paths are incompatible with the configured PostgreSQL backend. JSON-mode tests can pass because writeStore() remains available there.</w:t>
      </w:r>
    </w:p>
    <w:p>
      <w:r>
        <w:t>Relevant code: src/models/store.ts lines 312–371; src/models/pgBackend.ts lines 158–219; src/routes/companies.ts lines 14–100; src/routes/jobs.ts lines 10–218; tests/integration/database-durability.test.ts lines 189–305 and 360–417; docs/implementation/db-storage-contract.md lines 7–22.</w:t>
      </w:r>
    </w:p>
    <w:p>
      <w:r>
        <w:br w:type="page"/>
      </w:r>
    </w:p>
    <w:p>
      <w:pPr>
        <w:pStyle w:val="Heading1"/>
      </w:pPr>
      <w:r>
        <w:t>Fix option 1  Migrate routes to updateStore</w:t>
      </w:r>
    </w:p>
    <w:p>
      <w:r>
        <w:t>Recommendation. Replace the seven read, mutate, write sequences in companies.ts and jobs.ts with updateStore() callbacks. Move existence checks into the callback so they use the latest committed state. Return a small result object from each callback and send the HTTP response after commit. Keep parsing and validation outside the callback; append audit entries after a successful commit, as the store contract requires.</w:t>
      </w:r>
    </w:p>
    <w:p>
      <w:pPr>
        <w:pStyle w:val="ListBullet"/>
        <w:spacing w:after="40"/>
      </w:pPr>
      <w:r>
        <w:t>Company create: insert the company and link a hiring-manager user in one updateStore transaction. Company update/delete: look up and modify the company inside the transaction, returning not-found when appropriate.</w:t>
      </w:r>
    </w:p>
    <w:p>
      <w:pPr>
        <w:pStyle w:val="ListBullet"/>
        <w:spacing w:after="40"/>
      </w:pPr>
      <w:r>
        <w:t>Job create/import: validate the company inside the transaction; insert all valid imported jobs as one atomic mutation. Job update/delete: locate and change the row inside that transaction. Do not call readStore(), another updateStore(), network services, or HTTP response methods from a mutator.</w:t>
      </w:r>
    </w:p>
    <w:p>
      <w:pPr>
        <w:pStyle w:val="ListBullet"/>
        <w:spacing w:after="40"/>
      </w:pPr>
      <w:r>
        <w:t>Test each of the seven routes against PostgreSQL, including not-found behavior, persisted results, audit entries, and concurrent writes. Re-run the full database acceptance command and built-artifact smoke test.</w:t>
      </w:r>
    </w:p>
    <w:p>
      <w:r>
        <w:t>Benefits: uses the documented API, preserves transaction and rollback behavior, keeps the fail-closed guard, and is the smallest repair. Risks: route logic needs careful result mapping and import behavior may need an explicit choice between all-or-nothing and per-row outcomes. The existing facade loads all records and serializes writes, so it is suitable for the current scale but not a long-term high-volume design.</w:t>
      </w:r>
    </w:p>
    <w:p>
      <w:pPr>
        <w:pStyle w:val="Heading1"/>
      </w:pPr>
      <w:r>
        <w:t>Fix option 2  Add targeted repositories</w:t>
      </w:r>
    </w:p>
    <w:p>
      <w:r>
        <w:t>Create explicit company and job persistence operations with transactional PostgreSQL implementations and JSON equivalents. Each operation would perform the existence check and write within one transaction, while routes call the repository instead of manipulating the whole store snapshot. Audit appends remain after commit or move into a deliberately designed transactional outbox if atomic audit is required.</w:t>
      </w:r>
    </w:p>
    <w:p>
      <w:pPr>
        <w:pStyle w:val="ListBullet"/>
        <w:spacing w:after="40"/>
      </w:pPr>
      <w:r>
        <w:t>Define operations such as createCompanyAndLinkManager, updateCompany, deleteCompany, createJob, importJobs, updateJob, and deleteJob. Keep return types explicit for created, updated, not-found, and conflict outcomes.</w:t>
      </w:r>
    </w:p>
    <w:p>
      <w:pPr>
        <w:pStyle w:val="ListBullet"/>
        <w:spacing w:after="40"/>
      </w:pPr>
      <w:r>
        <w:t>Preserve the existing cross-process writer guarantees and JSON-backend parity. Test concurrent changes, unique indexes, deletions, import partial failures, and migration compatibility before replacing callers.</w:t>
      </w:r>
    </w:p>
    <w:p>
      <w:r>
        <w:t>Benefits: avoids loading every record for each write and gives clearer domain boundaries as traffic grows. Costs: larger change, more SQL and adapter surface, longer review and migration time. This is a reasonable follow-on design, but it is not required to unblock the current gate. Do not make writeStore() silently work in PostgreSQL: doing so would defeat the stale-snapshot protection unless a new compare-and-swap protocol is designed and proven.</w:t>
      </w:r>
    </w:p>
    <w:p>
      <w:pPr>
        <w:pStyle w:val="Heading1"/>
      </w:pPr>
      <w:r>
        <w:t>Verification plan and exit criteria</w:t>
      </w:r>
    </w:p>
    <w:p>
      <w:pPr>
        <w:spacing w:after="60"/>
        <w:ind w:left="360" w:hanging="360"/>
      </w:pPr>
      <w:r>
        <w:t>1.  Add direct PostgreSQL tests for company and job create, update, delete, and import. Each must assert HTTP status and a fresh readStore() result; cover two concurrent updates so neither committed change is lost.</w:t>
      </w:r>
    </w:p>
    <w:p>
      <w:pPr>
        <w:spacing w:after="60"/>
        <w:ind w:left="360" w:hanging="360"/>
      </w:pPr>
      <w:r>
        <w:t>2.  Break the acceptance suite’s shared setup chain. Seed the applicant and other prerequisites in per-test fixtures or group dependent steps in one named flow, so a company failure does not produce four misleading downstream failures. Keep an independent reset-token rollback test with a real seeded applicant.</w:t>
      </w:r>
    </w:p>
    <w:p>
      <w:pPr>
        <w:spacing w:after="60"/>
        <w:ind w:left="360" w:hanging="360"/>
      </w:pPr>
      <w:r>
        <w:t>3.  Run npm run test:db with DB_TEST_REQUIRED=true, then the built-artifact PostgreSQL smoke step, typecheck, lint, build, and the ordinary npm test suite. Require zero failures; the DB gate must not silently skip when its service is unavailable.</w:t>
      </w:r>
    </w:p>
    <w:p>
      <w:pPr>
        <w:spacing w:after="60"/>
        <w:ind w:left="360" w:hanging="360"/>
      </w:pPr>
      <w:r>
        <w:t>4.  Confirm the first CI failure and all seven route call sites are gone. Review any new failures revealed after the setup chain proceeds; the present evidence does not prove those later behaviors are correct.</w:t>
      </w:r>
    </w:p>
    <w:p>
      <w:r>
        <w:t>Investigation limit: this review uses the two GitHub Actions logs and current repository source. I did not run a local PostgreSQL instance or change production code. The specific implementation work and green database gate remain to be verified.</w:t>
      </w:r>
    </w:p>
    <w:p>
      <w:pPr>
        <w:pStyle w:val="Heading1"/>
      </w:pPr>
      <w:r>
        <w:t>Evidence</w:t>
      </w:r>
    </w:p>
    <w:p>
      <w:pPr>
        <w:pStyle w:val="Evidence"/>
      </w:pPr>
      <w:r>
        <w:t>PR database job, 26 October 2026: https://github.com/jbaker7989/RecruitingApp/actions/runs/40273491051/job/121411205541</w:t>
      </w:r>
    </w:p>
    <w:p>
      <w:pPr>
        <w:pStyle w:val="Evidence"/>
      </w:pPr>
      <w:r>
        <w:t>Main database run, 23 October 2026: https://github.com/jbaker7989/RecruitingApp/actions/runs/40003304710</w:t>
      </w:r>
    </w:p>
    <w:p>
      <w:pPr>
        <w:pStyle w:val="Evidence"/>
      </w:pPr>
      <w:r>
        <w:t>Storage contract: docs/implementation/db-storage-contract.md</w:t>
      </w:r>
    </w:p>
    <w:p>
      <w:pPr>
        <w:pStyle w:val="Evidence"/>
      </w:pPr>
      <w:r>
        <w:t>CI definition: .github/workflows/database-ci.yml</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PostgreSQL CI Failure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32B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1223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122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val="0"/>
      <w:color w:val="1122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after="80"/>
    </w:pPr>
    <w:rPr>
      <w:rFonts w:ascii="Aptos" w:hAnsi="Aptos"/>
      <w:color w:val="48535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