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Estimating Unit Counts Without a Reported Number</w:t>
      </w:r>
    </w:p>
    <w:p>
      <w:pPr>
        <w:spacing w:after="120"/>
      </w:pPr>
      <w:r>
        <w:t xml:space="preserve">Research brief and options for the Argentum Largest Providers Index · September 30, 2026</w:t>
      </w:r>
    </w:p>
    <w:p>
      <w:pPr>
        <w:spacing w:after="120"/>
      </w:pPr>
      <w:r>
        <w:rPr>
          <w:b/>
          <w:bCs/>
        </w:rPr>
        <w:t xml:space="preserve">Scope.</w:t>
      </w:r>
      <w:r>
        <w:t xml:space="preserve"> This brief reviews how real estate, multifamily and senior housing firms estimate unit counts when no reported number exists, and lays out options Argentum could adopt. The Index file itself is password-encrypted and was not reviewed, so the recommendations are based on industry research and practice, not on Index data.</w:t>
      </w:r>
    </w:p>
    <w:p>
      <w:pPr>
        <w:pStyle w:val="Heading1"/>
      </w:pPr>
      <w:r>
        <w:t xml:space="preserve">1. How the industry fills unit-count gaps</w:t>
      </w:r>
    </w:p>
    <w:p>
      <w:pPr>
        <w:spacing w:after="120"/>
      </w:pPr>
      <w:r>
        <w:t xml:space="preserve">Firms work down a list of sources, most reliable first. Satellite imagery and square footage are near the bottom, not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360"/>
        <w:gridCol w:w="3400"/>
      </w:tblGrid>
      <w:tr>
        <w:trPr>
          <w:tblHeader/>
        </w:trPr>
        <w:tc>
          <w:tcPr>
            <w:tcW w:type="dxa" w:w="70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Tier</w:t>
            </w:r>
          </w:p>
        </w:tc>
        <w:tc>
          <w:tcPr>
            <w:tcW w:type="dxa" w:w="290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Source</w:t>
            </w:r>
          </w:p>
        </w:tc>
        <w:tc>
          <w:tcPr>
            <w:tcW w:type="dxa" w:w="236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What it gives you</w:t>
            </w:r>
          </w:p>
        </w:tc>
        <w:tc>
          <w:tcPr>
            <w:tcW w:type="dxa" w:w="340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Typical accuracy per property</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Operator self-report, public filings (10-Ks, REIT supplements), bond documents (OS/EMMA for nonprofit CCRCs)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Actual units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Exact</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counts: CMS certified beds for skilled nursing; state assisted living and memory care licensed capacity; HUD 202 and LIHTC records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Beds, not units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Exact beds; units are usually about 5–25% below beds in AL (companion suites)</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Development records: planning/zoning approvals, building permits, marketing floor plans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count at entitlement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±0–10% (projects change after approval)</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Physical estimate: building area (assessor records, or footprint × stories) ÷ gross square feet per unit by care type</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Modeled units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±15–30%</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Imagery: counting PTAC wall units, balconies or windows per façade on street-level or oblique photos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Modeled units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±10–20% when done well, but slow</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Operator prototype: "Operator X builds a 60-unit AL/MC design on 3–4 acres"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Imputed from the same operator and building vintage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Often ±10% for chains that build to a prototype</w:t>
            </w:r>
          </w:p>
        </w:tc>
      </w:tr>
    </w:tbl>
    <w:p>
      <w:pPr>
        <w:spacing w:after="120"/>
      </w:pPr>
    </w:p>
    <w:p>
      <w:pPr>
        <w:spacing w:after="120"/>
      </w:pPr>
      <w:r>
        <w:t xml:space="preserve">NIC is the benchmark here. It surveys about 14,000 properties with 25+ units directly each quarter. Outside its 140 core markets, its supply estimates come from Melissa Data, which aggregates county assessor and planning data (i.e., tiers 3–4). The ASHA 50 uses self-reported numbers plus public filings, so it is closest to what Argentum does today.</w:t>
      </w:r>
    </w:p>
    <w:p>
      <w:pPr>
        <w:pStyle w:val="Heading1"/>
      </w:pPr>
      <w:r>
        <w:t xml:space="preserve">2. Why this matters for an Index specifically</w:t>
      </w:r>
    </w:p>
    <w:p>
      <w:pPr>
        <w:spacing w:after="120"/>
      </w:pPr>
      <w:r>
        <w:t xml:space="preserve">Per-property estimates are noisy, but the Index ranks portfolios. If the estimation errors are unbiased, they partly cancel when communities are added up. A ±25% error on one building becomes roughly ±25%/√n across n estimated buildings. For 40 estimated communities, that is about ±4% on that part of the portfolio. So this can work for the Index, but only if systematic bias is calibrated out, especially by care type and region. Bias does not cancel when you aggregate.</w:t>
      </w:r>
    </w:p>
    <w:p>
      <w:pPr>
        <w:pStyle w:val="Heading1"/>
      </w:pPr>
      <w:r>
        <w:t xml:space="preserve">3. Options for Argentum, lightest first</w:t>
      </w:r>
    </w:p>
    <w:p>
      <w:pPr>
        <w:pStyle w:val="Heading2"/>
      </w:pPr>
      <w:r>
        <w:t xml:space="preserve">Option A: Widen what counts as a "proven number" (no modeling)</w:t>
      </w:r>
    </w:p>
    <w:p>
      <w:pPr>
        <w:spacing w:after="120"/>
      </w:pPr>
      <w:r>
        <w:t xml:space="preserve">Systematically pull state AL licensed-capacity files and CMS skilled nursing beds, and convert beds to units using a ratio calibrated on verified communities, by state and care type. Minnesota publishes a downloadable file with capacity, and there is an open dataset of 44,638 AL facilities (about 1.2M beds, all states, 2022) that can serve as a starting point. This stays within the current standard in spirit, since the input is a regulatory number and not a guess. It is the lowest-risk, highest-yield option.</w:t>
      </w:r>
    </w:p>
    <w:p>
      <w:pPr>
        <w:pStyle w:val="Heading2"/>
      </w:pPr>
      <w:r>
        <w:t xml:space="preserve">Option B: Pre-filled confirmation survey</w:t>
      </w:r>
    </w:p>
    <w:p>
      <w:pPr>
        <w:spacing w:after="120"/>
      </w:pPr>
      <w:r>
        <w:t xml:space="preserve">Send each operator an estimated count and ask them to confirm or correct it ("We show 1,840 units across 22 communities, correct?"). This usually raises response rates a lot, and the answers become proven numbers. It also works well with Options C and D, which produce the estimates.</w:t>
      </w:r>
    </w:p>
    <w:p>
      <w:pPr>
        <w:pStyle w:val="Heading2"/>
      </w:pPr>
      <w:r>
        <w:t xml:space="preserve">Option C: Rule-based physical estimate, with a published confidence grade</w:t>
      </w:r>
    </w:p>
    <w:p>
      <w:pPr>
        <w:spacing w:after="120"/>
      </w:pPr>
      <w:r>
        <w:rPr>
          <w:rFonts w:ascii="Consolas" w:cs="Consolas" w:eastAsia="Consolas" w:hAnsi="Consolas"/>
        </w:rPr>
        <w:t xml:space="preserve">units ≈ (footprint sq ft × stories × efficiency factor) ÷ gross sq ft per unit for the care type</w:t>
      </w:r>
    </w:p>
    <w:p>
      <w:pPr>
        <w:spacing w:after="120"/>
      </w:pPr>
      <w:r>
        <w:t xml:space="preserve">Starting assumptions to calibrate on verified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Care type</w:t>
            </w:r>
          </w:p>
        </w:tc>
        <w:tc>
          <w:tcPr>
            <w:tcW w:type="dxa" w:w="4680"/>
            <w:tcBorders>
              <w:top w:val="single" w:color="BFBFBF" w:sz="4"/>
              <w:left w:val="single" w:color="BFBFBF" w:sz="4"/>
              <w:bottom w:val="single" w:color="BFBFBF" w:sz="4"/>
              <w:right w:val="single" w:color="BFBFBF" w:sz="4"/>
            </w:tcBorders>
            <w:shd w:fill="0A2949" w:color="auto" w:val="clear"/>
            <w:tcMar>
              <w:top w:type="dxa" w:w="60"/>
              <w:left w:type="dxa" w:w="100"/>
              <w:bottom w:type="dxa" w:w="60"/>
              <w:right w:type="dxa" w:w="100"/>
            </w:tcMar>
          </w:tcPr>
          <w:p>
            <w:r>
              <w:rPr>
                <w:b/>
                <w:bCs/>
                <w:color w:val="FFFFFF"/>
                <w:sz w:val="19"/>
                <w:szCs w:val="19"/>
              </w:rPr>
              <w:t xml:space="preserve">Gross sq ft per unit (starting point)</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Independent living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~1,200–1,600</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Assisted living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~800–1,000</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 care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~650–800</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Skilled nursing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~450–550 per bed</w:t>
            </w:r>
          </w:p>
        </w:tc>
      </w:tr>
    </w:tbl>
    <w:p>
      <w:pPr>
        <w:spacing w:after="120"/>
      </w:pPr>
    </w:p>
    <w:p>
      <w:pPr>
        <w:spacing w:after="120"/>
      </w:pPr>
      <w:r>
        <w:t xml:space="preserve">Data inputs:</w:t>
      </w:r>
    </w:p>
    <w:p>
      <w:pPr>
        <w:pStyle w:val="ListParagraph"/>
        <w:numPr>
          <w:ilvl w:val="0"/>
          <w:numId w:val="2"/>
        </w:numPr>
        <w:spacing w:after="60"/>
      </w:pPr>
      <w:r>
        <w:rPr>
          <w:b/>
          <w:bCs/>
        </w:rPr>
        <w:t xml:space="preserve">Building footprints (free):</w:t>
      </w:r>
      <w:r>
        <w:t xml:space="preserve"> FEMA USA Structures (131M+ buildings, with occupancy type), Overture Maps and Microsoft footprints.</w:t>
      </w:r>
    </w:p>
    <w:p>
      <w:pPr>
        <w:pStyle w:val="ListParagraph"/>
        <w:numPr>
          <w:ilvl w:val="0"/>
          <w:numId w:val="2"/>
        </w:numPr>
        <w:spacing w:after="60"/>
      </w:pPr>
      <w:r>
        <w:rPr>
          <w:b/>
          <w:bCs/>
        </w:rPr>
        <w:t xml:space="preserve">Building height and stories:</w:t>
      </w:r>
      <w:r>
        <w:t xml:space="preserve"> USGS 3DEP lidar, which Overture has turned into about 6M building heights, mostly in larger metros. Assessor "stories" fields fill some of the rest.</w:t>
      </w:r>
    </w:p>
    <w:p>
      <w:pPr>
        <w:pStyle w:val="ListParagraph"/>
        <w:numPr>
          <w:ilvl w:val="0"/>
          <w:numId w:val="2"/>
        </w:numPr>
        <w:spacing w:after="60"/>
      </w:pPr>
      <w:r>
        <w:rPr>
          <w:b/>
          <w:bCs/>
        </w:rPr>
        <w:t xml:space="preserve">Building area per parcel:</w:t>
      </w:r>
      <w:r>
        <w:t xml:space="preserve"> Regrid or paid assessor data (ATTOM, LightBox, CoreLogic). This often beats footprint × stories.</w:t>
      </w:r>
    </w:p>
    <w:p>
      <w:pPr>
        <w:pStyle w:val="Heading2"/>
      </w:pPr>
      <w:r>
        <w:t xml:space="preserve">Option D: Machine-learning model (the data-science version of C)</w:t>
      </w:r>
    </w:p>
    <w:p>
      <w:pPr>
        <w:spacing w:after="120"/>
      </w:pPr>
      <w:r>
        <w:t xml:space="preserve">Train a model (gradient boosting with prediction intervals) on every community that already has a proven count. Features would include footprint, height and stories, parcel acreage, year built, care-type mix, licensed beds if known, operator, state and urban/rural. Validate on held-out communities and report the average error by care type. The "same operator, same era" signal usually carries the most weight, because chains repeat designs. Each estimate comes with a range, not just a number.</w:t>
      </w:r>
    </w:p>
    <w:p>
      <w:pPr>
        <w:pStyle w:val="Heading2"/>
      </w:pPr>
      <w:r>
        <w:t xml:space="preserve">Option E: Imagery counting, for audits only</w:t>
      </w:r>
    </w:p>
    <w:p>
      <w:pPr>
        <w:spacing w:after="120"/>
      </w:pPr>
      <w:r>
        <w:t xml:space="preserve">Counting through-wall AC units or balconies on façades is surprisingly accurate for senior housing. But it is labor-intensive, and Google's Street View terms restrict deriving data from its imagery. Use it only to spot-check outliers, with properly licensed imagery (e.g., Nearmap or EagleView).</w:t>
      </w:r>
    </w:p>
    <w:p>
      <w:pPr>
        <w:pStyle w:val="Heading1"/>
      </w:pPr>
      <w:r>
        <w:t xml:space="preserve">4. Governance: keep the Index credible</w:t>
      </w:r>
    </w:p>
    <w:p>
      <w:pPr>
        <w:pStyle w:val="ListParagraph"/>
        <w:numPr>
          <w:ilvl w:val="0"/>
          <w:numId w:val="2"/>
        </w:numPr>
        <w:spacing w:after="60"/>
      </w:pPr>
      <w:r>
        <w:rPr>
          <w:b/>
          <w:bCs/>
        </w:rPr>
        <w:t xml:space="preserve">Grade every community:</w:t>
      </w:r>
      <w:r>
        <w:t xml:space="preserve"> A = verified; B = regulatory-derived (beds converted to units); C = modeled.</w:t>
      </w:r>
    </w:p>
    <w:p>
      <w:pPr>
        <w:pStyle w:val="ListParagraph"/>
        <w:numPr>
          <w:ilvl w:val="0"/>
          <w:numId w:val="2"/>
        </w:numPr>
        <w:spacing w:after="60"/>
      </w:pPr>
      <w:r>
        <w:rPr>
          <w:b/>
          <w:bCs/>
        </w:rPr>
        <w:t xml:space="preserve">Rank on A+B.</w:t>
      </w:r>
      <w:r>
        <w:t xml:space="preserve"> Show C as an "estimated total portfolio" column, or let C affect rank only when it is under about 10–15% of a provider's units.</w:t>
      </w:r>
    </w:p>
    <w:p>
      <w:pPr>
        <w:pStyle w:val="ListParagraph"/>
        <w:numPr>
          <w:ilvl w:val="0"/>
          <w:numId w:val="2"/>
        </w:numPr>
        <w:spacing w:after="60"/>
      </w:pPr>
      <w:r>
        <w:rPr>
          <w:b/>
          <w:bCs/>
        </w:rPr>
        <w:t xml:space="preserve">Sensitivity test:</w:t>
      </w:r>
      <w:r>
        <w:t xml:space="preserve"> if a provider's rank changes between the low and high end of its estimate range, flag it.</w:t>
      </w:r>
    </w:p>
    <w:p>
      <w:pPr>
        <w:pStyle w:val="ListParagraph"/>
        <w:numPr>
          <w:ilvl w:val="0"/>
          <w:numId w:val="2"/>
        </w:numPr>
        <w:spacing w:after="60"/>
      </w:pPr>
      <w:r>
        <w:rPr>
          <w:b/>
          <w:bCs/>
        </w:rPr>
        <w:t xml:space="preserve">Publish a methodology note.</w:t>
      </w:r>
      <w:r>
        <w:t xml:space="preserve"> It is also a selling point: "X% verified, Y% estimated."</w:t>
      </w:r>
    </w:p>
    <w:p>
      <w:pPr>
        <w:pStyle w:val="Heading1"/>
      </w:pPr>
      <w:r>
        <w:t xml:space="preserve">5. Recommended next step: a 2–3 week pilot</w:t>
      </w:r>
    </w:p>
    <w:p>
      <w:pPr>
        <w:pStyle w:val="ListParagraph"/>
        <w:numPr>
          <w:ilvl w:val="0"/>
          <w:numId w:val="3"/>
        </w:numPr>
        <w:spacing w:after="60"/>
      </w:pPr>
      <w:r>
        <w:t xml:space="preserve">Take about 300 communities with proven counts, stratified by care type and region.</w:t>
      </w:r>
    </w:p>
    <w:p>
      <w:pPr>
        <w:pStyle w:val="ListParagraph"/>
        <w:numPr>
          <w:ilvl w:val="0"/>
          <w:numId w:val="3"/>
        </w:numPr>
        <w:spacing w:after="60"/>
      </w:pPr>
      <w:r>
        <w:t xml:space="preserve">Attach free footprints (FEMA / Overture), heights and parcel acreage, plus licensed beds where available.</w:t>
      </w:r>
    </w:p>
    <w:p>
      <w:pPr>
        <w:pStyle w:val="ListParagraph"/>
        <w:numPr>
          <w:ilvl w:val="0"/>
          <w:numId w:val="3"/>
        </w:numPr>
        <w:spacing w:after="60"/>
      </w:pPr>
      <w:r>
        <w:t xml:space="preserve">Fit Option C, then Option D, and measure error per community and per portfolio on the held-out set.</w:t>
      </w:r>
    </w:p>
    <w:p>
      <w:pPr>
        <w:pStyle w:val="ListParagraph"/>
        <w:numPr>
          <w:ilvl w:val="0"/>
          <w:numId w:val="3"/>
        </w:numPr>
        <w:spacing w:after="60"/>
      </w:pPr>
      <w:r>
        <w:t xml:space="preserve">Decide on thresholds before looking at results. For example: adopt grade C only if portfolio-level error is ≤5% with no directional bias.</w:t>
      </w:r>
    </w:p>
    <w:p>
      <w:pPr>
        <w:spacing w:after="120"/>
      </w:pPr>
      <w:r>
        <w:t xml:space="preserve">In parallel, start Option A now. It is near-certain value with no methodological risk.</w:t>
      </w:r>
    </w:p>
    <w:p>
      <w:pPr>
        <w:pStyle w:val="Heading1"/>
      </w:pPr>
      <w:r>
        <w:t xml:space="preserve">Sources</w:t>
      </w:r>
    </w:p>
    <w:p>
      <w:pPr>
        <w:pStyle w:val="ListParagraph"/>
        <w:numPr>
          <w:ilvl w:val="0"/>
          <w:numId w:val="2"/>
        </w:numPr>
        <w:spacing w:after="60"/>
      </w:pPr>
      <w:hyperlink w:history="1" r:id="rIdo9uvscydfxjljxjzxzbkz">
        <w:r>
          <w:rPr>
            <w:rStyle w:val="Hyperlink"/>
          </w:rPr>
          <w:t xml:space="preserve">NIC – How much senior housing inventory exists</w:t>
        </w:r>
      </w:hyperlink>
      <w:r>
        <w:rPr>
          <w:color w:val="595959"/>
          <w:sz w:val="18"/>
          <w:szCs w:val="18"/>
        </w:rPr>
        <w:t xml:space="preserve"> — https://www.nic.org/blog/how-much-senior-housing-and-care-inventory-exists-in-the-united-states/</w:t>
      </w:r>
    </w:p>
    <w:p>
      <w:pPr>
        <w:pStyle w:val="ListParagraph"/>
        <w:numPr>
          <w:ilvl w:val="0"/>
          <w:numId w:val="2"/>
        </w:numPr>
        <w:spacing w:after="60"/>
      </w:pPr>
      <w:hyperlink w:history="1" r:id="rIdxjgpqc8njtgvvlz-6og5b">
        <w:r>
          <w:rPr>
            <w:rStyle w:val="Hyperlink"/>
          </w:rPr>
          <w:t xml:space="preserve">NIC MAP data (Melissa Data outside core markets)</w:t>
        </w:r>
      </w:hyperlink>
      <w:r>
        <w:rPr>
          <w:color w:val="595959"/>
          <w:sz w:val="18"/>
          <w:szCs w:val="18"/>
        </w:rPr>
        <w:t xml:space="preserve"> — https://www.nicmapvision.com/?p=1288</w:t>
      </w:r>
    </w:p>
    <w:p>
      <w:pPr>
        <w:pStyle w:val="ListParagraph"/>
        <w:numPr>
          <w:ilvl w:val="0"/>
          <w:numId w:val="2"/>
        </w:numPr>
        <w:spacing w:after="60"/>
      </w:pPr>
      <w:hyperlink w:history="1" r:id="rId6fsbyakkz2im0nhfnm_bn">
        <w:r>
          <w:rPr>
            <w:rStyle w:val="Hyperlink"/>
          </w:rPr>
          <w:t xml:space="preserve">ASHA 50 methodology</w:t>
        </w:r>
      </w:hyperlink>
      <w:r>
        <w:rPr>
          <w:color w:val="595959"/>
          <w:sz w:val="18"/>
          <w:szCs w:val="18"/>
        </w:rPr>
        <w:t xml:space="preserve"> — https://seniorshousingbusiness.com/?p=17573</w:t>
      </w:r>
    </w:p>
    <w:p>
      <w:pPr>
        <w:pStyle w:val="ListParagraph"/>
        <w:numPr>
          <w:ilvl w:val="0"/>
          <w:numId w:val="2"/>
        </w:numPr>
        <w:spacing w:after="60"/>
      </w:pPr>
      <w:hyperlink w:history="1" r:id="rIdt6tmgp3dbstlcur1bfafn">
        <w:r>
          <w:rPr>
            <w:rStyle w:val="Hyperlink"/>
          </w:rPr>
          <w:t xml:space="preserve">Assisted Living in the US: an Open Dataset (arXiv)</w:t>
        </w:r>
      </w:hyperlink>
      <w:r>
        <w:rPr>
          <w:color w:val="595959"/>
          <w:sz w:val="18"/>
          <w:szCs w:val="18"/>
        </w:rPr>
        <w:t xml:space="preserve"> — https://arxiv.org/abs/2212.14092</w:t>
      </w:r>
    </w:p>
    <w:p>
      <w:pPr>
        <w:pStyle w:val="ListParagraph"/>
        <w:numPr>
          <w:ilvl w:val="0"/>
          <w:numId w:val="2"/>
        </w:numPr>
        <w:spacing w:after="60"/>
      </w:pPr>
      <w:hyperlink w:history="1" r:id="rIdasq21e1b-alrbkxhj4cv9">
        <w:r>
          <w:rPr>
            <w:rStyle w:val="Hyperlink"/>
          </w:rPr>
          <w:t xml:space="preserve">Minnesota facility data file</w:t>
        </w:r>
      </w:hyperlink>
      <w:r>
        <w:rPr>
          <w:color w:val="595959"/>
          <w:sz w:val="18"/>
          <w:szCs w:val="18"/>
        </w:rPr>
        <w:t xml:space="preserve"> — https://health.state.mn.us/facilities/regulation/directory/directorydatafile.html</w:t>
      </w:r>
    </w:p>
    <w:p>
      <w:pPr>
        <w:pStyle w:val="ListParagraph"/>
        <w:numPr>
          <w:ilvl w:val="0"/>
          <w:numId w:val="2"/>
        </w:numPr>
        <w:spacing w:after="60"/>
      </w:pPr>
      <w:hyperlink w:history="1" r:id="rIdvbeidncszd8jxvavp4ze2">
        <w:r>
          <w:rPr>
            <w:rStyle w:val="Hyperlink"/>
          </w:rPr>
          <w:t xml:space="preserve">FEMA USA Structures</w:t>
        </w:r>
      </w:hyperlink>
      <w:r>
        <w:rPr>
          <w:color w:val="595959"/>
          <w:sz w:val="18"/>
          <w:szCs w:val="18"/>
        </w:rPr>
        <w:t xml:space="preserve"> — https://gis-fema.hub.arcgis.com/pages/usa-structures</w:t>
      </w:r>
    </w:p>
    <w:p>
      <w:pPr>
        <w:pStyle w:val="ListParagraph"/>
        <w:numPr>
          <w:ilvl w:val="0"/>
          <w:numId w:val="2"/>
        </w:numPr>
        <w:spacing w:after="60"/>
      </w:pPr>
      <w:hyperlink w:history="1" r:id="rIdmomlx9-qsvpoccbgiom1g">
        <w:r>
          <w:rPr>
            <w:rStyle w:val="Hyperlink"/>
          </w:rPr>
          <w:t xml:space="preserve">Overture buildings guide</w:t>
        </w:r>
      </w:hyperlink>
      <w:r>
        <w:rPr>
          <w:color w:val="595959"/>
          <w:sz w:val="18"/>
          <w:szCs w:val="18"/>
        </w:rPr>
        <w:t xml:space="preserve"> — https://docs.overturemaps.org/guides/buildings</w:t>
      </w:r>
    </w:p>
    <w:p>
      <w:pPr>
        <w:pStyle w:val="ListParagraph"/>
        <w:numPr>
          <w:ilvl w:val="0"/>
          <w:numId w:val="2"/>
        </w:numPr>
        <w:spacing w:after="60"/>
      </w:pPr>
      <w:hyperlink w:history="1" r:id="rIdjy74wkgttdukgh4exek4n">
        <w:r>
          <w:rPr>
            <w:rStyle w:val="Hyperlink"/>
          </w:rPr>
          <w:t xml:space="preserve">Regrid buildings &amp; structures</w:t>
        </w:r>
      </w:hyperlink>
      <w:r>
        <w:rPr>
          <w:color w:val="595959"/>
          <w:sz w:val="18"/>
          <w:szCs w:val="18"/>
        </w:rPr>
        <w:t xml:space="preserve"> — https://support.regrid.com/docs/buildings-structures</w:t>
      </w:r>
    </w:p>
    <w:p>
      <w:pPr>
        <w:pStyle w:val="ListParagraph"/>
        <w:numPr>
          <w:ilvl w:val="0"/>
          <w:numId w:val="2"/>
        </w:numPr>
        <w:spacing w:after="60"/>
      </w:pPr>
      <w:hyperlink w:history="1" r:id="rIddghxr6kmihgcfbec26moc">
        <w:r>
          <w:rPr>
            <w:rStyle w:val="Hyperlink"/>
          </w:rPr>
          <w:t xml:space="preserve">Mass. Section 3A unit-capacity model methodology</w:t>
        </w:r>
      </w:hyperlink>
      <w:r>
        <w:rPr>
          <w:color w:val="595959"/>
          <w:sz w:val="18"/>
          <w:szCs w:val="18"/>
        </w:rPr>
        <w:t xml:space="preserve"> — https://www.mass.gov/doc/section-3a-regulations-compliance-model-methodology/download</w:t>
      </w:r>
    </w:p>
    <w:p>
      <w:pPr>
        <w:pStyle w:val="ListParagraph"/>
        <w:numPr>
          <w:ilvl w:val="0"/>
          <w:numId w:val="2"/>
        </w:numPr>
        <w:spacing w:after="60"/>
      </w:pPr>
      <w:hyperlink w:history="1" r:id="rIdkzftf1ik5fm_wrifpwlvr">
        <w:r>
          <w:rPr>
            <w:rStyle w:val="Hyperlink"/>
          </w:rPr>
          <w:t xml:space="preserve">Multifamily Executive – area efficiency</w:t>
        </w:r>
      </w:hyperlink>
      <w:r>
        <w:rPr>
          <w:color w:val="595959"/>
          <w:sz w:val="18"/>
          <w:szCs w:val="18"/>
        </w:rPr>
        <w:t xml:space="preserve"> — https://www.multifamilyexecutive.com/design-development/the-intersection-of-unit-and-area-efficiency_o</w:t>
      </w:r>
    </w:p>
    <w:p>
      <w:pPr>
        <w:pStyle w:val="ListParagraph"/>
        <w:numPr>
          <w:ilvl w:val="0"/>
          <w:numId w:val="2"/>
        </w:numPr>
        <w:spacing w:after="60"/>
      </w:pPr>
      <w:hyperlink w:history="1" r:id="rIdfqbojvkpvmniyfyai7n0k">
        <w:r>
          <w:rPr>
            <w:rStyle w:val="Hyperlink"/>
          </w:rPr>
          <w:t xml:space="preserve">WA DSHS AL unit size guidance</w:t>
        </w:r>
      </w:hyperlink>
      <w:r>
        <w:rPr>
          <w:color w:val="595959"/>
          <w:sz w:val="18"/>
          <w:szCs w:val="18"/>
        </w:rPr>
        <w:t xml:space="preserve"> — https://www.dshs.wa.gov/sites/default/files/forms/pdf/10-389ins.pdf</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0A2949"/>
      <w:sz w:val="28"/>
      <w:szCs w:val="28"/>
    </w:rPr>
  </w:style>
  <w:style w:type="paragraph" w:styleId="Heading2">
    <w:name w:val="Heading 2"/>
    <w:basedOn w:val="Normal"/>
    <w:next w:val="Normal"/>
    <w:qFormat/>
    <w:pPr>
      <w:spacing w:after="80" w:before="200"/>
      <w:outlineLvl w:val="1"/>
    </w:pPr>
    <w:rPr>
      <w:b/>
      <w:bCs/>
      <w:color w:val="2D548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9uvscydfxjljxjzxzbkz" Type="http://schemas.openxmlformats.org/officeDocument/2006/relationships/hyperlink" Target="https://www.nic.org/blog/how-much-senior-housing-and-care-inventory-exists-in-the-united-states/" TargetMode="External"/><Relationship Id="rIdxjgpqc8njtgvvlz-6og5b" Type="http://schemas.openxmlformats.org/officeDocument/2006/relationships/hyperlink" Target="https://www.nicmapvision.com/?p=1288" TargetMode="External"/><Relationship Id="rId6fsbyakkz2im0nhfnm_bn" Type="http://schemas.openxmlformats.org/officeDocument/2006/relationships/hyperlink" Target="https://seniorshousingbusiness.com/?p=17573" TargetMode="External"/><Relationship Id="rIdt6tmgp3dbstlcur1bfafn" Type="http://schemas.openxmlformats.org/officeDocument/2006/relationships/hyperlink" Target="https://arxiv.org/abs/2212.14092" TargetMode="External"/><Relationship Id="rIdasq21e1b-alrbkxhj4cv9" Type="http://schemas.openxmlformats.org/officeDocument/2006/relationships/hyperlink" Target="https://health.state.mn.us/facilities/regulation/directory/directorydatafile.html" TargetMode="External"/><Relationship Id="rIdvbeidncszd8jxvavp4ze2" Type="http://schemas.openxmlformats.org/officeDocument/2006/relationships/hyperlink" Target="https://gis-fema.hub.arcgis.com/pages/usa-structures" TargetMode="External"/><Relationship Id="rIdmomlx9-qsvpoccbgiom1g" Type="http://schemas.openxmlformats.org/officeDocument/2006/relationships/hyperlink" Target="https://docs.overturemaps.org/guides/buildings" TargetMode="External"/><Relationship Id="rIdjy74wkgttdukgh4exek4n" Type="http://schemas.openxmlformats.org/officeDocument/2006/relationships/hyperlink" Target="https://support.regrid.com/docs/buildings-structures" TargetMode="External"/><Relationship Id="rIddghxr6kmihgcfbec26moc" Type="http://schemas.openxmlformats.org/officeDocument/2006/relationships/hyperlink" Target="https://www.mass.gov/doc/section-3a-regulations-compliance-model-methodology/download" TargetMode="External"/><Relationship Id="rIdkzftf1ik5fm_wrifpwlvr" Type="http://schemas.openxmlformats.org/officeDocument/2006/relationships/hyperlink" Target="https://www.multifamilyexecutive.com/design-development/the-intersection-of-unit-and-area-efficiency_o" TargetMode="External"/><Relationship Id="rIdfqbojvkpvmniyfyai7n0k" Type="http://schemas.openxmlformats.org/officeDocument/2006/relationships/hyperlink" Target="https://www.dshs.wa.gov/sites/default/files/forms/pdf/10-389ins.pdf"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2026-09-30T19:09:14.256Z</dcterms:created>
  <dcterms:modified xsi:type="dcterms:W3CDTF">2026-09-30T19:09:14.256Z</dcterms:modified>
</cp:coreProperties>
</file>

<file path=docProps/custom.xml><?xml version="1.0" encoding="utf-8"?>
<Properties xmlns="http://schemas.openxmlformats.org/officeDocument/2006/custom-properties" xmlns:vt="http://schemas.openxmlformats.org/officeDocument/2006/docPropsVTypes"/>
</file>