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8"/>
        </w:rPr>
        <w:t>G5 Kickoff Memo</w:t>
      </w:r>
    </w:p>
    <w:p>
      <w:pPr>
        <w:jc w:val="center"/>
      </w:pPr>
      <w:r>
        <w:rPr>
          <w:i/>
          <w:sz w:val="24"/>
        </w:rPr>
        <w:t>From arena-specific discoveries to a reusable proof-language benchmark</w:t>
      </w:r>
    </w:p>
    <w:p/>
    <w:tbl>
      <w:tblPr>
        <w:tblW w:type="auto" w:w="0"/>
        <w:jc w:val="center"/>
        <w:tblLook w:firstColumn="1" w:firstRow="1" w:lastColumn="0" w:lastRow="0" w:noHBand="0" w:noVBand="1" w:val="04A0"/>
      </w:tblPr>
      <w:tblGrid>
        <w:gridCol w:w="10166"/>
      </w:tblGrid>
      <w:tr>
        <w:tc>
          <w:tcPr>
            <w:tcW w:type="dxa" w:w="10166"/>
            <w:shd w:fill="D9EAF7"/>
            <w:vAlign w:val="center"/>
          </w:tcPr>
          <w:p>
            <w:pPr>
              <w:jc w:val="center"/>
            </w:pPr>
            <w:r>
              <w:rPr>
                <w:b/>
                <w:sz w:val="22"/>
              </w:rPr>
              <w:t>NEXT PROJECT — TEST TRANSFER OF THE OPERATIONS AND CRITICAL-MANIFOLD LANGUAGE WITHOUT RETUNING TO G4.</w:t>
            </w:r>
          </w:p>
        </w:tc>
      </w:tr>
    </w:tbl>
    <w:p>
      <w:pPr>
        <w:jc w:val="center"/>
      </w:pPr>
      <w:r>
        <w:rPr>
          <w:sz w:val="18"/>
        </w:rPr>
        <w:t>Frozen research handoff generated from the G4 interactive exact-enumeration session.</w:t>
      </w:r>
    </w:p>
    <w:p>
      <w:pPr>
        <w:jc w:val="center"/>
      </w:pPr>
      <w:r>
        <w:rPr>
          <w:b/>
        </w:rPr>
        <w:t>11 August 2026</w:t>
      </w:r>
    </w:p>
    <w:p>
      <w:r>
        <w:br w:type="page"/>
      </w:r>
    </w:p>
    <w:p>
      <w:pPr>
        <w:pStyle w:val="Heading1"/>
      </w:pPr>
      <w:r>
        <w:t>Mission</w:t>
      </w:r>
    </w:p>
    <w:p>
      <w:r>
        <w:t>G5 should stop asking whether one more small endgame can be compressed. Four stages of evidence now suggest a more ambitious question: can the proof operations themselves be specified as a reusable, arena-agnostic language and evaluated prospectively on unseen finite chess arenas?</w:t>
      </w:r>
    </w:p>
    <w:p>
      <w:pPr>
        <w:pStyle w:val="Heading1"/>
      </w:pPr>
      <w:r>
        <w:t>1. Starting evidence</w:t>
      </w:r>
    </w:p>
    <w:p>
      <w:r>
        <w:t>Pilot 1 found hierarchical compression into race surfaces and local diagonal grammars, with a mobile-king complexity warning. Pilot 2 independently produced exact lower-material inheritance and a semantic cooperative target; G3 added a predicate-union return bridge and froze a near-lookup-scale final blockade boundary. G4 now shows the operations transfer again in a three-pawn race arena: PROJECT→INHERITS certifies a large exact region, an independent semantic target works under strict reachability, union bridging adds further coverage, and the surviving WK-sensitive region localizes to a thin multi-clock slab plus a small blockade singularity.</w:t>
      </w:r>
    </w:p>
    <w:p>
      <w:pPr>
        <w:pStyle w:val="Heading1"/>
      </w:pPr>
      <w:r>
        <w:t>2. North-star question</w:t>
      </w:r>
    </w:p>
    <w:p>
      <w:r>
        <w:t>Can a fixed proof-language—defined before seeing the next arena's outcome table—discover exact certified regions whose coverage grows materially faster than description cost, and can it predict where its own compression will fail?</w:t>
      </w:r>
    </w:p>
    <w:p>
      <w:pPr>
        <w:pStyle w:val="Heading1"/>
      </w:pPr>
      <w:r>
        <w:t>3. Recommended G5 design: prospective transfer benchmark</w:t>
      </w:r>
    </w:p>
    <w:p>
      <w:r>
        <w:t>Use a small suite of two or three predeclared exact arenas rather than one hand-selected ending. At least one should contain a non-pawn piece so the movement topology changes beyond G4. The original G4 primary K+B+P vs K+N idea should return, but only after choosing a tractable slice prospectively. Pair it with a second compact arena chosen for a different topology, for example a restricted rook-pawn or knight-pawn race with lower-material transitions.</w:t>
      </w:r>
    </w:p>
    <w:p>
      <w:r>
        <w:t>The critical methodological change is that the proof-operation library and candidate feature grammar are frozen before the outcome solves are inspected. Arena restrictions may be chosen for tractability, but not after observing which restrictions produce attractive symbolic results.</w:t>
      </w:r>
    </w:p>
    <w:p>
      <w:pPr>
        <w:pStyle w:val="Heading1"/>
      </w:pPr>
      <w:r>
        <w:t>4. Freeze the proof language before solving</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pPr>
              <w:spacing w:after="20"/>
            </w:pPr>
            <w:r>
              <w:rPr>
                <w:b/>
                <w:sz w:val="17"/>
              </w:rPr>
              <w:t>Operation</w:t>
            </w:r>
          </w:p>
        </w:tc>
        <w:tc>
          <w:tcPr>
            <w:tcW w:type="dxa" w:w="5083"/>
            <w:shd w:fill="D9EAF7"/>
            <w:vAlign w:val="center"/>
          </w:tcPr>
          <w:p>
            <w:pPr>
              <w:spacing w:after="20"/>
            </w:pPr>
            <w:r>
              <w:rPr>
                <w:b/>
                <w:sz w:val="17"/>
              </w:rPr>
              <w:t>Prospective G5 meaning</w:t>
            </w:r>
          </w:p>
        </w:tc>
      </w:tr>
      <w:tr>
        <w:tc>
          <w:tcPr>
            <w:tcW w:type="dxa" w:w="5083"/>
            <w:vAlign w:val="center"/>
          </w:tcPr>
          <w:p>
            <w:pPr>
              <w:spacing w:after="20"/>
            </w:pPr>
            <w:r>
              <w:rPr>
                <w:sz w:val="17"/>
              </w:rPr>
              <w:t>PROJECT</w:t>
            </w:r>
          </w:p>
        </w:tc>
        <w:tc>
          <w:tcPr>
            <w:tcW w:type="dxa" w:w="5083"/>
            <w:vAlign w:val="center"/>
          </w:tcPr>
          <w:p>
            <w:pPr>
              <w:spacing w:after="20"/>
            </w:pPr>
            <w:r>
              <w:rPr>
                <w:sz w:val="17"/>
              </w:rPr>
              <w:t>Map a state to exact lower-material subgames under declared deletion/reduction maps.</w:t>
            </w:r>
          </w:p>
        </w:tc>
      </w:tr>
      <w:tr>
        <w:tc>
          <w:tcPr>
            <w:tcW w:type="dxa" w:w="5083"/>
            <w:vAlign w:val="center"/>
          </w:tcPr>
          <w:p>
            <w:pPr>
              <w:spacing w:after="20"/>
            </w:pPr>
            <w:r>
              <w:rPr>
                <w:sz w:val="17"/>
              </w:rPr>
              <w:t>INHERITS</w:t>
            </w:r>
          </w:p>
        </w:tc>
        <w:tc>
          <w:tcPr>
            <w:tcW w:type="dxa" w:w="5083"/>
            <w:vAlign w:val="center"/>
          </w:tcPr>
          <w:p>
            <w:pPr>
              <w:spacing w:after="20"/>
            </w:pPr>
            <w:r>
              <w:rPr>
                <w:sz w:val="17"/>
              </w:rPr>
              <w:t>Test restoration implications; require explicit semantic exception families.</w:t>
            </w:r>
          </w:p>
        </w:tc>
      </w:tr>
      <w:tr>
        <w:tc>
          <w:tcPr>
            <w:tcW w:type="dxa" w:w="5083"/>
            <w:vAlign w:val="center"/>
          </w:tcPr>
          <w:p>
            <w:pPr>
              <w:spacing w:after="20"/>
            </w:pPr>
            <w:r>
              <w:rPr>
                <w:sz w:val="17"/>
              </w:rPr>
              <w:t>TARGET</w:t>
            </w:r>
          </w:p>
        </w:tc>
        <w:tc>
          <w:tcPr>
            <w:tcW w:type="dxa" w:w="5083"/>
            <w:vAlign w:val="center"/>
          </w:tcPr>
          <w:p>
            <w:pPr>
              <w:spacing w:after="20"/>
            </w:pPr>
            <w:r>
              <w:rPr>
                <w:sz w:val="17"/>
              </w:rPr>
              <w:t>Declare an exact semantic predicate using the frozen feature vocabulary.</w:t>
            </w:r>
          </w:p>
        </w:tc>
      </w:tr>
      <w:tr>
        <w:tc>
          <w:tcPr>
            <w:tcW w:type="dxa" w:w="5083"/>
            <w:vAlign w:val="center"/>
          </w:tcPr>
          <w:p>
            <w:pPr>
              <w:spacing w:after="20"/>
            </w:pPr>
            <w:r>
              <w:rPr>
                <w:sz w:val="17"/>
              </w:rPr>
              <w:t>ATTRACTOR</w:t>
            </w:r>
          </w:p>
        </w:tc>
        <w:tc>
          <w:tcPr>
            <w:tcW w:type="dxa" w:w="5083"/>
            <w:vAlign w:val="center"/>
          </w:tcPr>
          <w:p>
            <w:pPr>
              <w:spacing w:after="20"/>
            </w:pPr>
            <w:r>
              <w:rPr>
                <w:sz w:val="17"/>
              </w:rPr>
              <w:t>Strict exists/forall reachability to a target; shortcuts are failures unless declared.</w:t>
            </w:r>
          </w:p>
        </w:tc>
      </w:tr>
      <w:tr>
        <w:tc>
          <w:tcPr>
            <w:tcW w:type="dxa" w:w="5083"/>
            <w:vAlign w:val="center"/>
          </w:tcPr>
          <w:p>
            <w:pPr>
              <w:spacing w:after="20"/>
            </w:pPr>
            <w:r>
              <w:rPr>
                <w:sz w:val="17"/>
              </w:rPr>
              <w:t>BRIDGE</w:t>
            </w:r>
          </w:p>
        </w:tc>
        <w:tc>
          <w:tcPr>
            <w:tcW w:type="dxa" w:w="5083"/>
            <w:vAlign w:val="center"/>
          </w:tcPr>
          <w:p>
            <w:pPr>
              <w:spacing w:after="20"/>
            </w:pPr>
            <w:r>
              <w:rPr>
                <w:sz w:val="17"/>
              </w:rPr>
              <w:t>Strict reachability to the union of already certified predicates.</w:t>
            </w:r>
          </w:p>
        </w:tc>
      </w:tr>
      <w:tr>
        <w:tc>
          <w:tcPr>
            <w:tcW w:type="dxa" w:w="5083"/>
            <w:vAlign w:val="center"/>
          </w:tcPr>
          <w:p>
            <w:pPr>
              <w:spacing w:after="20"/>
            </w:pPr>
            <w:r>
              <w:rPr>
                <w:sz w:val="17"/>
              </w:rPr>
              <w:t>RESIDUAL</w:t>
            </w:r>
          </w:p>
        </w:tc>
        <w:tc>
          <w:tcPr>
            <w:tcW w:type="dxa" w:w="5083"/>
            <w:vAlign w:val="center"/>
          </w:tcPr>
          <w:p>
            <w:pPr>
              <w:spacing w:after="20"/>
            </w:pPr>
            <w:r>
              <w:rPr>
                <w:sz w:val="17"/>
              </w:rPr>
              <w:t>Subtract certified layers without changing truth semantics.</w:t>
            </w:r>
          </w:p>
        </w:tc>
      </w:tr>
      <w:tr>
        <w:tc>
          <w:tcPr>
            <w:tcW w:type="dxa" w:w="5083"/>
            <w:vAlign w:val="center"/>
          </w:tcPr>
          <w:p>
            <w:pPr>
              <w:spacing w:after="20"/>
            </w:pPr>
            <w:r>
              <w:rPr>
                <w:sz w:val="17"/>
              </w:rPr>
              <w:t>GROUP_OUT</w:t>
            </w:r>
          </w:p>
        </w:tc>
        <w:tc>
          <w:tcPr>
            <w:tcW w:type="dxa" w:w="5083"/>
            <w:vAlign w:val="center"/>
          </w:tcPr>
          <w:p>
            <w:pPr>
              <w:spacing w:after="20"/>
            </w:pPr>
            <w:r>
              <w:rPr>
                <w:sz w:val="17"/>
              </w:rPr>
              <w:t>Measure which piece coordinates remain outcome-relevant.</w:t>
            </w:r>
          </w:p>
        </w:tc>
      </w:tr>
      <w:tr>
        <w:tc>
          <w:tcPr>
            <w:tcW w:type="dxa" w:w="5083"/>
            <w:vAlign w:val="center"/>
          </w:tcPr>
          <w:p>
            <w:pPr>
              <w:spacing w:after="20"/>
            </w:pPr>
            <w:r>
              <w:rPr>
                <w:sz w:val="17"/>
              </w:rPr>
              <w:t>LOCALIZE</w:t>
            </w:r>
          </w:p>
        </w:tc>
        <w:tc>
          <w:tcPr>
            <w:tcW w:type="dxa" w:w="5083"/>
            <w:vAlign w:val="center"/>
          </w:tcPr>
          <w:p>
            <w:pPr>
              <w:spacing w:after="20"/>
            </w:pPr>
            <w:r>
              <w:rPr>
                <w:sz w:val="17"/>
              </w:rPr>
              <w:t>Test frozen race/interception/contact surfaces before local grammar fitting.</w:t>
            </w:r>
          </w:p>
        </w:tc>
      </w:tr>
      <w:tr>
        <w:tc>
          <w:tcPr>
            <w:tcW w:type="dxa" w:w="5083"/>
            <w:vAlign w:val="center"/>
          </w:tcPr>
          <w:p>
            <w:pPr>
              <w:spacing w:after="20"/>
            </w:pPr>
            <w:r>
              <w:rPr>
                <w:sz w:val="17"/>
              </w:rPr>
              <w:t>STOP</w:t>
            </w:r>
          </w:p>
        </w:tc>
        <w:tc>
          <w:tcPr>
            <w:tcW w:type="dxa" w:w="5083"/>
            <w:vAlign w:val="center"/>
          </w:tcPr>
          <w:p>
            <w:pPr>
              <w:spacing w:after="20"/>
            </w:pPr>
            <w:r>
              <w:rPr>
                <w:sz w:val="17"/>
              </w:rPr>
              <w:t>Freeze when exact description cost approaches lookup scale.</w:t>
            </w:r>
          </w:p>
        </w:tc>
      </w:tr>
      <w:tr>
        <w:tc>
          <w:tcPr>
            <w:tcW w:type="dxa" w:w="5083"/>
            <w:vAlign w:val="center"/>
          </w:tcPr>
          <w:p>
            <w:pPr>
              <w:spacing w:after="20"/>
            </w:pPr>
            <w:r>
              <w:rPr>
                <w:sz w:val="17"/>
              </w:rPr>
              <w:t>CERTIFY</w:t>
            </w:r>
          </w:p>
        </w:tc>
        <w:tc>
          <w:tcPr>
            <w:tcW w:type="dxa" w:w="5083"/>
            <w:vAlign w:val="center"/>
          </w:tcPr>
          <w:p>
            <w:pPr>
              <w:spacing w:after="20"/>
            </w:pPr>
            <w:r>
              <w:rPr>
                <w:sz w:val="17"/>
              </w:rPr>
              <w:t>Emit deterministic hashes, scans, ranks, exceptions, and independent regressions.</w:t>
            </w:r>
          </w:p>
        </w:tc>
      </w:tr>
    </w:tbl>
    <w:p>
      <w:pPr>
        <w:pStyle w:val="Heading1"/>
      </w:pPr>
      <w:r>
        <w:t>5. Freeze a candidate semantic vocabulary</w:t>
      </w:r>
    </w:p>
    <w:p>
      <w:pPr>
        <w:pStyle w:val="ListBullet"/>
      </w:pPr>
      <w:r>
        <w:t>Tempo-adjusted promotion/race clocks in plies.</w:t>
      </w:r>
    </w:p>
    <w:p>
      <w:pPr>
        <w:pStyle w:val="ListBullet"/>
      </w:pPr>
      <w:r>
        <w:t>King interception time to current piece fronts and moving paths.</w:t>
      </w:r>
    </w:p>
    <w:p>
      <w:pPr>
        <w:pStyle w:val="ListBullet"/>
      </w:pPr>
      <w:r>
        <w:t>Support/contact relations and defended critical squares.</w:t>
      </w:r>
    </w:p>
    <w:p>
      <w:pPr>
        <w:pStyle w:val="ListBullet"/>
      </w:pPr>
      <w:r>
        <w:t>Corridor/manifold distance for fixed pawn files or colour complexes.</w:t>
      </w:r>
    </w:p>
    <w:p>
      <w:pPr>
        <w:pStyle w:val="ListBullet"/>
      </w:pPr>
      <w:r>
        <w:t>Relative rank/file orientation rather than raw square IDs.</w:t>
      </w:r>
    </w:p>
    <w:p>
      <w:pPr>
        <w:pStyle w:val="ListBullet"/>
      </w:pPr>
      <w:r>
        <w:t>Lower-material outcome labels from exact projected subgames.</w:t>
      </w:r>
    </w:p>
    <w:p>
      <w:pPr>
        <w:pStyle w:val="ListBullet"/>
      </w:pPr>
      <w:r>
        <w:t>Piece mobility class and local access distances.</w:t>
      </w:r>
    </w:p>
    <w:p>
      <w:pPr>
        <w:pStyle w:val="ListBullet"/>
      </w:pPr>
      <w:r>
        <w:t>Symmetry-canonical coordinates.</w:t>
      </w:r>
    </w:p>
    <w:p>
      <w:pPr>
        <w:pStyle w:val="ListBullet"/>
      </w:pPr>
      <w:r>
        <w:t>One-move neighbourhoods of equality surfaces as a predeclared critical-slab template.</w:t>
      </w:r>
    </w:p>
    <w:p>
      <w:pPr>
        <w:pStyle w:val="ListBullet"/>
      </w:pPr>
      <w:r>
        <w:t>Blockade-conversion template: coarse clocks favour one side, but local king topology controls conversion.</w:t>
      </w:r>
    </w:p>
    <w:p>
      <w:pPr>
        <w:pStyle w:val="Heading1"/>
      </w:pPr>
      <w:r>
        <w:t>6. Required phases</w:t>
      </w:r>
    </w:p>
    <w:p>
      <w:pPr>
        <w:pStyle w:val="Heading2"/>
      </w:pPr>
      <w:r>
        <w:t>A. Harness certification</w:t>
      </w:r>
    </w:p>
    <w:p>
      <w:r>
        <w:t>Turn the G4/Pilot operations into one generic finite-game harness. Reproduce Pilot 2/G3 and G4 checksums before new inference.</w:t>
      </w:r>
    </w:p>
    <w:p>
      <w:pPr>
        <w:pStyle w:val="Heading2"/>
      </w:pPr>
      <w:r>
        <w:t>B. Prospective arena freeze</w:t>
      </w:r>
    </w:p>
    <w:p>
      <w:r>
        <w:t>Declare all material/file/rank/colour restrictions, terminal semantics, symmetries, and lower-material projections before solving.</w:t>
      </w:r>
    </w:p>
    <w:p>
      <w:pPr>
        <w:pStyle w:val="Heading2"/>
      </w:pPr>
      <w:r>
        <w:t>C. Blind exact solves</w:t>
      </w:r>
    </w:p>
    <w:p>
      <w:r>
        <w:t>Compute exact W/D/L truth and rank histograms, but keep the symbolic-discovery procedure fixed.</w:t>
      </w:r>
    </w:p>
    <w:p>
      <w:pPr>
        <w:pStyle w:val="Heading2"/>
      </w:pPr>
      <w:r>
        <w:t>D. Automatic projection sweep</w:t>
      </w:r>
    </w:p>
    <w:p>
      <w:r>
        <w:t>Apply PROJECT/INHERITS systematically and classify counterexamples by the frozen semantic vocabulary.</w:t>
      </w:r>
    </w:p>
    <w:p>
      <w:pPr>
        <w:pStyle w:val="Heading2"/>
      </w:pPr>
      <w:r>
        <w:t>E. Predicate proposal</w:t>
      </w:r>
    </w:p>
    <w:p>
      <w:r>
        <w:t>Search only the frozen semantic atoms/templates. Promote zero-counterexample predicates; record description length.</w:t>
      </w:r>
    </w:p>
    <w:p>
      <w:pPr>
        <w:pStyle w:val="Heading2"/>
      </w:pPr>
      <w:r>
        <w:t>F. Strict composition</w:t>
      </w:r>
    </w:p>
    <w:p>
      <w:r>
        <w:t>Run TARGET/ATTRACTOR and then BRIDGE exactly as in G3/G4.</w:t>
      </w:r>
    </w:p>
    <w:p>
      <w:pPr>
        <w:pStyle w:val="Heading2"/>
      </w:pPr>
      <w:r>
        <w:t>G. Critical-manifold audit</w:t>
      </w:r>
    </w:p>
    <w:p>
      <w:r>
        <w:t>After robust interior removal, test whether mixed geometries localize to equality/near-equality slabs or movement manifolds.</w:t>
      </w:r>
    </w:p>
    <w:p>
      <w:pPr>
        <w:pStyle w:val="Heading2"/>
      </w:pPr>
      <w:r>
        <w:t>H. Bounded local grammar</w:t>
      </w:r>
    </w:p>
    <w:p>
      <w:r>
        <w:t>Fit only the predeclared local DSL. Stop at the declared description-cost threshold.</w:t>
      </w:r>
    </w:p>
    <w:p>
      <w:pPr>
        <w:pStyle w:val="Heading2"/>
      </w:pPr>
      <w:r>
        <w:t>I. Cross-arena scoring</w:t>
      </w:r>
    </w:p>
    <w:p>
      <w:r>
        <w:t>Compare proof-operation reuse, coverage, description cost, residual codimension, and exception-family reuse across arenas.</w:t>
      </w:r>
    </w:p>
    <w:p>
      <w:pPr>
        <w:pStyle w:val="Heading1"/>
      </w:pPr>
      <w:r>
        <w:t>7. Quantitative dashboard</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pPr>
              <w:spacing w:after="20"/>
            </w:pPr>
            <w:r>
              <w:rPr>
                <w:b/>
                <w:sz w:val="17"/>
              </w:rPr>
              <w:t>Metric</w:t>
            </w:r>
          </w:p>
        </w:tc>
        <w:tc>
          <w:tcPr>
            <w:tcW w:type="dxa" w:w="5083"/>
            <w:shd w:fill="D9EAF7"/>
            <w:vAlign w:val="center"/>
          </w:tcPr>
          <w:p>
            <w:pPr>
              <w:spacing w:after="20"/>
            </w:pPr>
            <w:r>
              <w:rPr>
                <w:b/>
                <w:sz w:val="17"/>
              </w:rPr>
              <w:t>Why it matters</w:t>
            </w:r>
          </w:p>
        </w:tc>
      </w:tr>
      <w:tr>
        <w:tc>
          <w:tcPr>
            <w:tcW w:type="dxa" w:w="5083"/>
            <w:vAlign w:val="center"/>
          </w:tcPr>
          <w:p>
            <w:pPr>
              <w:spacing w:after="20"/>
            </w:pPr>
            <w:r>
              <w:rPr>
                <w:sz w:val="17"/>
              </w:rPr>
              <w:t>Raw/static-valid states</w:t>
            </w:r>
          </w:p>
        </w:tc>
        <w:tc>
          <w:tcPr>
            <w:tcW w:type="dxa" w:w="5083"/>
            <w:vAlign w:val="center"/>
          </w:tcPr>
          <w:p>
            <w:pPr>
              <w:spacing w:after="20"/>
            </w:pPr>
            <w:r>
              <w:rPr>
                <w:sz w:val="17"/>
              </w:rPr>
              <w:t>Scale and checksum</w:t>
            </w:r>
          </w:p>
        </w:tc>
      </w:tr>
      <w:tr>
        <w:tc>
          <w:tcPr>
            <w:tcW w:type="dxa" w:w="5083"/>
            <w:vAlign w:val="center"/>
          </w:tcPr>
          <w:p>
            <w:pPr>
              <w:spacing w:after="20"/>
            </w:pPr>
            <w:r>
              <w:rPr>
                <w:sz w:val="17"/>
              </w:rPr>
              <w:t>Exact W/D/L basins + ranks</w:t>
            </w:r>
          </w:p>
        </w:tc>
        <w:tc>
          <w:tcPr>
            <w:tcW w:type="dxa" w:w="5083"/>
            <w:vAlign w:val="center"/>
          </w:tcPr>
          <w:p>
            <w:pPr>
              <w:spacing w:after="20"/>
            </w:pPr>
            <w:r>
              <w:rPr>
                <w:sz w:val="17"/>
              </w:rPr>
              <w:t>Ground truth</w:t>
            </w:r>
          </w:p>
        </w:tc>
      </w:tr>
      <w:tr>
        <w:tc>
          <w:tcPr>
            <w:tcW w:type="dxa" w:w="5083"/>
            <w:vAlign w:val="center"/>
          </w:tcPr>
          <w:p>
            <w:pPr>
              <w:spacing w:after="20"/>
            </w:pPr>
            <w:r>
              <w:rPr>
                <w:sz w:val="17"/>
              </w:rPr>
              <w:t>Inherited exact coverage</w:t>
            </w:r>
          </w:p>
        </w:tc>
        <w:tc>
          <w:tcPr>
            <w:tcW w:type="dxa" w:w="5083"/>
            <w:vAlign w:val="center"/>
          </w:tcPr>
          <w:p>
            <w:pPr>
              <w:spacing w:after="20"/>
            </w:pPr>
            <w:r>
              <w:rPr>
                <w:sz w:val="17"/>
              </w:rPr>
              <w:t>Lower-material reuse</w:t>
            </w:r>
          </w:p>
        </w:tc>
      </w:tr>
      <w:tr>
        <w:tc>
          <w:tcPr>
            <w:tcW w:type="dxa" w:w="5083"/>
            <w:vAlign w:val="center"/>
          </w:tcPr>
          <w:p>
            <w:pPr>
              <w:spacing w:after="20"/>
            </w:pPr>
            <w:r>
              <w:rPr>
                <w:sz w:val="17"/>
              </w:rPr>
              <w:t>Exception-family description length</w:t>
            </w:r>
          </w:p>
        </w:tc>
        <w:tc>
          <w:tcPr>
            <w:tcW w:type="dxa" w:w="5083"/>
            <w:vAlign w:val="center"/>
          </w:tcPr>
          <w:p>
            <w:pPr>
              <w:spacing w:after="20"/>
            </w:pPr>
            <w:r>
              <w:rPr>
                <w:sz w:val="17"/>
              </w:rPr>
              <w:t>Whether inheritance is semantic or lookup-like</w:t>
            </w:r>
          </w:p>
        </w:tc>
      </w:tr>
      <w:tr>
        <w:tc>
          <w:tcPr>
            <w:tcW w:type="dxa" w:w="5083"/>
            <w:vAlign w:val="center"/>
          </w:tcPr>
          <w:p>
            <w:pPr>
              <w:spacing w:after="20"/>
            </w:pPr>
            <w:r>
              <w:rPr>
                <w:sz w:val="17"/>
              </w:rPr>
              <w:t>Direct target size</w:t>
            </w:r>
          </w:p>
        </w:tc>
        <w:tc>
          <w:tcPr>
            <w:tcW w:type="dxa" w:w="5083"/>
            <w:vAlign w:val="center"/>
          </w:tcPr>
          <w:p>
            <w:pPr>
              <w:spacing w:after="20"/>
            </w:pPr>
            <w:r>
              <w:rPr>
                <w:sz w:val="17"/>
              </w:rPr>
              <w:t>Predicate strength</w:t>
            </w:r>
          </w:p>
        </w:tc>
      </w:tr>
      <w:tr>
        <w:tc>
          <w:tcPr>
            <w:tcW w:type="dxa" w:w="5083"/>
            <w:vAlign w:val="center"/>
          </w:tcPr>
          <w:p>
            <w:pPr>
              <w:spacing w:after="20"/>
            </w:pPr>
            <w:r>
              <w:rPr>
                <w:sz w:val="17"/>
              </w:rPr>
              <w:t>Strict target attractor size</w:t>
            </w:r>
          </w:p>
        </w:tc>
        <w:tc>
          <w:tcPr>
            <w:tcW w:type="dxa" w:w="5083"/>
            <w:vAlign w:val="center"/>
          </w:tcPr>
          <w:p>
            <w:pPr>
              <w:spacing w:after="20"/>
            </w:pPr>
            <w:r>
              <w:rPr>
                <w:sz w:val="17"/>
              </w:rPr>
              <w:t>True stepping-stone value</w:t>
            </w:r>
          </w:p>
        </w:tc>
      </w:tr>
      <w:tr>
        <w:tc>
          <w:tcPr>
            <w:tcW w:type="dxa" w:w="5083"/>
            <w:vAlign w:val="center"/>
          </w:tcPr>
          <w:p>
            <w:pPr>
              <w:spacing w:after="20"/>
            </w:pPr>
            <w:r>
              <w:rPr>
                <w:sz w:val="17"/>
              </w:rPr>
              <w:t>Union-bridge increment</w:t>
            </w:r>
          </w:p>
        </w:tc>
        <w:tc>
          <w:tcPr>
            <w:tcW w:type="dxa" w:w="5083"/>
            <w:vAlign w:val="center"/>
          </w:tcPr>
          <w:p>
            <w:pPr>
              <w:spacing w:after="20"/>
            </w:pPr>
            <w:r>
              <w:rPr>
                <w:sz w:val="17"/>
              </w:rPr>
              <w:t>Compositional reuse</w:t>
            </w:r>
          </w:p>
        </w:tc>
      </w:tr>
      <w:tr>
        <w:tc>
          <w:tcPr>
            <w:tcW w:type="dxa" w:w="5083"/>
            <w:vAlign w:val="center"/>
          </w:tcPr>
          <w:p>
            <w:pPr>
              <w:spacing w:after="20"/>
            </w:pPr>
            <w:r>
              <w:rPr>
                <w:sz w:val="17"/>
              </w:rPr>
              <w:t>Combined exact coverage</w:t>
            </w:r>
          </w:p>
        </w:tc>
        <w:tc>
          <w:tcPr>
            <w:tcW w:type="dxa" w:w="5083"/>
            <w:vAlign w:val="center"/>
          </w:tcPr>
          <w:p>
            <w:pPr>
              <w:spacing w:after="20"/>
            </w:pPr>
            <w:r>
              <w:rPr>
                <w:sz w:val="17"/>
              </w:rPr>
              <w:t>Compression achieved</w:t>
            </w:r>
          </w:p>
        </w:tc>
      </w:tr>
      <w:tr>
        <w:tc>
          <w:tcPr>
            <w:tcW w:type="dxa" w:w="5083"/>
            <w:vAlign w:val="center"/>
          </w:tcPr>
          <w:p>
            <w:pPr>
              <w:spacing w:after="20"/>
            </w:pPr>
            <w:r>
              <w:rPr>
                <w:sz w:val="17"/>
              </w:rPr>
              <w:t>Mixed reduced geometries</w:t>
            </w:r>
          </w:p>
        </w:tc>
        <w:tc>
          <w:tcPr>
            <w:tcW w:type="dxa" w:w="5083"/>
            <w:vAlign w:val="center"/>
          </w:tcPr>
          <w:p>
            <w:pPr>
              <w:spacing w:after="20"/>
            </w:pPr>
            <w:r>
              <w:rPr>
                <w:sz w:val="17"/>
              </w:rPr>
              <w:t>Boundary size</w:t>
            </w:r>
          </w:p>
        </w:tc>
      </w:tr>
      <w:tr>
        <w:tc>
          <w:tcPr>
            <w:tcW w:type="dxa" w:w="5083"/>
            <w:vAlign w:val="center"/>
          </w:tcPr>
          <w:p>
            <w:pPr>
              <w:spacing w:after="20"/>
            </w:pPr>
            <w:r>
              <w:rPr>
                <w:sz w:val="17"/>
              </w:rPr>
              <w:t>Critical-slab coverage</w:t>
            </w:r>
          </w:p>
        </w:tc>
        <w:tc>
          <w:tcPr>
            <w:tcW w:type="dxa" w:w="5083"/>
            <w:vAlign w:val="center"/>
          </w:tcPr>
          <w:p>
            <w:pPr>
              <w:spacing w:after="20"/>
            </w:pPr>
            <w:r>
              <w:rPr>
                <w:sz w:val="17"/>
              </w:rPr>
              <w:t>Low-dimensional localization</w:t>
            </w:r>
          </w:p>
        </w:tc>
      </w:tr>
      <w:tr>
        <w:tc>
          <w:tcPr>
            <w:tcW w:type="dxa" w:w="5083"/>
            <w:vAlign w:val="center"/>
          </w:tcPr>
          <w:p>
            <w:pPr>
              <w:spacing w:after="20"/>
            </w:pPr>
            <w:r>
              <w:rPr>
                <w:sz w:val="17"/>
              </w:rPr>
              <w:t>Off-surface residual</w:t>
            </w:r>
          </w:p>
        </w:tc>
        <w:tc>
          <w:tcPr>
            <w:tcW w:type="dxa" w:w="5083"/>
            <w:vAlign w:val="center"/>
          </w:tcPr>
          <w:p>
            <w:pPr>
              <w:spacing w:after="20"/>
            </w:pPr>
            <w:r>
              <w:rPr>
                <w:sz w:val="17"/>
              </w:rPr>
              <w:t>Singularity size</w:t>
            </w:r>
          </w:p>
        </w:tc>
      </w:tr>
      <w:tr>
        <w:tc>
          <w:tcPr>
            <w:tcW w:type="dxa" w:w="5083"/>
            <w:vAlign w:val="center"/>
          </w:tcPr>
          <w:p>
            <w:pPr>
              <w:spacing w:after="20"/>
            </w:pPr>
            <w:r>
              <w:rPr>
                <w:sz w:val="17"/>
              </w:rPr>
              <w:t>Exact grammar leaves / AST nodes</w:t>
            </w:r>
          </w:p>
        </w:tc>
        <w:tc>
          <w:tcPr>
            <w:tcW w:type="dxa" w:w="5083"/>
            <w:vAlign w:val="center"/>
          </w:tcPr>
          <w:p>
            <w:pPr>
              <w:spacing w:after="20"/>
            </w:pPr>
            <w:r>
              <w:rPr>
                <w:sz w:val="17"/>
              </w:rPr>
              <w:t>Description cost</w:t>
            </w:r>
          </w:p>
        </w:tc>
      </w:tr>
      <w:tr>
        <w:tc>
          <w:tcPr>
            <w:tcW w:type="dxa" w:w="5083"/>
            <w:vAlign w:val="center"/>
          </w:tcPr>
          <w:p>
            <w:pPr>
              <w:spacing w:after="20"/>
            </w:pPr>
            <w:r>
              <w:rPr>
                <w:sz w:val="17"/>
              </w:rPr>
              <w:t>Cross-arena atom/template reuse</w:t>
            </w:r>
          </w:p>
        </w:tc>
        <w:tc>
          <w:tcPr>
            <w:tcW w:type="dxa" w:w="5083"/>
            <w:vAlign w:val="center"/>
          </w:tcPr>
          <w:p>
            <w:pPr>
              <w:spacing w:after="20"/>
            </w:pPr>
            <w:r>
              <w:rPr>
                <w:sz w:val="17"/>
              </w:rPr>
              <w:t>Actual proof-language transfer</w:t>
            </w:r>
          </w:p>
        </w:tc>
      </w:tr>
      <w:tr>
        <w:tc>
          <w:tcPr>
            <w:tcW w:type="dxa" w:w="5083"/>
            <w:vAlign w:val="center"/>
          </w:tcPr>
          <w:p>
            <w:pPr>
              <w:spacing w:after="20"/>
            </w:pPr>
            <w:r>
              <w:rPr>
                <w:sz w:val="17"/>
              </w:rPr>
              <w:t>Certificate/regression failures</w:t>
            </w:r>
          </w:p>
        </w:tc>
        <w:tc>
          <w:tcPr>
            <w:tcW w:type="dxa" w:w="5083"/>
            <w:vAlign w:val="center"/>
          </w:tcPr>
          <w:p>
            <w:pPr>
              <w:spacing w:after="20"/>
            </w:pPr>
            <w:r>
              <w:rPr>
                <w:sz w:val="17"/>
              </w:rPr>
              <w:t>Implementation risk</w:t>
            </w:r>
          </w:p>
        </w:tc>
      </w:tr>
    </w:tbl>
    <w:p>
      <w:pPr>
        <w:pStyle w:val="Heading1"/>
      </w:pPr>
      <w:r>
        <w:t>8. G5 advance criteria</w:t>
      </w:r>
    </w:p>
    <w:p>
      <w:pPr>
        <w:pStyle w:val="ListBullet"/>
      </w:pPr>
      <w:r>
        <w:t>At least two arenas are solved under the same predeclared proof-operation harness.</w:t>
      </w:r>
    </w:p>
    <w:p>
      <w:pPr>
        <w:pStyle w:val="ListBullet"/>
      </w:pPr>
      <w:r>
        <w:t>At least one exact inheritance or restoration rule transfers in form without arena-specific square identifiers.</w:t>
      </w:r>
    </w:p>
    <w:p>
      <w:pPr>
        <w:pStyle w:val="ListBullet"/>
      </w:pPr>
      <w:r>
        <w:t>At least one semantic target in each arena functions under strict adversarial reachability.</w:t>
      </w:r>
    </w:p>
    <w:p>
      <w:pPr>
        <w:pStyle w:val="ListBullet"/>
      </w:pPr>
      <w:r>
        <w:t>At least one arena gains additional states from predicate-union bridging.</w:t>
      </w:r>
    </w:p>
    <w:p>
      <w:pPr>
        <w:pStyle w:val="ListBullet"/>
      </w:pPr>
      <w:r>
        <w:t>The frozen critical-slab vocabulary localizes a substantial majority of the mixed frontier in at least one genuinely new movement topology.</w:t>
      </w:r>
    </w:p>
    <w:p>
      <w:pPr>
        <w:pStyle w:val="ListBullet"/>
      </w:pPr>
      <w:r>
        <w:t>Combined certified coverage grows faster than predicate/grammar description cost across the benchmark, not merely in one arena.</w:t>
      </w:r>
    </w:p>
    <w:p>
      <w:pPr>
        <w:pStyle w:val="ListBullet"/>
      </w:pPr>
      <w:r>
        <w:t>At least one clean negative result is preserved without retuning the vocabulary.</w:t>
      </w:r>
    </w:p>
    <w:p>
      <w:pPr>
        <w:pStyle w:val="ListBullet"/>
      </w:pPr>
      <w:r>
        <w:t>Final local grammar is stopped when the predeclared lookup-scale threshold is reached.</w:t>
      </w:r>
    </w:p>
    <w:p>
      <w:pPr>
        <w:pStyle w:val="Heading1"/>
      </w:pPr>
      <w:r>
        <w:t>9. Failure criteria</w:t>
      </w:r>
    </w:p>
    <w:p>
      <w:pPr>
        <w:pStyle w:val="ListBullet"/>
      </w:pPr>
      <w:r>
        <w:t>Useful results require changing the feature vocabulary separately for each arena.</w:t>
      </w:r>
    </w:p>
    <w:p>
      <w:pPr>
        <w:pStyle w:val="ListBullet"/>
      </w:pPr>
      <w:r>
        <w:t>PROJECT/INHERITS exceptions become heterogeneous square catalogues.</w:t>
      </w:r>
    </w:p>
    <w:p>
      <w:pPr>
        <w:pStyle w:val="ListBullet"/>
      </w:pPr>
      <w:r>
        <w:t>Strict target reachability adds little beyond direct membership across the suite.</w:t>
      </w:r>
    </w:p>
    <w:p>
      <w:pPr>
        <w:pStyle w:val="ListBullet"/>
      </w:pPr>
      <w:r>
        <w:t>Union bridges cease to add meaningful coverage.</w:t>
      </w:r>
    </w:p>
    <w:p>
      <w:pPr>
        <w:pStyle w:val="ListBullet"/>
      </w:pPr>
      <w:r>
        <w:t>Critical mixed regions remain high-dimensional after robust interior subtraction.</w:t>
      </w:r>
    </w:p>
    <w:p>
      <w:pPr>
        <w:pStyle w:val="ListBullet"/>
      </w:pPr>
      <w:r>
        <w:t>Description cost grows roughly in proportion to residual state/geometric count before any stable manifold appears.</w:t>
      </w:r>
    </w:p>
    <w:p>
      <w:pPr>
        <w:pStyle w:val="ListBullet"/>
      </w:pPr>
      <w:r>
        <w:t>Apparent transfer depends on post-hoc arena restrictions.</w:t>
      </w:r>
    </w:p>
    <w:p>
      <w:pPr>
        <w:pStyle w:val="Heading1"/>
      </w:pPr>
      <w:r>
        <w:t>10. Suggested tractable non-pawn arena</w:t>
      </w:r>
    </w:p>
    <w:p>
      <w:r>
        <w:t>Return to restricted K+B+P vs K+N, but make tractability itself part of the prospective design. One reasonable route is to fix the pawn to a central file and narrow its rank band, fix bishop colour, and restrict the knight to a symmetry-complete declared region large enough to preserve genuine knight topology. Before solving, estimate raw/static-valid scale and choose the smallest restriction that remains scientifically nontrivial. Do not shrink the arena after seeing symbolic results.</w:t>
      </w:r>
    </w:p>
    <w:p>
      <w:r>
        <w:t>If that still exceeds the certificate budget, the fallback should be another predeclared non-slider topology rather than another d/e/c pawn variant, because G5's purpose is prospective transfer rather than extracting more percentage from G4.</w:t>
      </w:r>
    </w:p>
    <w:p>
      <w:pPr>
        <w:pStyle w:val="Heading1"/>
      </w:pPr>
      <w:r>
        <w:t>11. Description-cost protocol</w:t>
      </w:r>
    </w:p>
    <w:p>
      <w:r>
        <w:t>G3 and G4 both reached final boundaries where exact trees required roughly one template/leaf per reduced geometry. G5 should make this stopping criterion explicit before inference. For example: report exact semantic separability, exact leaf/AST count, and leaf-to-geometry ratio; freeze the boundary if an exact representation requires more than roughly half as many leaves/templates as residual reduced geometries unless a clearly reusable parameterized family is discovered. The numerical threshold is a research convention, not a theorem, and should be fixed before outcome inspection.</w:t>
      </w:r>
    </w:p>
    <w:p>
      <w:pPr>
        <w:pStyle w:val="Heading1"/>
      </w:pPr>
      <w:r>
        <w:t>12. Research-agent kickoff prompt</w:t>
      </w:r>
    </w:p>
    <w:p>
      <w:pPr>
        <w:pStyle w:val="IntenseQuote"/>
      </w:pPr>
      <w:r>
        <w:t>You are beginning G5 of an exact symbolic-chess research programme. G5 is a prospective transfer benchmark, not another post-hoc compression exercise. Freeze the proof-operation harness and semantic feature vocabulary before inspecting new arena outcome truth. Reproduce the frozen Pilot 2/G3 and G4 checksums first. Then solve at least two predeclared tractable arenas, including at least one with a non-pawn movement topology if computationally feasible.\n\nUse PROJECT, INHERITS, TARGET, ATTRACTOR, BRIDGE, RESIDUAL, GROUP_OUT, LOCALIZE, STOP and CERTIFY as first-class operations. Treat lower-material truth as exact. Any inheritance rule must retain all counterexamples and may be promoted only after its exception family is explicitly stated. Any semantic predicate must be exhaustively zero-counterexample in its stated domain. Strict target reachability must not count promotion, capture or material-reduction shortcuts unless the target definition explicitly includes them.\n\nAfter robust certified layers are removed, test the predeclared critical-manifold vocabulary: tempo-adjusted race clocks, king interception to current fronts and moving paths, support/contact relations, corridor or colour-complex distance, and relative orientation. Measure whether mixed geometries concentrate on exact or one-move-thick equality surfaces. Only then fit a bounded local grammar. Stop when exact description approaches lookup scale rather than adding square-specific exceptions.\n\nScore each arena on exact inherited coverage, target membership, strict attractor coverage, union-bridge increment, residual size, mixed-geometry localization, off-surface singularity size, exact description cost, and the fraction of operations/templates reused unchanged across arenas. Preserve negative results. The north star is not a high coverage percentage in one ending; it is evidence that a fixed proof language can prospectively discover and compose exact chess regions across unseen movement topologies.</w:t>
      </w:r>
    </w:p>
    <w:p>
      <w:pPr>
        <w:pStyle w:val="Heading1"/>
      </w:pPr>
      <w:r>
        <w:t>13. Expected handoff</w:t>
      </w:r>
    </w:p>
    <w:p>
      <w:r>
        <w:t>At G5 close, again produce two documents: (1) a frozen technical handoff containing model, exact results, certificates, falsifications, description-cost audit, and gate verdict only; and (2) a separate G6 memo. Do not mix recommendations into the frozen result.</w:t>
      </w:r>
    </w:p>
    <w:p>
      <w:pPr>
        <w:pStyle w:val="Heading1"/>
      </w:pPr>
      <w:r>
        <w:t>Closing instruction</w:t>
      </w:r>
    </w:p>
    <w:p>
      <w:r>
        <w:t>The strongest G5 result would be prospective transfer: a proof language frozen before seeing the answers still discovers exact inherited regions, semantic stepping stones, bridges, and low-dimensional critical manifolds. A clean failure is equally valuable. If the language has to be rewritten arena by arena, freeze that result rather than hiding it behind higher-capacity classifiers.</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G5 Kickoff Memo  |  11 August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