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color w:val="17365D"/>
          <w:sz w:val="50"/>
        </w:rPr>
        <w:t>G7 Higher-Tree Position Discovery Programme Memo</w:t>
      </w:r>
    </w:p>
    <w:p>
      <w:pPr>
        <w:pStyle w:val="Subtitle"/>
        <w:jc w:val="center"/>
      </w:pPr>
      <w:r>
        <w:rPr>
          <w:rFonts w:ascii="Aptos" w:hAnsi="Aptos"/>
          <w:color w:val="4A5568"/>
          <w:sz w:val="22"/>
        </w:rPr>
        <w:t>Find materially richer positions first; then fire the G6 architecture upward and back across the benchmark corpus</w:t>
      </w:r>
    </w:p>
    <w:p>
      <w:pPr>
        <w:jc w:val="center"/>
      </w:pPr>
      <w:r>
        <w:rPr>
          <w:rFonts w:ascii="Aptos" w:hAnsi="Aptos"/>
          <w:b/>
          <w:color w:val="8A3B12"/>
          <w:sz w:val="20"/>
        </w:rPr>
        <w:t>NEXT PROJECT — STAGED PROSPECTIVE ASCENT ABOVE THE G6 MICRO-ARENAS</w:t>
      </w:r>
    </w:p>
    <w:p>
      <w:pPr>
        <w:jc w:val="center"/>
      </w:pPr>
      <w:r>
        <w:rPr>
          <w:rFonts w:ascii="Aptos" w:hAnsi="Aptos"/>
          <w:color w:val="666666"/>
          <w:sz w:val="18"/>
        </w:rPr>
        <w:t>11 August 2026</w:t>
      </w:r>
    </w:p>
    <w:p>
      <w:pPr>
        <w:pStyle w:val="SmallNote"/>
        <w:jc w:val="center"/>
      </w:pPr>
      <w:r>
        <w:t>Strategy memo generated from the frozen G6 closeout. Recommendations belong here, not in the G6 result handoff.</w:t>
      </w:r>
    </w:p>
    <w:p/>
    <w:tbl>
      <w:tblPr>
        <w:tblStyle w:val="TableGrid"/>
        <w:tblW w:type="auto" w:w="0"/>
        <w:jc w:val="center"/>
        <w:tblLook w:firstColumn="1" w:firstRow="1" w:lastColumn="0" w:lastRow="0" w:noHBand="0" w:noVBand="1" w:val="04A0"/>
      </w:tblPr>
      <w:tblGrid>
        <w:gridCol w:w="9752"/>
      </w:tblGrid>
      <w:tr>
        <w:tc>
          <w:tcPr>
            <w:tcW w:type="dxa" w:w="9752"/>
            <w:shd w:fill="EEF5F9"/>
            <w:tcMar>
              <w:top w:w="120" w:type="dxa"/>
              <w:start w:w="140" w:type="dxa"/>
              <w:bottom w:w="120" w:type="dxa"/>
              <w:end w:w="140" w:type="dxa"/>
            </w:tcMar>
          </w:tcPr>
          <w:p>
            <w:r>
              <w:rPr>
                <w:rFonts w:ascii="Aptos" w:hAnsi="Aptos"/>
                <w:b/>
                <w:color w:val="17365D"/>
                <w:sz w:val="18"/>
              </w:rPr>
              <w:t>Mission</w:t>
              <w:br/>
            </w:r>
            <w:r>
              <w:rPr>
                <w:rFonts w:ascii="Aptos" w:hAnsi="Aptos"/>
                <w:sz w:val="17"/>
              </w:rPr>
              <w:t>G7 should stop expanding the already-mapped G6 topologies merely by changing files, rank bands or one local resource. Its primary job is to discover new exact positions higher up the material/transition tree, freeze them prospectively, and only then ask how much of the G6 proof architecture fires into them. New G7 objects must also be fired backward against the G6 corpus so that “generality” means bidirectional evidence, not one-way fit.</w:t>
            </w:r>
          </w:p>
        </w:tc>
      </w:tr>
    </w:tbl>
    <w:p>
      <w:pPr>
        <w:spacing w:after="20"/>
      </w:pPr>
    </w:p>
    <w:p>
      <w:pPr>
        <w:pStyle w:val="Heading1"/>
      </w:pPr>
      <w:r>
        <w:t>1. Starting evidence from G6</w:t>
      </w:r>
    </w:p>
    <w:p>
      <w:pPr>
        <w:pStyle w:val="ListBullet"/>
        <w:spacing w:after="50"/>
      </w:pPr>
      <w:r>
        <w:t>G6 has a universal game-graph core: strict attractors, defender sanctuaries, Branch-Kernel and finite-n Hyperkernel composition.</w:t>
      </w:r>
    </w:p>
    <w:p>
      <w:pPr>
        <w:pStyle w:val="ListBullet"/>
        <w:spacing w:after="50"/>
      </w:pPr>
      <w:r>
        <w:t>It has a strong resource-safe TARGET schema, broad conditional restoration theorems, and explicit terminal/rank semantics.</w:t>
      </w:r>
    </w:p>
    <w:p>
      <w:pPr>
        <w:pStyle w:val="ListBullet"/>
        <w:spacing w:after="50"/>
      </w:pPr>
      <w:r>
        <w:t>It has at least four boundary regimes: selective timing manifolds, saturated clocks, transferable tactical grammars, and lookup-scale local floors.</w:t>
      </w:r>
    </w:p>
    <w:p>
      <w:pPr>
        <w:pStyle w:val="ListBullet"/>
        <w:spacing w:after="50"/>
      </w:pPr>
      <w:r>
        <w:t>Proof graph composition can amplify small defender kernels into large certified regions (e.g. 4,302 → 117,430 in bishop+c-pawn).</w:t>
      </w:r>
    </w:p>
    <w:p>
      <w:pPr>
        <w:pStyle w:val="ListBullet"/>
        <w:spacing w:after="50"/>
      </w:pPr>
      <w:r>
        <w:t>Terminal-model mistakes can change hundreds of thousands of outcomes, so G7 must type material-reduction and promotion continuations from the outset.</w:t>
      </w:r>
    </w:p>
    <w:p>
      <w:r>
        <w:t>The implication is that G7 no longer needs to prove the existence of symbolic structure in another nearby four-/five-man ending. It should test whether the architecture remains useful when positions contain more simultaneous resources, more capture endpoints, more checking branches and multiple lower-material escape routes.</w:t>
      </w:r>
    </w:p>
    <w:p>
      <w:pPr>
        <w:pStyle w:val="Heading1"/>
      </w:pPr>
      <w:r>
        <w:t>2. North-star questions</w:t>
      </w:r>
    </w:p>
    <w:p>
      <w:pPr>
        <w:spacing w:after="50"/>
        <w:ind w:left="408" w:hanging="312"/>
      </w:pPr>
      <w:r>
        <w:rPr>
          <w:rFonts w:ascii="Aptos" w:hAnsi="Aptos"/>
          <w:b w:val="0"/>
        </w:rPr>
        <w:t>1.</w:t>
      </w:r>
      <w:r>
        <w:t xml:space="preserve">  Can a position-discovery process find tractable six- and seven-man finite windows without selecting them because they resemble G6’s successful topologies?</w:t>
      </w:r>
    </w:p>
    <w:p>
      <w:pPr>
        <w:spacing w:after="50"/>
        <w:ind w:left="408" w:hanging="312"/>
      </w:pPr>
      <w:r>
        <w:rPr>
          <w:rFonts w:ascii="Aptos" w:hAnsi="Aptos"/>
          <w:b w:val="0"/>
        </w:rPr>
        <w:t>2.</w:t>
      </w:r>
      <w:r>
        <w:t xml:space="preserve">  When a higher-tree position has several legal exchanges/captures, can exact lower-material proof objects compose into meaningful coverage before local search begins?</w:t>
      </w:r>
    </w:p>
    <w:p>
      <w:pPr>
        <w:spacing w:after="50"/>
        <w:ind w:left="408" w:hanging="312"/>
      </w:pPr>
      <w:r>
        <w:rPr>
          <w:rFonts w:ascii="Aptos" w:hAnsi="Aptos"/>
          <w:b w:val="0"/>
        </w:rPr>
        <w:t>3.</w:t>
      </w:r>
      <w:r>
        <w:t xml:space="preserve">  Do Branch/Hyperkernel mechanisms scale from alternative semantic targets to alternative material-transition endpoints?</w:t>
      </w:r>
    </w:p>
    <w:p>
      <w:pPr>
        <w:spacing w:after="50"/>
        <w:ind w:left="408" w:hanging="312"/>
      </w:pPr>
      <w:r>
        <w:rPr>
          <w:rFonts w:ascii="Aptos" w:hAnsi="Aptos"/>
          <w:b w:val="0"/>
        </w:rPr>
        <w:t>4.</w:t>
      </w:r>
      <w:r>
        <w:t xml:space="preserve">  Can the resource-safe TARGET constructor identify useful stepping stones when both sides possess multiple mobile pieces and checking resources?</w:t>
      </w:r>
    </w:p>
    <w:p>
      <w:pPr>
        <w:spacing w:after="50"/>
        <w:ind w:left="408" w:hanging="312"/>
      </w:pPr>
      <w:r>
        <w:rPr>
          <w:rFonts w:ascii="Aptos" w:hAnsi="Aptos"/>
          <w:b w:val="0"/>
        </w:rPr>
        <w:t>5.</w:t>
      </w:r>
      <w:r>
        <w:t xml:space="preserve">  Do defender sanctuaries remain useful higher up the tree, or are they destroyed by extra attacking resources?</w:t>
      </w:r>
    </w:p>
    <w:p>
      <w:pPr>
        <w:spacing w:after="50"/>
        <w:ind w:left="408" w:hanging="312"/>
      </w:pPr>
      <w:r>
        <w:rPr>
          <w:rFonts w:ascii="Aptos" w:hAnsi="Aptos"/>
          <w:b w:val="0"/>
        </w:rPr>
        <w:t>6.</w:t>
      </w:r>
      <w:r>
        <w:t xml:space="preserve">  Which G6 representation regime predicts the new boundary: selective manifold, saturated clocks, transferable tactical grammar, or local floor?</w:t>
      </w:r>
    </w:p>
    <w:p>
      <w:pPr>
        <w:spacing w:after="50"/>
        <w:ind w:left="408" w:hanging="312"/>
      </w:pPr>
      <w:r>
        <w:rPr>
          <w:rFonts w:ascii="Aptos" w:hAnsi="Aptos"/>
          <w:b w:val="0"/>
        </w:rPr>
        <w:t>7.</w:t>
      </w:r>
      <w:r>
        <w:t xml:space="preserve">  Can G7 discover a genuinely new proof-object type that is not merely a renamed G6 target/restoration rule?</w:t>
      </w:r>
    </w:p>
    <w:p>
      <w:pPr>
        <w:spacing w:after="50"/>
        <w:ind w:left="408" w:hanging="312"/>
      </w:pPr>
      <w:r>
        <w:rPr>
          <w:rFonts w:ascii="Aptos" w:hAnsi="Aptos"/>
          <w:b w:val="0"/>
        </w:rPr>
        <w:t>8.</w:t>
      </w:r>
      <w:r>
        <w:t xml:space="preserve">  Do new higher-tree objects fire backward across the G6 corpus and either subsume old lemmas, sharpen their domains, or produce clean counterexamples?</w:t>
      </w:r>
    </w:p>
    <w:p>
      <w:pPr>
        <w:spacing w:after="50"/>
        <w:ind w:left="408" w:hanging="312"/>
      </w:pPr>
      <w:r>
        <w:rPr>
          <w:rFonts w:ascii="Aptos" w:hAnsi="Aptos"/>
          <w:b w:val="0"/>
        </w:rPr>
        <w:t>9.</w:t>
      </w:r>
      <w:r>
        <w:t xml:space="preserve">  At what material/branching depth does proof-graph certificate cost begin to approach direct exact enumeration?</w:t>
      </w:r>
    </w:p>
    <w:p>
      <w:pPr>
        <w:pStyle w:val="Heading1"/>
      </w:pPr>
      <w:r>
        <w:t>3. Hard prospective design rule: positions first, architecture second</w:t>
      </w:r>
    </w:p>
    <w:p>
      <w:r>
        <w:t>Candidate selection must be blind to exact W/D/L truth and blind to which G6 predicates happen to cover the candidate. The position miner may use only structural/tractability descriptors before the arena is frozen.</w:t>
      </w:r>
    </w:p>
    <w:tbl>
      <w:tblPr>
        <w:tblStyle w:val="TableGrid"/>
        <w:tblW w:type="auto" w:w="0"/>
        <w:jc w:val="center"/>
        <w:tblLook w:firstColumn="1" w:firstRow="1" w:lastColumn="0" w:lastRow="0" w:noHBand="0" w:noVBand="1" w:val="04A0"/>
      </w:tblPr>
      <w:tblGrid>
        <w:gridCol w:w="4876"/>
        <w:gridCol w:w="4876"/>
      </w:tblGrid>
      <w:tr>
        <w:trPr>
          <w:tblHeader w:val="true"/>
          <w:cantSplit w:val="true"/>
        </w:trPr>
        <w:tc>
          <w:tcPr>
            <w:tcW w:type="dxa" w:w="4025"/>
            <w:shd w:fill="D9EAF2"/>
            <w:tcMar>
              <w:top w:w="70" w:type="dxa"/>
              <w:start w:w="90" w:type="dxa"/>
              <w:bottom w:w="70" w:type="dxa"/>
              <w:end w:w="90" w:type="dxa"/>
            </w:tcMar>
            <w:vAlign w:val="center"/>
          </w:tcPr>
          <w:p>
            <w:r/>
            <w:r>
              <w:rPr>
                <w:rFonts w:ascii="Aptos" w:hAnsi="Aptos"/>
                <w:b/>
                <w:color w:val="17365D"/>
                <w:sz w:val="16"/>
              </w:rPr>
              <w:t>Allowed pre-solve selection signal</w:t>
            </w:r>
          </w:p>
        </w:tc>
        <w:tc>
          <w:tcPr>
            <w:tcW w:type="dxa" w:w="5839"/>
            <w:shd w:fill="D9EAF2"/>
            <w:tcMar>
              <w:top w:w="70" w:type="dxa"/>
              <w:start w:w="90" w:type="dxa"/>
              <w:bottom w:w="70" w:type="dxa"/>
              <w:end w:w="90" w:type="dxa"/>
            </w:tcMar>
            <w:vAlign w:val="center"/>
          </w:tcPr>
          <w:p>
            <w:r/>
            <w:r>
              <w:rPr>
                <w:rFonts w:ascii="Aptos" w:hAnsi="Aptos"/>
                <w:b/>
                <w:color w:val="17365D"/>
                <w:sz w:val="16"/>
              </w:rPr>
              <w:t>Why allowed</w:t>
            </w:r>
          </w:p>
        </w:tc>
      </w:tr>
      <w:tr>
        <w:trPr>
          <w:cantSplit w:val="true"/>
        </w:trPr>
        <w:tc>
          <w:tcPr>
            <w:tcW w:type="dxa" w:w="4025"/>
            <w:tcMar>
              <w:top w:w="70" w:type="dxa"/>
              <w:start w:w="90" w:type="dxa"/>
              <w:bottom w:w="70" w:type="dxa"/>
              <w:end w:w="90" w:type="dxa"/>
            </w:tcMar>
            <w:vAlign w:val="top"/>
          </w:tcPr>
          <w:p>
            <w:r/>
            <w:r>
              <w:rPr>
                <w:rFonts w:ascii="Aptos" w:hAnsi="Aptos"/>
                <w:sz w:val="16"/>
              </w:rPr>
              <w:t>Material-transition depth above known exact subgames</w:t>
            </w:r>
          </w:p>
        </w:tc>
        <w:tc>
          <w:tcPr>
            <w:tcW w:type="dxa" w:w="5839"/>
            <w:tcMar>
              <w:top w:w="70" w:type="dxa"/>
              <w:start w:w="90" w:type="dxa"/>
              <w:bottom w:w="70" w:type="dxa"/>
              <w:end w:w="90" w:type="dxa"/>
            </w:tcMar>
            <w:vAlign w:val="top"/>
          </w:tcPr>
          <w:p>
            <w:r/>
            <w:r>
              <w:rPr>
                <w:rFonts w:ascii="Aptos" w:hAnsi="Aptos"/>
                <w:sz w:val="16"/>
              </w:rPr>
              <w:t>Defines “higher up the tree” without looking at outcome truth.</w:t>
            </w:r>
          </w:p>
        </w:tc>
      </w:tr>
      <w:tr>
        <w:trPr>
          <w:cantSplit w:val="true"/>
        </w:trPr>
        <w:tc>
          <w:tcPr>
            <w:tcW w:type="dxa" w:w="4025"/>
            <w:tcMar>
              <w:top w:w="70" w:type="dxa"/>
              <w:start w:w="90" w:type="dxa"/>
              <w:bottom w:w="70" w:type="dxa"/>
              <w:end w:w="90" w:type="dxa"/>
            </w:tcMar>
            <w:vAlign w:val="top"/>
          </w:tcPr>
          <w:p>
            <w:r/>
            <w:r>
              <w:rPr>
                <w:rFonts w:ascii="Aptos" w:hAnsi="Aptos"/>
                <w:sz w:val="16"/>
              </w:rPr>
              <w:t>Raw/static-valid scale estimate</w:t>
            </w:r>
          </w:p>
        </w:tc>
        <w:tc>
          <w:tcPr>
            <w:tcW w:type="dxa" w:w="5839"/>
            <w:tcMar>
              <w:top w:w="70" w:type="dxa"/>
              <w:start w:w="90" w:type="dxa"/>
              <w:bottom w:w="70" w:type="dxa"/>
              <w:end w:w="90" w:type="dxa"/>
            </w:tcMar>
            <w:vAlign w:val="top"/>
          </w:tcPr>
          <w:p>
            <w:r/>
            <w:r>
              <w:rPr>
                <w:rFonts w:ascii="Aptos" w:hAnsi="Aptos"/>
                <w:sz w:val="16"/>
              </w:rPr>
              <w:t>Certificate tractability.</w:t>
            </w:r>
          </w:p>
        </w:tc>
      </w:tr>
      <w:tr>
        <w:trPr>
          <w:cantSplit w:val="true"/>
        </w:trPr>
        <w:tc>
          <w:tcPr>
            <w:tcW w:type="dxa" w:w="4025"/>
            <w:tcMar>
              <w:top w:w="70" w:type="dxa"/>
              <w:start w:w="90" w:type="dxa"/>
              <w:bottom w:w="70" w:type="dxa"/>
              <w:end w:w="90" w:type="dxa"/>
            </w:tcMar>
            <w:vAlign w:val="top"/>
          </w:tcPr>
          <w:p>
            <w:r/>
            <w:r>
              <w:rPr>
                <w:rFonts w:ascii="Aptos" w:hAnsi="Aptos"/>
                <w:sz w:val="16"/>
              </w:rPr>
              <w:t>Legal-move branching distribution on sampled states</w:t>
            </w:r>
          </w:p>
        </w:tc>
        <w:tc>
          <w:tcPr>
            <w:tcW w:type="dxa" w:w="5839"/>
            <w:tcMar>
              <w:top w:w="70" w:type="dxa"/>
              <w:start w:w="90" w:type="dxa"/>
              <w:bottom w:w="70" w:type="dxa"/>
              <w:end w:w="90" w:type="dxa"/>
            </w:tcMar>
            <w:vAlign w:val="top"/>
          </w:tcPr>
          <w:p>
            <w:r/>
            <w:r>
              <w:rPr>
                <w:rFonts w:ascii="Aptos" w:hAnsi="Aptos"/>
                <w:sz w:val="16"/>
              </w:rPr>
              <w:t>Topology/complexity descriptor, not W/D/L.</w:t>
            </w:r>
          </w:p>
        </w:tc>
      </w:tr>
      <w:tr>
        <w:trPr>
          <w:cantSplit w:val="true"/>
        </w:trPr>
        <w:tc>
          <w:tcPr>
            <w:tcW w:type="dxa" w:w="4025"/>
            <w:tcMar>
              <w:top w:w="70" w:type="dxa"/>
              <w:start w:w="90" w:type="dxa"/>
              <w:bottom w:w="70" w:type="dxa"/>
              <w:end w:w="90" w:type="dxa"/>
            </w:tcMar>
            <w:vAlign w:val="top"/>
          </w:tcPr>
          <w:p>
            <w:r/>
            <w:r>
              <w:rPr>
                <w:rFonts w:ascii="Aptos" w:hAnsi="Aptos"/>
                <w:sz w:val="16"/>
              </w:rPr>
              <w:t>Number/diversity of capture and promotion endpoints</w:t>
            </w:r>
          </w:p>
        </w:tc>
        <w:tc>
          <w:tcPr>
            <w:tcW w:type="dxa" w:w="5839"/>
            <w:tcMar>
              <w:top w:w="70" w:type="dxa"/>
              <w:start w:w="90" w:type="dxa"/>
              <w:bottom w:w="70" w:type="dxa"/>
              <w:end w:w="90" w:type="dxa"/>
            </w:tcMar>
            <w:vAlign w:val="top"/>
          </w:tcPr>
          <w:p>
            <w:r/>
            <w:r>
              <w:rPr>
                <w:rFonts w:ascii="Aptos" w:hAnsi="Aptos"/>
                <w:sz w:val="16"/>
              </w:rPr>
              <w:t>Tests projection/composition richness.</w:t>
            </w:r>
          </w:p>
        </w:tc>
      </w:tr>
      <w:tr>
        <w:trPr>
          <w:cantSplit w:val="true"/>
        </w:trPr>
        <w:tc>
          <w:tcPr>
            <w:tcW w:type="dxa" w:w="4025"/>
            <w:tcMar>
              <w:top w:w="70" w:type="dxa"/>
              <w:start w:w="90" w:type="dxa"/>
              <w:bottom w:w="70" w:type="dxa"/>
              <w:end w:w="90" w:type="dxa"/>
            </w:tcMar>
            <w:vAlign w:val="top"/>
          </w:tcPr>
          <w:p>
            <w:r/>
            <w:r>
              <w:rPr>
                <w:rFonts w:ascii="Aptos" w:hAnsi="Aptos"/>
                <w:sz w:val="16"/>
              </w:rPr>
              <w:t>Checking-move density and line/leaper mix</w:t>
            </w:r>
          </w:p>
        </w:tc>
        <w:tc>
          <w:tcPr>
            <w:tcW w:type="dxa" w:w="5839"/>
            <w:tcMar>
              <w:top w:w="70" w:type="dxa"/>
              <w:start w:w="90" w:type="dxa"/>
              <w:bottom w:w="70" w:type="dxa"/>
              <w:end w:w="90" w:type="dxa"/>
            </w:tcMar>
            <w:vAlign w:val="top"/>
          </w:tcPr>
          <w:p>
            <w:r/>
            <w:r>
              <w:rPr>
                <w:rFonts w:ascii="Aptos" w:hAnsi="Aptos"/>
                <w:sz w:val="16"/>
              </w:rPr>
              <w:t>Ensures movement-topology novelty.</w:t>
            </w:r>
          </w:p>
        </w:tc>
      </w:tr>
      <w:tr>
        <w:trPr>
          <w:cantSplit w:val="true"/>
        </w:trPr>
        <w:tc>
          <w:tcPr>
            <w:tcW w:type="dxa" w:w="4025"/>
            <w:tcMar>
              <w:top w:w="70" w:type="dxa"/>
              <w:start w:w="90" w:type="dxa"/>
              <w:bottom w:w="70" w:type="dxa"/>
              <w:end w:w="90" w:type="dxa"/>
            </w:tcMar>
            <w:vAlign w:val="top"/>
          </w:tcPr>
          <w:p>
            <w:r/>
            <w:r>
              <w:rPr>
                <w:rFonts w:ascii="Aptos" w:hAnsi="Aptos"/>
                <w:sz w:val="16"/>
              </w:rPr>
              <w:t>Symmetry and restriction completeness</w:t>
            </w:r>
          </w:p>
        </w:tc>
        <w:tc>
          <w:tcPr>
            <w:tcW w:type="dxa" w:w="5839"/>
            <w:tcMar>
              <w:top w:w="70" w:type="dxa"/>
              <w:start w:w="90" w:type="dxa"/>
              <w:bottom w:w="70" w:type="dxa"/>
              <w:end w:w="90" w:type="dxa"/>
            </w:tcMar>
            <w:vAlign w:val="top"/>
          </w:tcPr>
          <w:p>
            <w:r/>
            <w:r>
              <w:rPr>
                <w:rFonts w:ascii="Aptos" w:hAnsi="Aptos"/>
                <w:sz w:val="16"/>
              </w:rPr>
              <w:t>Avoids arbitrary post-hoc windows.</w:t>
            </w:r>
          </w:p>
        </w:tc>
      </w:tr>
      <w:tr>
        <w:trPr>
          <w:cantSplit w:val="true"/>
        </w:trPr>
        <w:tc>
          <w:tcPr>
            <w:tcW w:type="dxa" w:w="4025"/>
            <w:tcMar>
              <w:top w:w="70" w:type="dxa"/>
              <w:start w:w="90" w:type="dxa"/>
              <w:bottom w:w="70" w:type="dxa"/>
              <w:end w:w="90" w:type="dxa"/>
            </w:tcMar>
            <w:vAlign w:val="top"/>
          </w:tcPr>
          <w:p>
            <w:r/>
            <w:r>
              <w:rPr>
                <w:rFonts w:ascii="Aptos" w:hAnsi="Aptos"/>
                <w:sz w:val="16"/>
              </w:rPr>
              <w:t>Material class novelty relative to G6</w:t>
            </w:r>
          </w:p>
        </w:tc>
        <w:tc>
          <w:tcPr>
            <w:tcW w:type="dxa" w:w="5839"/>
            <w:tcMar>
              <w:top w:w="70" w:type="dxa"/>
              <w:start w:w="90" w:type="dxa"/>
              <w:bottom w:w="70" w:type="dxa"/>
              <w:end w:w="90" w:type="dxa"/>
            </w:tcMar>
            <w:vAlign w:val="top"/>
          </w:tcPr>
          <w:p>
            <w:r/>
            <w:r>
              <w:rPr>
                <w:rFonts w:ascii="Aptos" w:hAnsi="Aptos"/>
                <w:sz w:val="16"/>
              </w:rPr>
              <w:t>Prevents merely repeating N/B/R+pawn families.</w:t>
            </w:r>
          </w:p>
        </w:tc>
      </w:tr>
    </w:tbl>
    <w:p>
      <w:pPr>
        <w:spacing w:after="20"/>
      </w:pPr>
    </w:p>
    <w:p>
      <w:r>
        <w:t>Forbidden during candidate selection: exact table truth, target coverage, attractor size, classifier accuracy, or “this slice looks compressible.” Arena restrictions may change for tractability only before any outcome inspection, and substitutions must preserve the intended higher-tree topology.</w:t>
      </w:r>
    </w:p>
    <w:p>
      <w:pPr>
        <w:pStyle w:val="Heading1"/>
      </w:pPr>
      <w:r>
        <w:t>4. Prospective higher-tree portfolio</w:t>
      </w:r>
    </w:p>
    <w:p>
      <w:r>
        <w:t>Predeclare roughly six to ten families, preferably with at least three six-man and two seven-man/restricted-seven-man families if certificate budgets permit. These examples are intentionally one or more material transitions above the G6 anchors rather than file variants of them.</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val="true"/>
        </w:trPr>
        <w:tc>
          <w:tcPr>
            <w:tcW w:type="dxa" w:w="2268"/>
            <w:shd w:fill="D9EAF2"/>
            <w:tcMar>
              <w:top w:w="70" w:type="dxa"/>
              <w:start w:w="90" w:type="dxa"/>
              <w:bottom w:w="70" w:type="dxa"/>
              <w:end w:w="90" w:type="dxa"/>
            </w:tcMar>
            <w:vAlign w:val="center"/>
          </w:tcPr>
          <w:p>
            <w:r/>
            <w:r>
              <w:rPr>
                <w:rFonts w:ascii="Aptos" w:hAnsi="Aptos"/>
                <w:b/>
                <w:color w:val="17365D"/>
                <w:sz w:val="16"/>
              </w:rPr>
              <w:t>Family</w:t>
            </w:r>
          </w:p>
        </w:tc>
        <w:tc>
          <w:tcPr>
            <w:tcW w:type="dxa" w:w="3742"/>
            <w:shd w:fill="D9EAF2"/>
            <w:tcMar>
              <w:top w:w="70" w:type="dxa"/>
              <w:start w:w="90" w:type="dxa"/>
              <w:bottom w:w="70" w:type="dxa"/>
              <w:end w:w="90" w:type="dxa"/>
            </w:tcMar>
            <w:vAlign w:val="center"/>
          </w:tcPr>
          <w:p>
            <w:r/>
            <w:r>
              <w:rPr>
                <w:rFonts w:ascii="Aptos" w:hAnsi="Aptos"/>
                <w:b/>
                <w:color w:val="17365D"/>
                <w:sz w:val="16"/>
              </w:rPr>
              <w:t>Illustrative finite window</w:t>
            </w:r>
          </w:p>
        </w:tc>
        <w:tc>
          <w:tcPr>
            <w:tcW w:type="dxa" w:w="3855"/>
            <w:shd w:fill="D9EAF2"/>
            <w:tcMar>
              <w:top w:w="70" w:type="dxa"/>
              <w:start w:w="90" w:type="dxa"/>
              <w:bottom w:w="70" w:type="dxa"/>
              <w:end w:w="90" w:type="dxa"/>
            </w:tcMar>
            <w:vAlign w:val="center"/>
          </w:tcPr>
          <w:p>
            <w:r/>
            <w:r>
              <w:rPr>
                <w:rFonts w:ascii="Aptos" w:hAnsi="Aptos"/>
                <w:b/>
                <w:color w:val="17365D"/>
                <w:sz w:val="16"/>
              </w:rPr>
              <w:t>Why it is higher-tree / novel</w:t>
            </w:r>
          </w:p>
        </w:tc>
      </w:tr>
      <w:tr>
        <w:trPr>
          <w:cantSplit w:val="true"/>
        </w:trPr>
        <w:tc>
          <w:tcPr>
            <w:tcW w:type="dxa" w:w="2268"/>
            <w:tcMar>
              <w:top w:w="70" w:type="dxa"/>
              <w:start w:w="90" w:type="dxa"/>
              <w:bottom w:w="70" w:type="dxa"/>
              <w:end w:w="90" w:type="dxa"/>
            </w:tcMar>
            <w:vAlign w:val="top"/>
          </w:tcPr>
          <w:p>
            <w:r/>
            <w:r>
              <w:rPr>
                <w:rFonts w:ascii="Aptos" w:hAnsi="Aptos"/>
                <w:sz w:val="16"/>
              </w:rPr>
              <w:t>Rook–minor–pawn transition</w:t>
            </w:r>
          </w:p>
        </w:tc>
        <w:tc>
          <w:tcPr>
            <w:tcW w:type="dxa" w:w="3742"/>
            <w:tcMar>
              <w:top w:w="70" w:type="dxa"/>
              <w:start w:w="90" w:type="dxa"/>
              <w:bottom w:w="70" w:type="dxa"/>
              <w:end w:w="90" w:type="dxa"/>
            </w:tcMar>
            <w:vAlign w:val="top"/>
          </w:tcPr>
          <w:p>
            <w:r/>
            <w:r>
              <w:rPr>
                <w:rFonts w:ascii="Aptos" w:hAnsi="Aptos"/>
                <w:sz w:val="16"/>
              </w:rPr>
              <w:t>K+R+P vs K+N+P or K+B+P, restricted pawn files/rank bands prospectively</w:t>
            </w:r>
          </w:p>
        </w:tc>
        <w:tc>
          <w:tcPr>
            <w:tcW w:type="dxa" w:w="3855"/>
            <w:tcMar>
              <w:top w:w="70" w:type="dxa"/>
              <w:start w:w="90" w:type="dxa"/>
              <w:bottom w:w="70" w:type="dxa"/>
              <w:end w:w="90" w:type="dxa"/>
            </w:tcMar>
            <w:vAlign w:val="top"/>
          </w:tcPr>
          <w:p>
            <w:r/>
            <w:r>
              <w:rPr>
                <w:rFonts w:ascii="Aptos" w:hAnsi="Aptos"/>
                <w:sz w:val="16"/>
              </w:rPr>
              <w:t>Checks, exchanges, capture into KRK/KPK/minor subgames; two mobile piece topologies.</w:t>
            </w:r>
          </w:p>
        </w:tc>
      </w:tr>
      <w:tr>
        <w:trPr>
          <w:cantSplit w:val="true"/>
        </w:trPr>
        <w:tc>
          <w:tcPr>
            <w:tcW w:type="dxa" w:w="2268"/>
            <w:tcMar>
              <w:top w:w="70" w:type="dxa"/>
              <w:start w:w="90" w:type="dxa"/>
              <w:bottom w:w="70" w:type="dxa"/>
              <w:end w:w="90" w:type="dxa"/>
            </w:tcMar>
            <w:vAlign w:val="top"/>
          </w:tcPr>
          <w:p>
            <w:r/>
            <w:r>
              <w:rPr>
                <w:rFonts w:ascii="Aptos" w:hAnsi="Aptos"/>
                <w:sz w:val="16"/>
              </w:rPr>
              <w:t>Opposing-minor with both pawns</w:t>
            </w:r>
          </w:p>
        </w:tc>
        <w:tc>
          <w:tcPr>
            <w:tcW w:type="dxa" w:w="3742"/>
            <w:tcMar>
              <w:top w:w="70" w:type="dxa"/>
              <w:start w:w="90" w:type="dxa"/>
              <w:bottom w:w="70" w:type="dxa"/>
              <w:end w:w="90" w:type="dxa"/>
            </w:tcMar>
            <w:vAlign w:val="top"/>
          </w:tcPr>
          <w:p>
            <w:r/>
            <w:r>
              <w:rPr>
                <w:rFonts w:ascii="Aptos" w:hAnsi="Aptos"/>
                <w:sz w:val="16"/>
              </w:rPr>
              <w:t>K+B+P vs K+N+P, restricted but symmetry-complete</w:t>
            </w:r>
          </w:p>
        </w:tc>
        <w:tc>
          <w:tcPr>
            <w:tcW w:type="dxa" w:w="3855"/>
            <w:tcMar>
              <w:top w:w="70" w:type="dxa"/>
              <w:start w:w="90" w:type="dxa"/>
              <w:bottom w:w="70" w:type="dxa"/>
              <w:end w:w="90" w:type="dxa"/>
            </w:tcMar>
            <w:vAlign w:val="top"/>
          </w:tcPr>
          <w:p>
            <w:r/>
            <w:r>
              <w:rPr>
                <w:rFonts w:ascii="Aptos" w:hAnsi="Aptos"/>
                <w:sz w:val="16"/>
              </w:rPr>
              <w:t>One level above G6 opposing-minor; competing pawn races plus piece captures.</w:t>
            </w:r>
          </w:p>
        </w:tc>
      </w:tr>
      <w:tr>
        <w:trPr>
          <w:cantSplit w:val="true"/>
        </w:trPr>
        <w:tc>
          <w:tcPr>
            <w:tcW w:type="dxa" w:w="2268"/>
            <w:tcMar>
              <w:top w:w="70" w:type="dxa"/>
              <w:start w:w="90" w:type="dxa"/>
              <w:bottom w:w="70" w:type="dxa"/>
              <w:end w:w="90" w:type="dxa"/>
            </w:tcMar>
            <w:vAlign w:val="top"/>
          </w:tcPr>
          <w:p>
            <w:r/>
            <w:r>
              <w:rPr>
                <w:rFonts w:ascii="Aptos" w:hAnsi="Aptos"/>
                <w:sz w:val="16"/>
              </w:rPr>
              <w:t>Two-piece coordination</w:t>
            </w:r>
          </w:p>
        </w:tc>
        <w:tc>
          <w:tcPr>
            <w:tcW w:type="dxa" w:w="3742"/>
            <w:tcMar>
              <w:top w:w="70" w:type="dxa"/>
              <w:start w:w="90" w:type="dxa"/>
              <w:bottom w:w="70" w:type="dxa"/>
              <w:end w:w="90" w:type="dxa"/>
            </w:tcMar>
            <w:vAlign w:val="top"/>
          </w:tcPr>
          <w:p>
            <w:r/>
            <w:r>
              <w:rPr>
                <w:rFonts w:ascii="Aptos" w:hAnsi="Aptos"/>
                <w:sz w:val="16"/>
              </w:rPr>
              <w:t>K+B+N+P vs K+P</w:t>
            </w:r>
          </w:p>
        </w:tc>
        <w:tc>
          <w:tcPr>
            <w:tcW w:type="dxa" w:w="3855"/>
            <w:tcMar>
              <w:top w:w="70" w:type="dxa"/>
              <w:start w:w="90" w:type="dxa"/>
              <w:bottom w:w="70" w:type="dxa"/>
              <w:end w:w="90" w:type="dxa"/>
            </w:tcMar>
            <w:vAlign w:val="top"/>
          </w:tcPr>
          <w:p>
            <w:r/>
            <w:r>
              <w:rPr>
                <w:rFonts w:ascii="Aptos" w:hAnsi="Aptos"/>
                <w:sz w:val="16"/>
              </w:rPr>
              <w:t>Tests whether multiple friendly resources compose or interfere before material reduction.</w:t>
            </w:r>
          </w:p>
        </w:tc>
      </w:tr>
      <w:tr>
        <w:trPr>
          <w:cantSplit w:val="true"/>
        </w:trPr>
        <w:tc>
          <w:tcPr>
            <w:tcW w:type="dxa" w:w="2268"/>
            <w:tcMar>
              <w:top w:w="70" w:type="dxa"/>
              <w:start w:w="90" w:type="dxa"/>
              <w:bottom w:w="70" w:type="dxa"/>
              <w:end w:w="90" w:type="dxa"/>
            </w:tcMar>
            <w:vAlign w:val="top"/>
          </w:tcPr>
          <w:p>
            <w:r/>
            <w:r>
              <w:rPr>
                <w:rFonts w:ascii="Aptos" w:hAnsi="Aptos"/>
                <w:sz w:val="16"/>
              </w:rPr>
              <w:t>Rook + minor imbalance</w:t>
            </w:r>
          </w:p>
        </w:tc>
        <w:tc>
          <w:tcPr>
            <w:tcW w:type="dxa" w:w="3742"/>
            <w:tcMar>
              <w:top w:w="70" w:type="dxa"/>
              <w:start w:w="90" w:type="dxa"/>
              <w:bottom w:w="70" w:type="dxa"/>
              <w:end w:w="90" w:type="dxa"/>
            </w:tcMar>
            <w:vAlign w:val="top"/>
          </w:tcPr>
          <w:p>
            <w:r/>
            <w:r>
              <w:rPr>
                <w:rFonts w:ascii="Aptos" w:hAnsi="Aptos"/>
                <w:sz w:val="16"/>
              </w:rPr>
              <w:t>K+R+P vs K+B+P or K+N+P</w:t>
            </w:r>
          </w:p>
        </w:tc>
        <w:tc>
          <w:tcPr>
            <w:tcW w:type="dxa" w:w="3855"/>
            <w:tcMar>
              <w:top w:w="70" w:type="dxa"/>
              <w:start w:w="90" w:type="dxa"/>
              <w:bottom w:w="70" w:type="dxa"/>
              <w:end w:w="90" w:type="dxa"/>
            </w:tcMar>
            <w:vAlign w:val="top"/>
          </w:tcPr>
          <w:p>
            <w:r/>
            <w:r>
              <w:rPr>
                <w:rFonts w:ascii="Aptos" w:hAnsi="Aptos"/>
                <w:sz w:val="16"/>
              </w:rPr>
              <w:t>Long-range checking plus minor access cones and competing exchanges.</w:t>
            </w:r>
          </w:p>
        </w:tc>
      </w:tr>
      <w:tr>
        <w:trPr>
          <w:cantSplit w:val="true"/>
        </w:trPr>
        <w:tc>
          <w:tcPr>
            <w:tcW w:type="dxa" w:w="2268"/>
            <w:tcMar>
              <w:top w:w="70" w:type="dxa"/>
              <w:start w:w="90" w:type="dxa"/>
              <w:bottom w:w="70" w:type="dxa"/>
              <w:end w:w="90" w:type="dxa"/>
            </w:tcMar>
            <w:vAlign w:val="top"/>
          </w:tcPr>
          <w:p>
            <w:r/>
            <w:r>
              <w:rPr>
                <w:rFonts w:ascii="Aptos" w:hAnsi="Aptos"/>
                <w:sz w:val="16"/>
              </w:rPr>
              <w:t>Opposite-colour bishop pawn complex</w:t>
            </w:r>
          </w:p>
        </w:tc>
        <w:tc>
          <w:tcPr>
            <w:tcW w:type="dxa" w:w="3742"/>
            <w:tcMar>
              <w:top w:w="70" w:type="dxa"/>
              <w:start w:w="90" w:type="dxa"/>
              <w:bottom w:w="70" w:type="dxa"/>
              <w:end w:w="90" w:type="dxa"/>
            </w:tcMar>
            <w:vAlign w:val="top"/>
          </w:tcPr>
          <w:p>
            <w:r/>
            <w:r>
              <w:rPr>
                <w:rFonts w:ascii="Aptos" w:hAnsi="Aptos"/>
                <w:sz w:val="16"/>
              </w:rPr>
              <w:t>K+B+2P vs K+B+P (restricted files)</w:t>
            </w:r>
          </w:p>
        </w:tc>
        <w:tc>
          <w:tcPr>
            <w:tcW w:type="dxa" w:w="3855"/>
            <w:tcMar>
              <w:top w:w="70" w:type="dxa"/>
              <w:start w:w="90" w:type="dxa"/>
              <w:bottom w:w="70" w:type="dxa"/>
              <w:end w:w="90" w:type="dxa"/>
            </w:tcMar>
            <w:vAlign w:val="top"/>
          </w:tcPr>
          <w:p>
            <w:r/>
            <w:r>
              <w:rPr>
                <w:rFonts w:ascii="Aptos" w:hAnsi="Aptos"/>
                <w:sz w:val="16"/>
              </w:rPr>
              <w:t>Fortress/sanctuary transitions with both colour complexes and several pawn fronts.</w:t>
            </w:r>
          </w:p>
        </w:tc>
      </w:tr>
      <w:tr>
        <w:trPr>
          <w:cantSplit w:val="true"/>
        </w:trPr>
        <w:tc>
          <w:tcPr>
            <w:tcW w:type="dxa" w:w="2268"/>
            <w:tcMar>
              <w:top w:w="70" w:type="dxa"/>
              <w:start w:w="90" w:type="dxa"/>
              <w:bottom w:w="70" w:type="dxa"/>
              <w:end w:w="90" w:type="dxa"/>
            </w:tcMar>
            <w:vAlign w:val="top"/>
          </w:tcPr>
          <w:p>
            <w:r/>
            <w:r>
              <w:rPr>
                <w:rFonts w:ascii="Aptos" w:hAnsi="Aptos"/>
                <w:sz w:val="16"/>
              </w:rPr>
              <w:t>Rook ending with multiple pawns</w:t>
            </w:r>
          </w:p>
        </w:tc>
        <w:tc>
          <w:tcPr>
            <w:tcW w:type="dxa" w:w="3742"/>
            <w:tcMar>
              <w:top w:w="70" w:type="dxa"/>
              <w:start w:w="90" w:type="dxa"/>
              <w:bottom w:w="70" w:type="dxa"/>
              <w:end w:w="90" w:type="dxa"/>
            </w:tcMar>
            <w:vAlign w:val="top"/>
          </w:tcPr>
          <w:p>
            <w:r/>
            <w:r>
              <w:rPr>
                <w:rFonts w:ascii="Aptos" w:hAnsi="Aptos"/>
                <w:sz w:val="16"/>
              </w:rPr>
              <w:t>K+R+2P vs K+R+P (restricted files/windows)</w:t>
            </w:r>
          </w:p>
        </w:tc>
        <w:tc>
          <w:tcPr>
            <w:tcW w:type="dxa" w:w="3855"/>
            <w:tcMar>
              <w:top w:w="70" w:type="dxa"/>
              <w:start w:w="90" w:type="dxa"/>
              <w:bottom w:w="70" w:type="dxa"/>
              <w:end w:w="90" w:type="dxa"/>
            </w:tcMar>
            <w:vAlign w:val="top"/>
          </w:tcPr>
          <w:p>
            <w:r/>
            <w:r>
              <w:rPr>
                <w:rFonts w:ascii="Aptos" w:hAnsi="Aptos"/>
                <w:sz w:val="16"/>
              </w:rPr>
              <w:t>Real checking distance, exchange choices and many lower-material endpoints.</w:t>
            </w:r>
          </w:p>
        </w:tc>
      </w:tr>
      <w:tr>
        <w:trPr>
          <w:cantSplit w:val="true"/>
        </w:trPr>
        <w:tc>
          <w:tcPr>
            <w:tcW w:type="dxa" w:w="2268"/>
            <w:tcMar>
              <w:top w:w="70" w:type="dxa"/>
              <w:start w:w="90" w:type="dxa"/>
              <w:bottom w:w="70" w:type="dxa"/>
              <w:end w:w="90" w:type="dxa"/>
            </w:tcMar>
            <w:vAlign w:val="top"/>
          </w:tcPr>
          <w:p>
            <w:r/>
            <w:r>
              <w:rPr>
                <w:rFonts w:ascii="Aptos" w:hAnsi="Aptos"/>
                <w:sz w:val="16"/>
              </w:rPr>
              <w:t>Queen/rook transition slice</w:t>
            </w:r>
          </w:p>
        </w:tc>
        <w:tc>
          <w:tcPr>
            <w:tcW w:type="dxa" w:w="3742"/>
            <w:tcMar>
              <w:top w:w="70" w:type="dxa"/>
              <w:start w:w="90" w:type="dxa"/>
              <w:bottom w:w="70" w:type="dxa"/>
              <w:end w:w="90" w:type="dxa"/>
            </w:tcMar>
            <w:vAlign w:val="top"/>
          </w:tcPr>
          <w:p>
            <w:r/>
            <w:r>
              <w:rPr>
                <w:rFonts w:ascii="Aptos" w:hAnsi="Aptos"/>
                <w:sz w:val="16"/>
              </w:rPr>
              <w:t>K+Q+P vs K+R+P or a smaller symmetry-complete promotion aftermath</w:t>
            </w:r>
          </w:p>
        </w:tc>
        <w:tc>
          <w:tcPr>
            <w:tcW w:type="dxa" w:w="3855"/>
            <w:tcMar>
              <w:top w:w="70" w:type="dxa"/>
              <w:start w:w="90" w:type="dxa"/>
              <w:bottom w:w="70" w:type="dxa"/>
              <w:end w:w="90" w:type="dxa"/>
            </w:tcMar>
            <w:vAlign w:val="top"/>
          </w:tcPr>
          <w:p>
            <w:r/>
            <w:r>
              <w:rPr>
                <w:rFonts w:ascii="Aptos" w:hAnsi="Aptos"/>
                <w:sz w:val="16"/>
              </w:rPr>
              <w:t>Tests very high mobility, perpetual/checking topology and exact material-reduction targets.</w:t>
            </w:r>
          </w:p>
        </w:tc>
      </w:tr>
      <w:tr>
        <w:trPr>
          <w:cantSplit w:val="true"/>
        </w:trPr>
        <w:tc>
          <w:tcPr>
            <w:tcW w:type="dxa" w:w="2268"/>
            <w:tcMar>
              <w:top w:w="70" w:type="dxa"/>
              <w:start w:w="90" w:type="dxa"/>
              <w:bottom w:w="70" w:type="dxa"/>
              <w:end w:w="90" w:type="dxa"/>
            </w:tcMar>
            <w:vAlign w:val="top"/>
          </w:tcPr>
          <w:p>
            <w:r/>
            <w:r>
              <w:rPr>
                <w:rFonts w:ascii="Aptos" w:hAnsi="Aptos"/>
                <w:sz w:val="16"/>
              </w:rPr>
              <w:t>Fortress-break family</w:t>
            </w:r>
          </w:p>
        </w:tc>
        <w:tc>
          <w:tcPr>
            <w:tcW w:type="dxa" w:w="3742"/>
            <w:tcMar>
              <w:top w:w="70" w:type="dxa"/>
              <w:start w:w="90" w:type="dxa"/>
              <w:bottom w:w="70" w:type="dxa"/>
              <w:end w:w="90" w:type="dxa"/>
            </w:tcMar>
            <w:vAlign w:val="top"/>
          </w:tcPr>
          <w:p>
            <w:r/>
            <w:r>
              <w:rPr>
                <w:rFonts w:ascii="Aptos" w:hAnsi="Aptos"/>
                <w:sz w:val="16"/>
              </w:rPr>
              <w:t>Wrong-colour bishop rook-pawn plus an extra attacker/defender pawn or minor</w:t>
            </w:r>
          </w:p>
        </w:tc>
        <w:tc>
          <w:tcPr>
            <w:tcW w:type="dxa" w:w="3855"/>
            <w:tcMar>
              <w:top w:w="70" w:type="dxa"/>
              <w:start w:w="90" w:type="dxa"/>
              <w:bottom w:w="70" w:type="dxa"/>
              <w:end w:w="90" w:type="dxa"/>
            </w:tcMar>
            <w:vAlign w:val="top"/>
          </w:tcPr>
          <w:p>
            <w:r/>
            <w:r>
              <w:rPr>
                <w:rFonts w:ascii="Aptos" w:hAnsi="Aptos"/>
                <w:sz w:val="16"/>
              </w:rPr>
              <w:t>Asks when a certified lower sanctuary survives one level higher in material.</w:t>
            </w:r>
          </w:p>
        </w:tc>
      </w:tr>
      <w:tr>
        <w:trPr>
          <w:cantSplit w:val="true"/>
        </w:trPr>
        <w:tc>
          <w:tcPr>
            <w:tcW w:type="dxa" w:w="2268"/>
            <w:tcMar>
              <w:top w:w="70" w:type="dxa"/>
              <w:start w:w="90" w:type="dxa"/>
              <w:bottom w:w="70" w:type="dxa"/>
              <w:end w:w="90" w:type="dxa"/>
            </w:tcMar>
            <w:vAlign w:val="top"/>
          </w:tcPr>
          <w:p>
            <w:r/>
            <w:r>
              <w:rPr>
                <w:rFonts w:ascii="Aptos" w:hAnsi="Aptos"/>
                <w:sz w:val="16"/>
              </w:rPr>
              <w:t>Adversarial high-branch control</w:t>
            </w:r>
          </w:p>
        </w:tc>
        <w:tc>
          <w:tcPr>
            <w:tcW w:type="dxa" w:w="3742"/>
            <w:tcMar>
              <w:top w:w="70" w:type="dxa"/>
              <w:start w:w="90" w:type="dxa"/>
              <w:bottom w:w="70" w:type="dxa"/>
              <w:end w:w="90" w:type="dxa"/>
            </w:tcMar>
            <w:vAlign w:val="top"/>
          </w:tcPr>
          <w:p>
            <w:r/>
            <w:r>
              <w:rPr>
                <w:rFonts w:ascii="Aptos" w:hAnsi="Aptos"/>
                <w:sz w:val="16"/>
              </w:rPr>
              <w:t>Predeclared local-contact six-man slice with several legal checks/captures</w:t>
            </w:r>
          </w:p>
        </w:tc>
        <w:tc>
          <w:tcPr>
            <w:tcW w:type="dxa" w:w="3855"/>
            <w:tcMar>
              <w:top w:w="70" w:type="dxa"/>
              <w:start w:w="90" w:type="dxa"/>
              <w:bottom w:w="70" w:type="dxa"/>
              <w:end w:w="90" w:type="dxa"/>
            </w:tcMar>
            <w:vAlign w:val="top"/>
          </w:tcPr>
          <w:p>
            <w:r/>
            <w:r>
              <w:rPr>
                <w:rFonts w:ascii="Aptos" w:hAnsi="Aptos"/>
                <w:sz w:val="16"/>
              </w:rPr>
              <w:t>Designed to defeat G6 clocks and test STOP/predictive regime selection.</w:t>
            </w:r>
          </w:p>
        </w:tc>
      </w:tr>
    </w:tbl>
    <w:p>
      <w:pPr>
        <w:spacing w:after="20"/>
      </w:pPr>
    </w:p>
    <w:p>
      <w:r>
        <w:t>The exact portfolio can be adjusted for tractability before outcome inspection. A failed scale estimate should trigger a structurally similar substitute, not retreat to another d/e/c pawn variation.</w:t>
      </w:r>
    </w:p>
    <w:p>
      <w:pPr>
        <w:pStyle w:val="Heading1"/>
      </w:pPr>
      <w:r>
        <w:t>5. Staged programme: G7.0–G7.9</w:t>
      </w:r>
    </w:p>
    <w:tbl>
      <w:tblPr>
        <w:tblStyle w:val="TableGrid"/>
        <w:tblW w:type="auto" w:w="0"/>
        <w:jc w:val="center"/>
        <w:tblLook w:firstColumn="1" w:firstRow="1" w:lastColumn="0" w:lastRow="0" w:noHBand="0" w:noVBand="1" w:val="04A0"/>
      </w:tblPr>
      <w:tblGrid>
        <w:gridCol w:w="3251"/>
        <w:gridCol w:w="3251"/>
        <w:gridCol w:w="3251"/>
      </w:tblGrid>
      <w:tr>
        <w:trPr>
          <w:tblHeader w:val="true"/>
          <w:cantSplit w:val="true"/>
        </w:trPr>
        <w:tc>
          <w:tcPr>
            <w:tcW w:type="dxa" w:w="2098"/>
            <w:shd w:fill="D9EAF2"/>
            <w:tcMar>
              <w:top w:w="70" w:type="dxa"/>
              <w:start w:w="90" w:type="dxa"/>
              <w:bottom w:w="70" w:type="dxa"/>
              <w:end w:w="90" w:type="dxa"/>
            </w:tcMar>
            <w:vAlign w:val="center"/>
          </w:tcPr>
          <w:p>
            <w:r/>
            <w:r>
              <w:rPr>
                <w:rFonts w:ascii="Aptos" w:hAnsi="Aptos"/>
                <w:b/>
                <w:color w:val="17365D"/>
                <w:sz w:val="15"/>
              </w:rPr>
              <w:t>Stage</w:t>
            </w:r>
          </w:p>
        </w:tc>
        <w:tc>
          <w:tcPr>
            <w:tcW w:type="dxa" w:w="4932"/>
            <w:shd w:fill="D9EAF2"/>
            <w:tcMar>
              <w:top w:w="70" w:type="dxa"/>
              <w:start w:w="90" w:type="dxa"/>
              <w:bottom w:w="70" w:type="dxa"/>
              <w:end w:w="90" w:type="dxa"/>
            </w:tcMar>
            <w:vAlign w:val="center"/>
          </w:tcPr>
          <w:p>
            <w:r/>
            <w:r>
              <w:rPr>
                <w:rFonts w:ascii="Aptos" w:hAnsi="Aptos"/>
                <w:b/>
                <w:color w:val="17365D"/>
                <w:sz w:val="15"/>
              </w:rPr>
              <w:t>Scope</w:t>
            </w:r>
          </w:p>
        </w:tc>
        <w:tc>
          <w:tcPr>
            <w:tcW w:type="dxa" w:w="2835"/>
            <w:shd w:fill="D9EAF2"/>
            <w:tcMar>
              <w:top w:w="70" w:type="dxa"/>
              <w:start w:w="90" w:type="dxa"/>
              <w:bottom w:w="70" w:type="dxa"/>
              <w:end w:w="90" w:type="dxa"/>
            </w:tcMar>
            <w:vAlign w:val="center"/>
          </w:tcPr>
          <w:p>
            <w:r/>
            <w:r>
              <w:rPr>
                <w:rFonts w:ascii="Aptos" w:hAnsi="Aptos"/>
                <w:b/>
                <w:color w:val="17365D"/>
                <w:sz w:val="15"/>
              </w:rPr>
              <w:t>Freeze point</w:t>
            </w:r>
          </w:p>
        </w:tc>
      </w:tr>
      <w:tr>
        <w:trPr>
          <w:cantSplit w:val="true"/>
        </w:trPr>
        <w:tc>
          <w:tcPr>
            <w:tcW w:type="dxa" w:w="2098"/>
            <w:tcMar>
              <w:top w:w="70" w:type="dxa"/>
              <w:start w:w="90" w:type="dxa"/>
              <w:bottom w:w="70" w:type="dxa"/>
              <w:end w:w="90" w:type="dxa"/>
            </w:tcMar>
            <w:vAlign w:val="top"/>
          </w:tcPr>
          <w:p>
            <w:r/>
            <w:r>
              <w:rPr>
                <w:rFonts w:ascii="Aptos" w:hAnsi="Aptos"/>
                <w:sz w:val="15"/>
              </w:rPr>
              <w:t>G7.0 — Freeze ascent protocol</w:t>
            </w:r>
          </w:p>
        </w:tc>
        <w:tc>
          <w:tcPr>
            <w:tcW w:type="dxa" w:w="4932"/>
            <w:tcMar>
              <w:top w:w="70" w:type="dxa"/>
              <w:start w:w="90" w:type="dxa"/>
              <w:bottom w:w="70" w:type="dxa"/>
              <w:end w:w="90" w:type="dxa"/>
            </w:tcMar>
            <w:vAlign w:val="top"/>
          </w:tcPr>
          <w:p>
            <w:r/>
            <w:r>
              <w:rPr>
                <w:rFonts w:ascii="Aptos" w:hAnsi="Aptos"/>
                <w:sz w:val="15"/>
              </w:rPr>
              <w:t>Version the G6 proof library; freeze rank/terminal semantics; define structural candidate-selection metrics; preserve the two G6 historical exceptions as provenance-only.</w:t>
            </w:r>
          </w:p>
        </w:tc>
        <w:tc>
          <w:tcPr>
            <w:tcW w:type="dxa" w:w="2835"/>
            <w:tcMar>
              <w:top w:w="70" w:type="dxa"/>
              <w:start w:w="90" w:type="dxa"/>
              <w:bottom w:w="70" w:type="dxa"/>
              <w:end w:w="90" w:type="dxa"/>
            </w:tcMar>
            <w:vAlign w:val="top"/>
          </w:tcPr>
          <w:p>
            <w:r/>
            <w:r>
              <w:rPr>
                <w:rFonts w:ascii="Aptos" w:hAnsi="Aptos"/>
                <w:sz w:val="15"/>
              </w:rPr>
              <w:t>Candidate selection protocol and reproducible G6 anchor suite.</w:t>
            </w:r>
          </w:p>
        </w:tc>
      </w:tr>
      <w:tr>
        <w:trPr>
          <w:cantSplit w:val="true"/>
        </w:trPr>
        <w:tc>
          <w:tcPr>
            <w:tcW w:type="dxa" w:w="2098"/>
            <w:tcMar>
              <w:top w:w="70" w:type="dxa"/>
              <w:start w:w="90" w:type="dxa"/>
              <w:bottom w:w="70" w:type="dxa"/>
              <w:end w:w="90" w:type="dxa"/>
            </w:tcMar>
            <w:vAlign w:val="top"/>
          </w:tcPr>
          <w:p>
            <w:r/>
            <w:r>
              <w:rPr>
                <w:rFonts w:ascii="Aptos" w:hAnsi="Aptos"/>
                <w:sz w:val="15"/>
              </w:rPr>
              <w:t>G7.1 — Higher-tree position miner</w:t>
            </w:r>
          </w:p>
        </w:tc>
        <w:tc>
          <w:tcPr>
            <w:tcW w:type="dxa" w:w="4932"/>
            <w:tcMar>
              <w:top w:w="70" w:type="dxa"/>
              <w:start w:w="90" w:type="dxa"/>
              <w:bottom w:w="70" w:type="dxa"/>
              <w:end w:w="90" w:type="dxa"/>
            </w:tcMar>
            <w:vAlign w:val="top"/>
          </w:tcPr>
          <w:p>
            <w:r/>
            <w:r>
              <w:rPr>
                <w:rFonts w:ascii="Aptos" w:hAnsi="Aptos"/>
                <w:sz w:val="15"/>
              </w:rPr>
              <w:t>Enumerate material classes/windows one or two transition edges above solved anchors. Rank by tractability, transition diversity, checking density, topology novelty and symmetry — never by outcome truth.</w:t>
            </w:r>
          </w:p>
        </w:tc>
        <w:tc>
          <w:tcPr>
            <w:tcW w:type="dxa" w:w="2835"/>
            <w:tcMar>
              <w:top w:w="70" w:type="dxa"/>
              <w:start w:w="90" w:type="dxa"/>
              <w:bottom w:w="70" w:type="dxa"/>
              <w:end w:w="90" w:type="dxa"/>
            </w:tcMar>
            <w:vAlign w:val="top"/>
          </w:tcPr>
          <w:p>
            <w:r/>
            <w:r>
              <w:rPr>
                <w:rFonts w:ascii="Aptos" w:hAnsi="Aptos"/>
                <w:sz w:val="15"/>
              </w:rPr>
              <w:t>Frozen candidate atlas and 6–10 prospective family manifests.</w:t>
            </w:r>
          </w:p>
        </w:tc>
      </w:tr>
      <w:tr>
        <w:trPr>
          <w:cantSplit w:val="true"/>
        </w:trPr>
        <w:tc>
          <w:tcPr>
            <w:tcW w:type="dxa" w:w="2098"/>
            <w:tcMar>
              <w:top w:w="70" w:type="dxa"/>
              <w:start w:w="90" w:type="dxa"/>
              <w:bottom w:w="70" w:type="dxa"/>
              <w:end w:w="90" w:type="dxa"/>
            </w:tcMar>
            <w:vAlign w:val="top"/>
          </w:tcPr>
          <w:p>
            <w:r/>
            <w:r>
              <w:rPr>
                <w:rFonts w:ascii="Aptos" w:hAnsi="Aptos"/>
                <w:sz w:val="15"/>
              </w:rPr>
              <w:t>G7.2 — First six-man wave</w:t>
            </w:r>
          </w:p>
        </w:tc>
        <w:tc>
          <w:tcPr>
            <w:tcW w:type="dxa" w:w="4932"/>
            <w:tcMar>
              <w:top w:w="70" w:type="dxa"/>
              <w:start w:w="90" w:type="dxa"/>
              <w:bottom w:w="70" w:type="dxa"/>
              <w:end w:w="90" w:type="dxa"/>
            </w:tcMar>
            <w:vAlign w:val="top"/>
          </w:tcPr>
          <w:p>
            <w:r/>
            <w:r>
              <w:rPr>
                <w:rFonts w:ascii="Aptos" w:hAnsi="Aptos"/>
                <w:sz w:val="15"/>
              </w:rPr>
              <w:t>Exact-solve 2–3 selected six-man families. Build full lower-material dependency DAGs before symbolic inference.</w:t>
            </w:r>
          </w:p>
        </w:tc>
        <w:tc>
          <w:tcPr>
            <w:tcW w:type="dxa" w:w="2835"/>
            <w:tcMar>
              <w:top w:w="70" w:type="dxa"/>
              <w:start w:w="90" w:type="dxa"/>
              <w:bottom w:w="70" w:type="dxa"/>
              <w:end w:w="90" w:type="dxa"/>
            </w:tcMar>
            <w:vAlign w:val="top"/>
          </w:tcPr>
          <w:p>
            <w:r/>
            <w:r>
              <w:rPr>
                <w:rFonts w:ascii="Aptos" w:hAnsi="Aptos"/>
                <w:sz w:val="15"/>
              </w:rPr>
              <w:t>First higher-tree W/D/L baselines and transition graph.</w:t>
            </w:r>
          </w:p>
        </w:tc>
      </w:tr>
      <w:tr>
        <w:trPr>
          <w:cantSplit w:val="true"/>
        </w:trPr>
        <w:tc>
          <w:tcPr>
            <w:tcW w:type="dxa" w:w="2098"/>
            <w:tcMar>
              <w:top w:w="70" w:type="dxa"/>
              <w:start w:w="90" w:type="dxa"/>
              <w:bottom w:w="70" w:type="dxa"/>
              <w:end w:w="90" w:type="dxa"/>
            </w:tcMar>
            <w:vAlign w:val="top"/>
          </w:tcPr>
          <w:p>
            <w:r/>
            <w:r>
              <w:rPr>
                <w:rFonts w:ascii="Aptos" w:hAnsi="Aptos"/>
                <w:sz w:val="15"/>
              </w:rPr>
              <w:t>G7.3 — Capture/checking transition campaign</w:t>
            </w:r>
          </w:p>
        </w:tc>
        <w:tc>
          <w:tcPr>
            <w:tcW w:type="dxa" w:w="4932"/>
            <w:tcMar>
              <w:top w:w="70" w:type="dxa"/>
              <w:start w:w="90" w:type="dxa"/>
              <w:bottom w:w="70" w:type="dxa"/>
              <w:end w:w="90" w:type="dxa"/>
            </w:tcMar>
            <w:vAlign w:val="top"/>
          </w:tcPr>
          <w:p>
            <w:r/>
            <w:r>
              <w:rPr>
                <w:rFonts w:ascii="Aptos" w:hAnsi="Aptos"/>
                <w:sz w:val="15"/>
              </w:rPr>
              <w:t>Run arenas with multiple legal material-reduction choices and competing checks. Test whether lower-material endpoints behave as alternative certified targets.</w:t>
            </w:r>
          </w:p>
        </w:tc>
        <w:tc>
          <w:tcPr>
            <w:tcW w:type="dxa" w:w="2835"/>
            <w:tcMar>
              <w:top w:w="70" w:type="dxa"/>
              <w:start w:w="90" w:type="dxa"/>
              <w:bottom w:w="70" w:type="dxa"/>
              <w:end w:w="90" w:type="dxa"/>
            </w:tcMar>
            <w:vAlign w:val="top"/>
          </w:tcPr>
          <w:p>
            <w:r/>
            <w:r>
              <w:rPr>
                <w:rFonts w:ascii="Aptos" w:hAnsi="Aptos"/>
                <w:sz w:val="15"/>
              </w:rPr>
              <w:t>Transition-composition matrix; branch/hyperkernel counts over material endpoints.</w:t>
            </w:r>
          </w:p>
        </w:tc>
      </w:tr>
      <w:tr>
        <w:trPr>
          <w:cantSplit w:val="true"/>
        </w:trPr>
        <w:tc>
          <w:tcPr>
            <w:tcW w:type="dxa" w:w="2098"/>
            <w:tcMar>
              <w:top w:w="70" w:type="dxa"/>
              <w:start w:w="90" w:type="dxa"/>
              <w:bottom w:w="70" w:type="dxa"/>
              <w:end w:w="90" w:type="dxa"/>
            </w:tcMar>
            <w:vAlign w:val="top"/>
          </w:tcPr>
          <w:p>
            <w:r/>
            <w:r>
              <w:rPr>
                <w:rFonts w:ascii="Aptos" w:hAnsi="Aptos"/>
                <w:sz w:val="15"/>
              </w:rPr>
              <w:t>G7.4 — Seven-man / fortress-imbalance wave</w:t>
            </w:r>
          </w:p>
        </w:tc>
        <w:tc>
          <w:tcPr>
            <w:tcW w:type="dxa" w:w="4932"/>
            <w:tcMar>
              <w:top w:w="70" w:type="dxa"/>
              <w:start w:w="90" w:type="dxa"/>
              <w:bottom w:w="70" w:type="dxa"/>
              <w:end w:w="90" w:type="dxa"/>
            </w:tcMar>
            <w:vAlign w:val="top"/>
          </w:tcPr>
          <w:p>
            <w:r/>
            <w:r>
              <w:rPr>
                <w:rFonts w:ascii="Aptos" w:hAnsi="Aptos"/>
                <w:sz w:val="15"/>
              </w:rPr>
              <w:t>Execute tractable restricted seven-man or fortress-break families. Test defender sanctuary survival and resource-safe target construction under extra material.</w:t>
            </w:r>
          </w:p>
        </w:tc>
        <w:tc>
          <w:tcPr>
            <w:tcW w:type="dxa" w:w="2835"/>
            <w:tcMar>
              <w:top w:w="70" w:type="dxa"/>
              <w:start w:w="90" w:type="dxa"/>
              <w:bottom w:w="70" w:type="dxa"/>
              <w:end w:w="90" w:type="dxa"/>
            </w:tcMar>
            <w:vAlign w:val="top"/>
          </w:tcPr>
          <w:p>
            <w:r/>
            <w:r>
              <w:rPr>
                <w:rFonts w:ascii="Aptos" w:hAnsi="Aptos"/>
                <w:sz w:val="15"/>
              </w:rPr>
              <w:t>Higher-material sanctuary/target transfer verdicts.</w:t>
            </w:r>
          </w:p>
        </w:tc>
      </w:tr>
      <w:tr>
        <w:trPr>
          <w:cantSplit w:val="true"/>
        </w:trPr>
        <w:tc>
          <w:tcPr>
            <w:tcW w:type="dxa" w:w="2098"/>
            <w:tcMar>
              <w:top w:w="70" w:type="dxa"/>
              <w:start w:w="90" w:type="dxa"/>
              <w:bottom w:w="70" w:type="dxa"/>
              <w:end w:w="90" w:type="dxa"/>
            </w:tcMar>
            <w:vAlign w:val="top"/>
          </w:tcPr>
          <w:p>
            <w:r/>
            <w:r>
              <w:rPr>
                <w:rFonts w:ascii="Aptos" w:hAnsi="Aptos"/>
                <w:sz w:val="15"/>
              </w:rPr>
              <w:t>G7.5 — Fire G6 architecture upward</w:t>
            </w:r>
          </w:p>
        </w:tc>
        <w:tc>
          <w:tcPr>
            <w:tcW w:type="dxa" w:w="4932"/>
            <w:tcMar>
              <w:top w:w="70" w:type="dxa"/>
              <w:start w:w="90" w:type="dxa"/>
              <w:bottom w:w="70" w:type="dxa"/>
              <w:end w:w="90" w:type="dxa"/>
            </w:tcMar>
            <w:vAlign w:val="top"/>
          </w:tcPr>
          <w:p>
            <w:r/>
            <w:r>
              <w:rPr>
                <w:rFonts w:ascii="Aptos" w:hAnsi="Aptos"/>
                <w:sz w:val="15"/>
              </w:rPr>
              <w:t>Without retuning, apply PROJECT, FAR-domain restoration where type-compatible, TARGET constructors, strict attractors, branch/hyperkernels, sanctuary attractors, localization-lift and STOP.</w:t>
            </w:r>
          </w:p>
        </w:tc>
        <w:tc>
          <w:tcPr>
            <w:tcW w:type="dxa" w:w="2835"/>
            <w:tcMar>
              <w:top w:w="70" w:type="dxa"/>
              <w:start w:w="90" w:type="dxa"/>
              <w:bottom w:w="70" w:type="dxa"/>
              <w:end w:w="90" w:type="dxa"/>
            </w:tcMar>
            <w:vAlign w:val="top"/>
          </w:tcPr>
          <w:p>
            <w:r/>
            <w:r>
              <w:rPr>
                <w:rFonts w:ascii="Aptos" w:hAnsi="Aptos"/>
                <w:sz w:val="15"/>
              </w:rPr>
              <w:t>Architecture reuse matrix and marginal coverage before any new G7 grammar.</w:t>
            </w:r>
          </w:p>
        </w:tc>
      </w:tr>
      <w:tr>
        <w:trPr>
          <w:cantSplit w:val="true"/>
        </w:trPr>
        <w:tc>
          <w:tcPr>
            <w:tcW w:type="dxa" w:w="2098"/>
            <w:tcMar>
              <w:top w:w="70" w:type="dxa"/>
              <w:start w:w="90" w:type="dxa"/>
              <w:bottom w:w="70" w:type="dxa"/>
              <w:end w:w="90" w:type="dxa"/>
            </w:tcMar>
            <w:vAlign w:val="top"/>
          </w:tcPr>
          <w:p>
            <w:r/>
            <w:r>
              <w:rPr>
                <w:rFonts w:ascii="Aptos" w:hAnsi="Aptos"/>
                <w:sz w:val="15"/>
              </w:rPr>
              <w:t>G7.6 — Discover new abstractions</w:t>
            </w:r>
          </w:p>
        </w:tc>
        <w:tc>
          <w:tcPr>
            <w:tcW w:type="dxa" w:w="4932"/>
            <w:tcMar>
              <w:top w:w="70" w:type="dxa"/>
              <w:start w:w="90" w:type="dxa"/>
              <w:bottom w:w="70" w:type="dxa"/>
              <w:end w:w="90" w:type="dxa"/>
            </w:tcMar>
            <w:vAlign w:val="top"/>
          </w:tcPr>
          <w:p>
            <w:r/>
            <w:r>
              <w:rPr>
                <w:rFonts w:ascii="Aptos" w:hAnsi="Aptos"/>
                <w:sz w:val="15"/>
              </w:rPr>
              <w:t>Only after unchanged G6 firing, allow bounded program synthesis/decision trees/SAT templates to propose new semantic objects. Freeze on training families and evaluate on held-out higher-tree families.</w:t>
            </w:r>
          </w:p>
        </w:tc>
        <w:tc>
          <w:tcPr>
            <w:tcW w:type="dxa" w:w="2835"/>
            <w:tcMar>
              <w:top w:w="70" w:type="dxa"/>
              <w:start w:w="90" w:type="dxa"/>
              <w:bottom w:w="70" w:type="dxa"/>
              <w:end w:w="90" w:type="dxa"/>
            </w:tcMar>
            <w:vAlign w:val="top"/>
          </w:tcPr>
          <w:p>
            <w:r/>
            <w:r>
              <w:rPr>
                <w:rFonts w:ascii="Aptos" w:hAnsi="Aptos"/>
                <w:sz w:val="15"/>
              </w:rPr>
              <w:t>New candidate proof objects with prospective held-out certificates or falsifications.</w:t>
            </w:r>
          </w:p>
        </w:tc>
      </w:tr>
      <w:tr>
        <w:trPr>
          <w:cantSplit w:val="true"/>
        </w:trPr>
        <w:tc>
          <w:tcPr>
            <w:tcW w:type="dxa" w:w="2098"/>
            <w:tcMar>
              <w:top w:w="70" w:type="dxa"/>
              <w:start w:w="90" w:type="dxa"/>
              <w:bottom w:w="70" w:type="dxa"/>
              <w:end w:w="90" w:type="dxa"/>
            </w:tcMar>
            <w:vAlign w:val="top"/>
          </w:tcPr>
          <w:p>
            <w:r/>
            <w:r>
              <w:rPr>
                <w:rFonts w:ascii="Aptos" w:hAnsi="Aptos"/>
                <w:sz w:val="15"/>
              </w:rPr>
              <w:t>G7.7 — Fire G7 objects backward</w:t>
            </w:r>
          </w:p>
        </w:tc>
        <w:tc>
          <w:tcPr>
            <w:tcW w:type="dxa" w:w="4932"/>
            <w:tcMar>
              <w:top w:w="70" w:type="dxa"/>
              <w:start w:w="90" w:type="dxa"/>
              <w:bottom w:w="70" w:type="dxa"/>
              <w:end w:w="90" w:type="dxa"/>
            </w:tcMar>
            <w:vAlign w:val="top"/>
          </w:tcPr>
          <w:p>
            <w:r/>
            <w:r>
              <w:rPr>
                <w:rFonts w:ascii="Aptos" w:hAnsi="Aptos"/>
                <w:sz w:val="15"/>
              </w:rPr>
              <w:t>Apply every promoted G7 abstraction to the frozen G6 benchmark corpus and historical exact arenas where its type applies. Measure subsumption, contradictions, sharpened domains and marginal retroactive coverage.</w:t>
            </w:r>
          </w:p>
        </w:tc>
        <w:tc>
          <w:tcPr>
            <w:tcW w:type="dxa" w:w="2835"/>
            <w:tcMar>
              <w:top w:w="70" w:type="dxa"/>
              <w:start w:w="90" w:type="dxa"/>
              <w:bottom w:w="70" w:type="dxa"/>
              <w:end w:w="90" w:type="dxa"/>
            </w:tcMar>
            <w:vAlign w:val="top"/>
          </w:tcPr>
          <w:p>
            <w:r/>
            <w:r>
              <w:rPr>
                <w:rFonts w:ascii="Aptos" w:hAnsi="Aptos"/>
                <w:sz w:val="15"/>
              </w:rPr>
              <w:t>Bidirectional transfer matrix; no “general” label without backward audit.</w:t>
            </w:r>
          </w:p>
        </w:tc>
      </w:tr>
      <w:tr>
        <w:trPr>
          <w:cantSplit w:val="true"/>
        </w:trPr>
        <w:tc>
          <w:tcPr>
            <w:tcW w:type="dxa" w:w="2098"/>
            <w:tcMar>
              <w:top w:w="70" w:type="dxa"/>
              <w:start w:w="90" w:type="dxa"/>
              <w:bottom w:w="70" w:type="dxa"/>
              <w:end w:w="90" w:type="dxa"/>
            </w:tcMar>
            <w:vAlign w:val="top"/>
          </w:tcPr>
          <w:p>
            <w:r/>
            <w:r>
              <w:rPr>
                <w:rFonts w:ascii="Aptos" w:hAnsi="Aptos"/>
                <w:sz w:val="15"/>
              </w:rPr>
              <w:t>G7.8 — Proof-graph ascent and adversarial controls</w:t>
            </w:r>
          </w:p>
        </w:tc>
        <w:tc>
          <w:tcPr>
            <w:tcW w:type="dxa" w:w="4932"/>
            <w:tcMar>
              <w:top w:w="70" w:type="dxa"/>
              <w:start w:w="90" w:type="dxa"/>
              <w:bottom w:w="70" w:type="dxa"/>
              <w:end w:w="90" w:type="dxa"/>
            </w:tcMar>
            <w:vAlign w:val="top"/>
          </w:tcPr>
          <w:p>
            <w:r/>
            <w:r>
              <w:rPr>
                <w:rFonts w:ascii="Aptos" w:hAnsi="Aptos"/>
                <w:sz w:val="15"/>
              </w:rPr>
              <w:t>Search bounded compositions across multiple material-transition layers; measure proof depth, kernel amplification and certificate growth. Run at least two hostile high-branch controls.</w:t>
            </w:r>
          </w:p>
        </w:tc>
        <w:tc>
          <w:tcPr>
            <w:tcW w:type="dxa" w:w="2835"/>
            <w:tcMar>
              <w:top w:w="70" w:type="dxa"/>
              <w:start w:w="90" w:type="dxa"/>
              <w:bottom w:w="70" w:type="dxa"/>
              <w:end w:w="90" w:type="dxa"/>
            </w:tcMar>
            <w:vAlign w:val="top"/>
          </w:tcPr>
          <w:p>
            <w:r/>
            <w:r>
              <w:rPr>
                <w:rFonts w:ascii="Aptos" w:hAnsi="Aptos"/>
                <w:sz w:val="15"/>
              </w:rPr>
              <w:t>Multi-level proof DAG and scaling/complexity-floor evidence.</w:t>
            </w:r>
          </w:p>
        </w:tc>
      </w:tr>
      <w:tr>
        <w:trPr>
          <w:cantSplit w:val="true"/>
        </w:trPr>
        <w:tc>
          <w:tcPr>
            <w:tcW w:type="dxa" w:w="2098"/>
            <w:tcMar>
              <w:top w:w="70" w:type="dxa"/>
              <w:start w:w="90" w:type="dxa"/>
              <w:bottom w:w="70" w:type="dxa"/>
              <w:end w:w="90" w:type="dxa"/>
            </w:tcMar>
            <w:vAlign w:val="top"/>
          </w:tcPr>
          <w:p>
            <w:r/>
            <w:r>
              <w:rPr>
                <w:rFonts w:ascii="Aptos" w:hAnsi="Aptos"/>
                <w:sz w:val="15"/>
              </w:rPr>
              <w:t>G7.9 — Cross-level synthesis</w:t>
            </w:r>
          </w:p>
        </w:tc>
        <w:tc>
          <w:tcPr>
            <w:tcW w:type="dxa" w:w="4932"/>
            <w:tcMar>
              <w:top w:w="70" w:type="dxa"/>
              <w:start w:w="90" w:type="dxa"/>
              <w:bottom w:w="70" w:type="dxa"/>
              <w:end w:w="90" w:type="dxa"/>
            </w:tcMar>
            <w:vAlign w:val="top"/>
          </w:tcPr>
          <w:p>
            <w:r/>
            <w:r>
              <w:rPr>
                <w:rFonts w:ascii="Aptos" w:hAnsi="Aptos"/>
                <w:sz w:val="15"/>
              </w:rPr>
              <w:t>Classify which G6 operations survive ascent, which new objects emerge, and where proof cost or model complexity becomes dominant. Decide whether G8 should ascend further, broaden rules, or consolidate repository-quality certification.</w:t>
            </w:r>
          </w:p>
        </w:tc>
        <w:tc>
          <w:tcPr>
            <w:tcW w:type="dxa" w:w="2835"/>
            <w:tcMar>
              <w:top w:w="70" w:type="dxa"/>
              <w:start w:w="90" w:type="dxa"/>
              <w:bottom w:w="70" w:type="dxa"/>
              <w:end w:w="90" w:type="dxa"/>
            </w:tcMar>
            <w:vAlign w:val="top"/>
          </w:tcPr>
          <w:p>
            <w:r/>
            <w:r>
              <w:rPr>
                <w:rFonts w:ascii="Aptos" w:hAnsi="Aptos"/>
                <w:sz w:val="15"/>
              </w:rPr>
              <w:t>Final G7 handoff, updated proof-language spec, higher-tree benchmark bundle and G8 strategy gate.</w:t>
            </w:r>
          </w:p>
        </w:tc>
      </w:tr>
    </w:tbl>
    <w:p>
      <w:pPr>
        <w:spacing w:after="20"/>
      </w:pPr>
    </w:p>
    <w:p>
      <w:pPr>
        <w:pStyle w:val="Heading1"/>
      </w:pPr>
      <w:r>
        <w:t>6. “Fire it back” protocol</w:t>
      </w:r>
    </w:p>
    <w:p>
      <w:r>
        <w:t>G7 should treat transfer as bidirectional. A rule discovered higher up the tree is not “more general” merely because it solves a larger material class. It must be checked against the existing architecture and historical corpus.</w:t>
      </w:r>
    </w:p>
    <w:p>
      <w:pPr>
        <w:spacing w:after="50"/>
        <w:ind w:left="408" w:hanging="312"/>
      </w:pPr>
      <w:r>
        <w:rPr>
          <w:rFonts w:ascii="Aptos" w:hAnsi="Aptos"/>
          <w:b w:val="0"/>
        </w:rPr>
        <w:t>1.</w:t>
      </w:r>
      <w:r>
        <w:t xml:space="preserve">  UPWARD FIRE: after a new position family is frozen, apply every type-compatible G6 proof object unchanged before any new symbolic search.</w:t>
      </w:r>
    </w:p>
    <w:p>
      <w:pPr>
        <w:spacing w:after="50"/>
        <w:ind w:left="408" w:hanging="312"/>
      </w:pPr>
      <w:r>
        <w:rPr>
          <w:rFonts w:ascii="Aptos" w:hAnsi="Aptos"/>
          <w:b w:val="0"/>
        </w:rPr>
        <w:t>2.</w:t>
      </w:r>
      <w:r>
        <w:t xml:space="preserve">  COMPOSITION FIRE: represent lower-material exits as proof-graph nodes and test branch/hyperkernel composition across alternative capture/exchange endpoints, not only square predicates.</w:t>
      </w:r>
    </w:p>
    <w:p>
      <w:pPr>
        <w:spacing w:after="50"/>
        <w:ind w:left="408" w:hanging="312"/>
      </w:pPr>
      <w:r>
        <w:rPr>
          <w:rFonts w:ascii="Aptos" w:hAnsi="Aptos"/>
          <w:b w:val="0"/>
        </w:rPr>
        <w:t>3.</w:t>
      </w:r>
      <w:r>
        <w:t xml:space="preserve">  BACKWARD FIRE: apply each promoted G7 object to G6 benchmark families and quantify exact subsumption, marginal coverage, conflicts and counterexamples.</w:t>
      </w:r>
    </w:p>
    <w:p>
      <w:pPr>
        <w:spacing w:after="50"/>
        <w:ind w:left="408" w:hanging="312"/>
      </w:pPr>
      <w:r>
        <w:rPr>
          <w:rFonts w:ascii="Aptos" w:hAnsi="Aptos"/>
          <w:b w:val="0"/>
        </w:rPr>
        <w:t>4.</w:t>
      </w:r>
      <w:r>
        <w:t xml:space="preserve">  REFACTOR: if a G7 object strictly subsumes several G6 lemmas, replace them only in the new proof-language version while preserving frozen historical IDs and dependency provenance.</w:t>
      </w:r>
    </w:p>
    <w:p>
      <w:pPr>
        <w:spacing w:after="50"/>
        <w:ind w:left="408" w:hanging="312"/>
      </w:pPr>
      <w:r>
        <w:rPr>
          <w:rFonts w:ascii="Aptos" w:hAnsi="Aptos"/>
          <w:b w:val="0"/>
        </w:rPr>
        <w:t>5.</w:t>
      </w:r>
      <w:r>
        <w:t xml:space="preserve">  NEGATIVE PRESERVATION: if a higher-tree rule fails on a G6 family, retain the counterexample and narrow the type/domain rather than patching square IDs.</w:t>
      </w:r>
    </w:p>
    <w:p>
      <w:pPr>
        <w:pStyle w:val="Heading1"/>
      </w:pPr>
      <w:r>
        <w:t>7. Automatic discovery under proof discipline</w:t>
      </w:r>
    </w:p>
    <w:p>
      <w:pPr>
        <w:pStyle w:val="ListBullet"/>
        <w:spacing w:after="50"/>
      </w:pPr>
      <w:r>
        <w:t>Candidate discovery may use decision trees, symbolic regression, SAT/SMT templates, small program synthesis or graph-feature mining.</w:t>
      </w:r>
    </w:p>
    <w:p>
      <w:pPr>
        <w:pStyle w:val="ListBullet"/>
        <w:spacing w:after="50"/>
      </w:pPr>
      <w:r>
        <w:t>Features must be versioned semantic atoms: move/check access, material-transition labels, defended capture squares, promotion/fortress resources, relative geometry and exact lower-material object membership.</w:t>
      </w:r>
    </w:p>
    <w:p>
      <w:pPr>
        <w:pStyle w:val="ListBullet"/>
        <w:spacing w:after="50"/>
      </w:pPr>
      <w:r>
        <w:t>No learned model is proof. Every promoted rule is flattened and exhaustively scanned on its stated finite domain.</w:t>
      </w:r>
    </w:p>
    <w:p>
      <w:pPr>
        <w:pStyle w:val="ListBullet"/>
        <w:spacing w:after="50"/>
      </w:pPr>
      <w:r>
        <w:t>Hold out entire material/topology families, not random states from the same arena.</w:t>
      </w:r>
    </w:p>
    <w:p>
      <w:pPr>
        <w:pStyle w:val="ListBullet"/>
        <w:spacing w:after="50"/>
      </w:pPr>
      <w:r>
        <w:t>Penalize absolute square identifiers and one-off constants unless they arise from symmetry-relative coordinate systems.</w:t>
      </w:r>
    </w:p>
    <w:p>
      <w:pPr>
        <w:pStyle w:val="ListBullet"/>
        <w:spacing w:after="50"/>
      </w:pPr>
      <w:r>
        <w:t>Use description cost and certificate size as co-equal metrics with coverage.</w:t>
      </w:r>
    </w:p>
    <w:p>
      <w:pPr>
        <w:pStyle w:val="Heading1"/>
      </w:pPr>
      <w:r>
        <w:t>8. New proof-object types G7 should actively look for</w:t>
      </w:r>
    </w:p>
    <w:tbl>
      <w:tblPr>
        <w:tblStyle w:val="TableGrid"/>
        <w:tblW w:type="auto" w:w="0"/>
        <w:jc w:val="center"/>
        <w:tblLook w:firstColumn="1" w:firstRow="1" w:lastColumn="0" w:lastRow="0" w:noHBand="0" w:noVBand="1" w:val="04A0"/>
      </w:tblPr>
      <w:tblGrid>
        <w:gridCol w:w="4876"/>
        <w:gridCol w:w="4876"/>
      </w:tblGrid>
      <w:tr>
        <w:trPr>
          <w:tblHeader w:val="true"/>
          <w:cantSplit w:val="true"/>
        </w:trPr>
        <w:tc>
          <w:tcPr>
            <w:tcW w:type="dxa" w:w="3061"/>
            <w:shd w:fill="D9EAF2"/>
            <w:tcMar>
              <w:top w:w="70" w:type="dxa"/>
              <w:start w:w="90" w:type="dxa"/>
              <w:bottom w:w="70" w:type="dxa"/>
              <w:end w:w="90" w:type="dxa"/>
            </w:tcMar>
            <w:vAlign w:val="center"/>
          </w:tcPr>
          <w:p>
            <w:r/>
            <w:r>
              <w:rPr>
                <w:rFonts w:ascii="Aptos" w:hAnsi="Aptos"/>
                <w:b/>
                <w:color w:val="17365D"/>
                <w:sz w:val="16"/>
              </w:rPr>
              <w:t>Candidate object</w:t>
            </w:r>
          </w:p>
        </w:tc>
        <w:tc>
          <w:tcPr>
            <w:tcW w:type="dxa" w:w="6803"/>
            <w:shd w:fill="D9EAF2"/>
            <w:tcMar>
              <w:top w:w="70" w:type="dxa"/>
              <w:start w:w="90" w:type="dxa"/>
              <w:bottom w:w="70" w:type="dxa"/>
              <w:end w:w="90" w:type="dxa"/>
            </w:tcMar>
            <w:vAlign w:val="center"/>
          </w:tcPr>
          <w:p>
            <w:r/>
            <w:r>
              <w:rPr>
                <w:rFonts w:ascii="Aptos" w:hAnsi="Aptos"/>
                <w:b/>
                <w:color w:val="17365D"/>
                <w:sz w:val="16"/>
              </w:rPr>
              <w:t>Question</w:t>
            </w:r>
          </w:p>
        </w:tc>
      </w:tr>
      <w:tr>
        <w:trPr>
          <w:cantSplit w:val="true"/>
        </w:trPr>
        <w:tc>
          <w:tcPr>
            <w:tcW w:type="dxa" w:w="3061"/>
            <w:tcMar>
              <w:top w:w="70" w:type="dxa"/>
              <w:start w:w="90" w:type="dxa"/>
              <w:bottom w:w="70" w:type="dxa"/>
              <w:end w:w="90" w:type="dxa"/>
            </w:tcMar>
            <w:vAlign w:val="top"/>
          </w:tcPr>
          <w:p>
            <w:r/>
            <w:r>
              <w:rPr>
                <w:rFonts w:ascii="Aptos" w:hAnsi="Aptos"/>
                <w:sz w:val="16"/>
              </w:rPr>
              <w:t>Exchange funnel</w:t>
            </w:r>
          </w:p>
        </w:tc>
        <w:tc>
          <w:tcPr>
            <w:tcW w:type="dxa" w:w="6803"/>
            <w:tcMar>
              <w:top w:w="70" w:type="dxa"/>
              <w:start w:w="90" w:type="dxa"/>
              <w:bottom w:w="70" w:type="dxa"/>
              <w:end w:w="90" w:type="dxa"/>
            </w:tcMar>
            <w:vAlign w:val="top"/>
          </w:tcPr>
          <w:p>
            <w:r/>
            <w:r>
              <w:rPr>
                <w:rFonts w:ascii="Aptos" w:hAnsi="Aptos"/>
                <w:sz w:val="16"/>
              </w:rPr>
              <w:t>Can a side force entry into one of several lower-material exact subgames, where the defender chooses which exchange occurs? This is BRIDGE over material endpoints.</w:t>
            </w:r>
          </w:p>
        </w:tc>
      </w:tr>
      <w:tr>
        <w:trPr>
          <w:cantSplit w:val="true"/>
        </w:trPr>
        <w:tc>
          <w:tcPr>
            <w:tcW w:type="dxa" w:w="3061"/>
            <w:tcMar>
              <w:top w:w="70" w:type="dxa"/>
              <w:start w:w="90" w:type="dxa"/>
              <w:bottom w:w="70" w:type="dxa"/>
              <w:end w:w="90" w:type="dxa"/>
            </w:tcMar>
            <w:vAlign w:val="top"/>
          </w:tcPr>
          <w:p>
            <w:r/>
            <w:r>
              <w:rPr>
                <w:rFonts w:ascii="Aptos" w:hAnsi="Aptos"/>
                <w:sz w:val="16"/>
              </w:rPr>
              <w:t>Check corridor / checking net</w:t>
            </w:r>
          </w:p>
        </w:tc>
        <w:tc>
          <w:tcPr>
            <w:tcW w:type="dxa" w:w="6803"/>
            <w:tcMar>
              <w:top w:w="70" w:type="dxa"/>
              <w:start w:w="90" w:type="dxa"/>
              <w:bottom w:w="70" w:type="dxa"/>
              <w:end w:w="90" w:type="dxa"/>
            </w:tcMar>
            <w:vAlign w:val="top"/>
          </w:tcPr>
          <w:p>
            <w:r/>
            <w:r>
              <w:rPr>
                <w:rFonts w:ascii="Aptos" w:hAnsi="Aptos"/>
                <w:sz w:val="16"/>
              </w:rPr>
              <w:t>Can repeated checks force a piece/king into a certified region without encoding a variation tree?</w:t>
            </w:r>
          </w:p>
        </w:tc>
      </w:tr>
      <w:tr>
        <w:trPr>
          <w:cantSplit w:val="true"/>
        </w:trPr>
        <w:tc>
          <w:tcPr>
            <w:tcW w:type="dxa" w:w="3061"/>
            <w:tcMar>
              <w:top w:w="70" w:type="dxa"/>
              <w:start w:w="90" w:type="dxa"/>
              <w:bottom w:w="70" w:type="dxa"/>
              <w:end w:w="90" w:type="dxa"/>
            </w:tcMar>
            <w:vAlign w:val="top"/>
          </w:tcPr>
          <w:p>
            <w:r/>
            <w:r>
              <w:rPr>
                <w:rFonts w:ascii="Aptos" w:hAnsi="Aptos"/>
                <w:sz w:val="16"/>
              </w:rPr>
              <w:t>Resource dominance certificate</w:t>
            </w:r>
          </w:p>
        </w:tc>
        <w:tc>
          <w:tcPr>
            <w:tcW w:type="dxa" w:w="6803"/>
            <w:tcMar>
              <w:top w:w="70" w:type="dxa"/>
              <w:start w:w="90" w:type="dxa"/>
              <w:bottom w:w="70" w:type="dxa"/>
              <w:end w:w="90" w:type="dxa"/>
            </w:tcMar>
            <w:vAlign w:val="top"/>
          </w:tcPr>
          <w:p>
            <w:r/>
            <w:r>
              <w:rPr>
                <w:rFonts w:ascii="Aptos" w:hAnsi="Aptos"/>
                <w:sz w:val="16"/>
              </w:rPr>
              <w:t>Can a set of exact resources be shown to dominate another before material reduction, generalizing race/access guards?</w:t>
            </w:r>
          </w:p>
        </w:tc>
      </w:tr>
      <w:tr>
        <w:trPr>
          <w:cantSplit w:val="true"/>
        </w:trPr>
        <w:tc>
          <w:tcPr>
            <w:tcW w:type="dxa" w:w="3061"/>
            <w:tcMar>
              <w:top w:w="70" w:type="dxa"/>
              <w:start w:w="90" w:type="dxa"/>
              <w:bottom w:w="70" w:type="dxa"/>
              <w:end w:w="90" w:type="dxa"/>
            </w:tcMar>
            <w:vAlign w:val="top"/>
          </w:tcPr>
          <w:p>
            <w:r/>
            <w:r>
              <w:rPr>
                <w:rFonts w:ascii="Aptos" w:hAnsi="Aptos"/>
                <w:sz w:val="16"/>
              </w:rPr>
              <w:t>Sanctuary preservation / destruction theorem</w:t>
            </w:r>
          </w:p>
        </w:tc>
        <w:tc>
          <w:tcPr>
            <w:tcW w:type="dxa" w:w="6803"/>
            <w:tcMar>
              <w:top w:w="70" w:type="dxa"/>
              <w:start w:w="90" w:type="dxa"/>
              <w:bottom w:w="70" w:type="dxa"/>
              <w:end w:w="90" w:type="dxa"/>
            </w:tcMar>
            <w:vAlign w:val="top"/>
          </w:tcPr>
          <w:p>
            <w:r/>
            <w:r>
              <w:rPr>
                <w:rFonts w:ascii="Aptos" w:hAnsi="Aptos"/>
                <w:sz w:val="16"/>
              </w:rPr>
              <w:t>When does an extra piece preserve or break a lower-material defender sanctuary?</w:t>
            </w:r>
          </w:p>
        </w:tc>
      </w:tr>
      <w:tr>
        <w:trPr>
          <w:cantSplit w:val="true"/>
        </w:trPr>
        <w:tc>
          <w:tcPr>
            <w:tcW w:type="dxa" w:w="3061"/>
            <w:tcMar>
              <w:top w:w="70" w:type="dxa"/>
              <w:start w:w="90" w:type="dxa"/>
              <w:bottom w:w="70" w:type="dxa"/>
              <w:end w:w="90" w:type="dxa"/>
            </w:tcMar>
            <w:vAlign w:val="top"/>
          </w:tcPr>
          <w:p>
            <w:r/>
            <w:r>
              <w:rPr>
                <w:rFonts w:ascii="Aptos" w:hAnsi="Aptos"/>
                <w:sz w:val="16"/>
              </w:rPr>
              <w:t>Multi-projection consistency theorem</w:t>
            </w:r>
          </w:p>
        </w:tc>
        <w:tc>
          <w:tcPr>
            <w:tcW w:type="dxa" w:w="6803"/>
            <w:tcMar>
              <w:top w:w="70" w:type="dxa"/>
              <w:start w:w="90" w:type="dxa"/>
              <w:bottom w:w="70" w:type="dxa"/>
              <w:end w:w="90" w:type="dxa"/>
            </w:tcMar>
            <w:vAlign w:val="top"/>
          </w:tcPr>
          <w:p>
            <w:r/>
            <w:r>
              <w:rPr>
                <w:rFonts w:ascii="Aptos" w:hAnsi="Aptos"/>
                <w:sz w:val="16"/>
              </w:rPr>
              <w:t>When several legal deletions/exchanges project to exact truths, what joint condition certifies the full state?</w:t>
            </w:r>
          </w:p>
        </w:tc>
      </w:tr>
      <w:tr>
        <w:trPr>
          <w:cantSplit w:val="true"/>
        </w:trPr>
        <w:tc>
          <w:tcPr>
            <w:tcW w:type="dxa" w:w="3061"/>
            <w:tcMar>
              <w:top w:w="70" w:type="dxa"/>
              <w:start w:w="90" w:type="dxa"/>
              <w:bottom w:w="70" w:type="dxa"/>
              <w:end w:w="90" w:type="dxa"/>
            </w:tcMar>
            <w:vAlign w:val="top"/>
          </w:tcPr>
          <w:p>
            <w:r/>
            <w:r>
              <w:rPr>
                <w:rFonts w:ascii="Aptos" w:hAnsi="Aptos"/>
                <w:sz w:val="16"/>
              </w:rPr>
              <w:t>Transition hyperkernel</w:t>
            </w:r>
          </w:p>
        </w:tc>
        <w:tc>
          <w:tcPr>
            <w:tcW w:type="dxa" w:w="6803"/>
            <w:tcMar>
              <w:top w:w="70" w:type="dxa"/>
              <w:start w:w="90" w:type="dxa"/>
              <w:bottom w:w="70" w:type="dxa"/>
              <w:end w:w="90" w:type="dxa"/>
            </w:tcMar>
            <w:vAlign w:val="top"/>
          </w:tcPr>
          <w:p>
            <w:r/>
            <w:r>
              <w:rPr>
                <w:rFonts w:ascii="Aptos" w:hAnsi="Aptos"/>
                <w:sz w:val="16"/>
              </w:rPr>
              <w:t>n-way defender choice among materially distinct certified subgames, extending target hyperkernels.</w:t>
            </w:r>
          </w:p>
        </w:tc>
      </w:tr>
    </w:tbl>
    <w:p>
      <w:pPr>
        <w:spacing w:after="20"/>
      </w:pPr>
    </w:p>
    <w:p>
      <w:r>
        <w:t>These are hypotheses for discovery, not assumptions. If they reduce to existing G6 object types, that is a useful result; if they fail, preserve the falsification.</w:t>
      </w:r>
    </w:p>
    <w:p>
      <w:pPr>
        <w:pStyle w:val="Heading1"/>
      </w:pPr>
      <w:r>
        <w:t>9. Quantitative dashboard</w:t>
      </w:r>
    </w:p>
    <w:tbl>
      <w:tblPr>
        <w:tblStyle w:val="TableGrid"/>
        <w:tblW w:type="auto" w:w="0"/>
        <w:jc w:val="center"/>
        <w:tblLook w:firstColumn="1" w:firstRow="1" w:lastColumn="0" w:lastRow="0" w:noHBand="0" w:noVBand="1" w:val="04A0"/>
      </w:tblPr>
      <w:tblGrid>
        <w:gridCol w:w="4876"/>
        <w:gridCol w:w="4876"/>
      </w:tblGrid>
      <w:tr>
        <w:trPr>
          <w:tblHeader w:val="true"/>
          <w:cantSplit w:val="true"/>
        </w:trPr>
        <w:tc>
          <w:tcPr>
            <w:tcW w:type="dxa" w:w="3969"/>
            <w:shd w:fill="D9EAF2"/>
            <w:tcMar>
              <w:top w:w="70" w:type="dxa"/>
              <w:start w:w="90" w:type="dxa"/>
              <w:bottom w:w="70" w:type="dxa"/>
              <w:end w:w="90" w:type="dxa"/>
            </w:tcMar>
            <w:vAlign w:val="center"/>
          </w:tcPr>
          <w:p>
            <w:r/>
            <w:r>
              <w:rPr>
                <w:rFonts w:ascii="Aptos" w:hAnsi="Aptos"/>
                <w:b/>
                <w:color w:val="17365D"/>
                <w:sz w:val="16"/>
              </w:rPr>
              <w:t>Metric</w:t>
            </w:r>
          </w:p>
        </w:tc>
        <w:tc>
          <w:tcPr>
            <w:tcW w:type="dxa" w:w="5896"/>
            <w:shd w:fill="D9EAF2"/>
            <w:tcMar>
              <w:top w:w="70" w:type="dxa"/>
              <w:start w:w="90" w:type="dxa"/>
              <w:bottom w:w="70" w:type="dxa"/>
              <w:end w:w="90" w:type="dxa"/>
            </w:tcMar>
            <w:vAlign w:val="center"/>
          </w:tcPr>
          <w:p>
            <w:r/>
            <w:r>
              <w:rPr>
                <w:rFonts w:ascii="Aptos" w:hAnsi="Aptos"/>
                <w:b/>
                <w:color w:val="17365D"/>
                <w:sz w:val="16"/>
              </w:rPr>
              <w:t>Why it matters</w:t>
            </w:r>
          </w:p>
        </w:tc>
      </w:tr>
      <w:tr>
        <w:trPr>
          <w:cantSplit w:val="true"/>
        </w:trPr>
        <w:tc>
          <w:tcPr>
            <w:tcW w:type="dxa" w:w="3969"/>
            <w:tcMar>
              <w:top w:w="70" w:type="dxa"/>
              <w:start w:w="90" w:type="dxa"/>
              <w:bottom w:w="70" w:type="dxa"/>
              <w:end w:w="90" w:type="dxa"/>
            </w:tcMar>
            <w:vAlign w:val="top"/>
          </w:tcPr>
          <w:p>
            <w:r/>
            <w:r>
              <w:rPr>
                <w:rFonts w:ascii="Aptos" w:hAnsi="Aptos"/>
                <w:sz w:val="16"/>
              </w:rPr>
              <w:t>Material-transition depth above exact anchors</w:t>
            </w:r>
          </w:p>
        </w:tc>
        <w:tc>
          <w:tcPr>
            <w:tcW w:type="dxa" w:w="5896"/>
            <w:tcMar>
              <w:top w:w="70" w:type="dxa"/>
              <w:start w:w="90" w:type="dxa"/>
              <w:bottom w:w="70" w:type="dxa"/>
              <w:end w:w="90" w:type="dxa"/>
            </w:tcMar>
            <w:vAlign w:val="top"/>
          </w:tcPr>
          <w:p>
            <w:r/>
            <w:r>
              <w:rPr>
                <w:rFonts w:ascii="Aptos" w:hAnsi="Aptos"/>
                <w:sz w:val="16"/>
              </w:rPr>
              <w:t>Measures genuine ascent rather than local topology repetition.</w:t>
            </w:r>
          </w:p>
        </w:tc>
      </w:tr>
      <w:tr>
        <w:trPr>
          <w:cantSplit w:val="true"/>
        </w:trPr>
        <w:tc>
          <w:tcPr>
            <w:tcW w:type="dxa" w:w="3969"/>
            <w:tcMar>
              <w:top w:w="70" w:type="dxa"/>
              <w:start w:w="90" w:type="dxa"/>
              <w:bottom w:w="70" w:type="dxa"/>
              <w:end w:w="90" w:type="dxa"/>
            </w:tcMar>
            <w:vAlign w:val="top"/>
          </w:tcPr>
          <w:p>
            <w:r/>
            <w:r>
              <w:rPr>
                <w:rFonts w:ascii="Aptos" w:hAnsi="Aptos"/>
                <w:sz w:val="16"/>
              </w:rPr>
              <w:t>Raw/static-valid states; W/D/L; solve ranks under declared convention</w:t>
            </w:r>
          </w:p>
        </w:tc>
        <w:tc>
          <w:tcPr>
            <w:tcW w:type="dxa" w:w="5896"/>
            <w:tcMar>
              <w:top w:w="70" w:type="dxa"/>
              <w:start w:w="90" w:type="dxa"/>
              <w:bottom w:w="70" w:type="dxa"/>
              <w:end w:w="90" w:type="dxa"/>
            </w:tcMar>
            <w:vAlign w:val="top"/>
          </w:tcPr>
          <w:p>
            <w:r/>
            <w:r>
              <w:rPr>
                <w:rFonts w:ascii="Aptos" w:hAnsi="Aptos"/>
                <w:sz w:val="16"/>
              </w:rPr>
              <w:t>Ground truth and scale.</w:t>
            </w:r>
          </w:p>
        </w:tc>
      </w:tr>
      <w:tr>
        <w:trPr>
          <w:cantSplit w:val="true"/>
        </w:trPr>
        <w:tc>
          <w:tcPr>
            <w:tcW w:type="dxa" w:w="3969"/>
            <w:tcMar>
              <w:top w:w="70" w:type="dxa"/>
              <w:start w:w="90" w:type="dxa"/>
              <w:bottom w:w="70" w:type="dxa"/>
              <w:end w:w="90" w:type="dxa"/>
            </w:tcMar>
            <w:vAlign w:val="top"/>
          </w:tcPr>
          <w:p>
            <w:r/>
            <w:r>
              <w:rPr>
                <w:rFonts w:ascii="Aptos" w:hAnsi="Aptos"/>
                <w:sz w:val="16"/>
              </w:rPr>
              <w:t>Mean/max legal branching; checking/capture branching</w:t>
            </w:r>
          </w:p>
        </w:tc>
        <w:tc>
          <w:tcPr>
            <w:tcW w:type="dxa" w:w="5896"/>
            <w:tcMar>
              <w:top w:w="70" w:type="dxa"/>
              <w:start w:w="90" w:type="dxa"/>
              <w:bottom w:w="70" w:type="dxa"/>
              <w:end w:w="90" w:type="dxa"/>
            </w:tcMar>
            <w:vAlign w:val="top"/>
          </w:tcPr>
          <w:p>
            <w:r/>
            <w:r>
              <w:rPr>
                <w:rFonts w:ascii="Aptos" w:hAnsi="Aptos"/>
                <w:sz w:val="16"/>
              </w:rPr>
              <w:t>Higher-tree tactical complexity.</w:t>
            </w:r>
          </w:p>
        </w:tc>
      </w:tr>
      <w:tr>
        <w:trPr>
          <w:cantSplit w:val="true"/>
        </w:trPr>
        <w:tc>
          <w:tcPr>
            <w:tcW w:type="dxa" w:w="3969"/>
            <w:tcMar>
              <w:top w:w="70" w:type="dxa"/>
              <w:start w:w="90" w:type="dxa"/>
              <w:bottom w:w="70" w:type="dxa"/>
              <w:end w:w="90" w:type="dxa"/>
            </w:tcMar>
            <w:vAlign w:val="top"/>
          </w:tcPr>
          <w:p>
            <w:r/>
            <w:r>
              <w:rPr>
                <w:rFonts w:ascii="Aptos" w:hAnsi="Aptos"/>
                <w:sz w:val="16"/>
              </w:rPr>
              <w:t>Distinct lower-material endpoint count</w:t>
            </w:r>
          </w:p>
        </w:tc>
        <w:tc>
          <w:tcPr>
            <w:tcW w:type="dxa" w:w="5896"/>
            <w:tcMar>
              <w:top w:w="70" w:type="dxa"/>
              <w:start w:w="90" w:type="dxa"/>
              <w:bottom w:w="70" w:type="dxa"/>
              <w:end w:w="90" w:type="dxa"/>
            </w:tcMar>
            <w:vAlign w:val="top"/>
          </w:tcPr>
          <w:p>
            <w:r/>
            <w:r>
              <w:rPr>
                <w:rFonts w:ascii="Aptos" w:hAnsi="Aptos"/>
                <w:sz w:val="16"/>
              </w:rPr>
              <w:t>How many exact subgames can one arena transition into?</w:t>
            </w:r>
          </w:p>
        </w:tc>
      </w:tr>
      <w:tr>
        <w:trPr>
          <w:cantSplit w:val="true"/>
        </w:trPr>
        <w:tc>
          <w:tcPr>
            <w:tcW w:type="dxa" w:w="3969"/>
            <w:tcMar>
              <w:top w:w="70" w:type="dxa"/>
              <w:start w:w="90" w:type="dxa"/>
              <w:bottom w:w="70" w:type="dxa"/>
              <w:end w:w="90" w:type="dxa"/>
            </w:tcMar>
            <w:vAlign w:val="top"/>
          </w:tcPr>
          <w:p>
            <w:r/>
            <w:r>
              <w:rPr>
                <w:rFonts w:ascii="Aptos" w:hAnsi="Aptos"/>
                <w:sz w:val="16"/>
              </w:rPr>
              <w:t>G6 architecture coverage before new discovery</w:t>
            </w:r>
          </w:p>
        </w:tc>
        <w:tc>
          <w:tcPr>
            <w:tcW w:type="dxa" w:w="5896"/>
            <w:tcMar>
              <w:top w:w="70" w:type="dxa"/>
              <w:start w:w="90" w:type="dxa"/>
              <w:bottom w:w="70" w:type="dxa"/>
              <w:end w:w="90" w:type="dxa"/>
            </w:tcMar>
            <w:vAlign w:val="top"/>
          </w:tcPr>
          <w:p>
            <w:r/>
            <w:r>
              <w:rPr>
                <w:rFonts w:ascii="Aptos" w:hAnsi="Aptos"/>
                <w:sz w:val="16"/>
              </w:rPr>
              <w:t>Direct test of reuse.</w:t>
            </w:r>
          </w:p>
        </w:tc>
      </w:tr>
      <w:tr>
        <w:trPr>
          <w:cantSplit w:val="true"/>
        </w:trPr>
        <w:tc>
          <w:tcPr>
            <w:tcW w:type="dxa" w:w="3969"/>
            <w:tcMar>
              <w:top w:w="70" w:type="dxa"/>
              <w:start w:w="90" w:type="dxa"/>
              <w:bottom w:w="70" w:type="dxa"/>
              <w:end w:w="90" w:type="dxa"/>
            </w:tcMar>
            <w:vAlign w:val="top"/>
          </w:tcPr>
          <w:p>
            <w:r/>
            <w:r>
              <w:rPr>
                <w:rFonts w:ascii="Aptos" w:hAnsi="Aptos"/>
                <w:sz w:val="16"/>
              </w:rPr>
              <w:t>Projection/restoration antecedents and failure families</w:t>
            </w:r>
          </w:p>
        </w:tc>
        <w:tc>
          <w:tcPr>
            <w:tcW w:type="dxa" w:w="5896"/>
            <w:tcMar>
              <w:top w:w="70" w:type="dxa"/>
              <w:start w:w="90" w:type="dxa"/>
              <w:bottom w:w="70" w:type="dxa"/>
              <w:end w:w="90" w:type="dxa"/>
            </w:tcMar>
            <w:vAlign w:val="top"/>
          </w:tcPr>
          <w:p>
            <w:r/>
            <w:r>
              <w:rPr>
                <w:rFonts w:ascii="Aptos" w:hAnsi="Aptos"/>
                <w:sz w:val="16"/>
              </w:rPr>
              <w:t>Whether lower-material truth lifts upward.</w:t>
            </w:r>
          </w:p>
        </w:tc>
      </w:tr>
      <w:tr>
        <w:trPr>
          <w:cantSplit w:val="true"/>
        </w:trPr>
        <w:tc>
          <w:tcPr>
            <w:tcW w:type="dxa" w:w="3969"/>
            <w:tcMar>
              <w:top w:w="70" w:type="dxa"/>
              <w:start w:w="90" w:type="dxa"/>
              <w:bottom w:w="70" w:type="dxa"/>
              <w:end w:w="90" w:type="dxa"/>
            </w:tcMar>
            <w:vAlign w:val="top"/>
          </w:tcPr>
          <w:p>
            <w:r/>
            <w:r>
              <w:rPr>
                <w:rFonts w:ascii="Aptos" w:hAnsi="Aptos"/>
                <w:sz w:val="16"/>
              </w:rPr>
              <w:t>Direct targets / strict attacker or defender attractors</w:t>
            </w:r>
          </w:p>
        </w:tc>
        <w:tc>
          <w:tcPr>
            <w:tcW w:type="dxa" w:w="5896"/>
            <w:tcMar>
              <w:top w:w="70" w:type="dxa"/>
              <w:start w:w="90" w:type="dxa"/>
              <w:bottom w:w="70" w:type="dxa"/>
              <w:end w:w="90" w:type="dxa"/>
            </w:tcMar>
            <w:vAlign w:val="top"/>
          </w:tcPr>
          <w:p>
            <w:r/>
            <w:r>
              <w:rPr>
                <w:rFonts w:ascii="Aptos" w:hAnsi="Aptos"/>
                <w:sz w:val="16"/>
              </w:rPr>
              <w:t>Stepping-stone value.</w:t>
            </w:r>
          </w:p>
        </w:tc>
      </w:tr>
      <w:tr>
        <w:trPr>
          <w:cantSplit w:val="true"/>
        </w:trPr>
        <w:tc>
          <w:tcPr>
            <w:tcW w:type="dxa" w:w="3969"/>
            <w:tcMar>
              <w:top w:w="70" w:type="dxa"/>
              <w:start w:w="90" w:type="dxa"/>
              <w:bottom w:w="70" w:type="dxa"/>
              <w:end w:w="90" w:type="dxa"/>
            </w:tcMar>
            <w:vAlign w:val="top"/>
          </w:tcPr>
          <w:p>
            <w:r/>
            <w:r>
              <w:rPr>
                <w:rFonts w:ascii="Aptos" w:hAnsi="Aptos"/>
                <w:sz w:val="16"/>
              </w:rPr>
              <w:t>Branch/hyperkernel size and amplification</w:t>
            </w:r>
          </w:p>
        </w:tc>
        <w:tc>
          <w:tcPr>
            <w:tcW w:type="dxa" w:w="5896"/>
            <w:tcMar>
              <w:top w:w="70" w:type="dxa"/>
              <w:start w:w="90" w:type="dxa"/>
              <w:bottom w:w="70" w:type="dxa"/>
              <w:end w:w="90" w:type="dxa"/>
            </w:tcMar>
            <w:vAlign w:val="top"/>
          </w:tcPr>
          <w:p>
            <w:r/>
            <w:r>
              <w:rPr>
                <w:rFonts w:ascii="Aptos" w:hAnsi="Aptos"/>
                <w:sz w:val="16"/>
              </w:rPr>
              <w:t>True compositional value over target or material endpoints.</w:t>
            </w:r>
          </w:p>
        </w:tc>
      </w:tr>
      <w:tr>
        <w:trPr>
          <w:cantSplit w:val="true"/>
        </w:trPr>
        <w:tc>
          <w:tcPr>
            <w:tcW w:type="dxa" w:w="3969"/>
            <w:tcMar>
              <w:top w:w="70" w:type="dxa"/>
              <w:start w:w="90" w:type="dxa"/>
              <w:bottom w:w="70" w:type="dxa"/>
              <w:end w:w="90" w:type="dxa"/>
            </w:tcMar>
            <w:vAlign w:val="top"/>
          </w:tcPr>
          <w:p>
            <w:r/>
            <w:r>
              <w:rPr>
                <w:rFonts w:ascii="Aptos" w:hAnsi="Aptos"/>
                <w:sz w:val="16"/>
              </w:rPr>
              <w:t>Proof-graph depth and marginal coverage per layer</w:t>
            </w:r>
          </w:p>
        </w:tc>
        <w:tc>
          <w:tcPr>
            <w:tcW w:type="dxa" w:w="5896"/>
            <w:tcMar>
              <w:top w:w="70" w:type="dxa"/>
              <w:start w:w="90" w:type="dxa"/>
              <w:bottom w:w="70" w:type="dxa"/>
              <w:end w:w="90" w:type="dxa"/>
            </w:tcMar>
            <w:vAlign w:val="top"/>
          </w:tcPr>
          <w:p>
            <w:r/>
            <w:r>
              <w:rPr>
                <w:rFonts w:ascii="Aptos" w:hAnsi="Aptos"/>
                <w:sz w:val="16"/>
              </w:rPr>
              <w:t>Whether composition builds materially higher regions.</w:t>
            </w:r>
          </w:p>
        </w:tc>
      </w:tr>
      <w:tr>
        <w:trPr>
          <w:cantSplit w:val="true"/>
        </w:trPr>
        <w:tc>
          <w:tcPr>
            <w:tcW w:type="dxa" w:w="3969"/>
            <w:tcMar>
              <w:top w:w="70" w:type="dxa"/>
              <w:start w:w="90" w:type="dxa"/>
              <w:bottom w:w="70" w:type="dxa"/>
              <w:end w:w="90" w:type="dxa"/>
            </w:tcMar>
            <w:vAlign w:val="top"/>
          </w:tcPr>
          <w:p>
            <w:r/>
            <w:r>
              <w:rPr>
                <w:rFonts w:ascii="Aptos" w:hAnsi="Aptos"/>
                <w:sz w:val="16"/>
              </w:rPr>
              <w:t>Localization mixed coverage, all-residual coverage and lift</w:t>
            </w:r>
          </w:p>
        </w:tc>
        <w:tc>
          <w:tcPr>
            <w:tcW w:type="dxa" w:w="5896"/>
            <w:tcMar>
              <w:top w:w="70" w:type="dxa"/>
              <w:start w:w="90" w:type="dxa"/>
              <w:bottom w:w="70" w:type="dxa"/>
              <w:end w:w="90" w:type="dxa"/>
            </w:tcMar>
            <w:vAlign w:val="top"/>
          </w:tcPr>
          <w:p>
            <w:r/>
            <w:r>
              <w:rPr>
                <w:rFonts w:ascii="Aptos" w:hAnsi="Aptos"/>
                <w:sz w:val="16"/>
              </w:rPr>
              <w:t>Avoid misleading saturated slabs.</w:t>
            </w:r>
          </w:p>
        </w:tc>
      </w:tr>
      <w:tr>
        <w:trPr>
          <w:cantSplit w:val="true"/>
        </w:trPr>
        <w:tc>
          <w:tcPr>
            <w:tcW w:type="dxa" w:w="3969"/>
            <w:tcMar>
              <w:top w:w="70" w:type="dxa"/>
              <w:start w:w="90" w:type="dxa"/>
              <w:bottom w:w="70" w:type="dxa"/>
              <w:end w:w="90" w:type="dxa"/>
            </w:tcMar>
            <w:vAlign w:val="top"/>
          </w:tcPr>
          <w:p>
            <w:r/>
            <w:r>
              <w:rPr>
                <w:rFonts w:ascii="Aptos" w:hAnsi="Aptos"/>
                <w:sz w:val="16"/>
              </w:rPr>
              <w:t>Grammar AST/leaves and held-out errors</w:t>
            </w:r>
          </w:p>
        </w:tc>
        <w:tc>
          <w:tcPr>
            <w:tcW w:type="dxa" w:w="5896"/>
            <w:tcMar>
              <w:top w:w="70" w:type="dxa"/>
              <w:start w:w="90" w:type="dxa"/>
              <w:bottom w:w="70" w:type="dxa"/>
              <w:end w:w="90" w:type="dxa"/>
            </w:tcMar>
            <w:vAlign w:val="top"/>
          </w:tcPr>
          <w:p>
            <w:r/>
            <w:r>
              <w:rPr>
                <w:rFonts w:ascii="Aptos" w:hAnsi="Aptos"/>
                <w:sz w:val="16"/>
              </w:rPr>
              <w:t>Representation transfer and STOP.</w:t>
            </w:r>
          </w:p>
        </w:tc>
      </w:tr>
      <w:tr>
        <w:trPr>
          <w:cantSplit w:val="true"/>
        </w:trPr>
        <w:tc>
          <w:tcPr>
            <w:tcW w:type="dxa" w:w="3969"/>
            <w:tcMar>
              <w:top w:w="70" w:type="dxa"/>
              <w:start w:w="90" w:type="dxa"/>
              <w:bottom w:w="70" w:type="dxa"/>
              <w:end w:w="90" w:type="dxa"/>
            </w:tcMar>
            <w:vAlign w:val="top"/>
          </w:tcPr>
          <w:p>
            <w:r/>
            <w:r>
              <w:rPr>
                <w:rFonts w:ascii="Aptos" w:hAnsi="Aptos"/>
                <w:sz w:val="16"/>
              </w:rPr>
              <w:t>Backward-fire coverage/conflicts on G6 corpus</w:t>
            </w:r>
          </w:p>
        </w:tc>
        <w:tc>
          <w:tcPr>
            <w:tcW w:type="dxa" w:w="5896"/>
            <w:tcMar>
              <w:top w:w="70" w:type="dxa"/>
              <w:start w:w="90" w:type="dxa"/>
              <w:bottom w:w="70" w:type="dxa"/>
              <w:end w:w="90" w:type="dxa"/>
            </w:tcMar>
            <w:vAlign w:val="top"/>
          </w:tcPr>
          <w:p>
            <w:r/>
            <w:r>
              <w:rPr>
                <w:rFonts w:ascii="Aptos" w:hAnsi="Aptos"/>
                <w:sz w:val="16"/>
              </w:rPr>
              <w:t>Whether new abstractions genuinely generalize.</w:t>
            </w:r>
          </w:p>
        </w:tc>
      </w:tr>
      <w:tr>
        <w:trPr>
          <w:cantSplit w:val="true"/>
        </w:trPr>
        <w:tc>
          <w:tcPr>
            <w:tcW w:type="dxa" w:w="3969"/>
            <w:tcMar>
              <w:top w:w="70" w:type="dxa"/>
              <w:start w:w="90" w:type="dxa"/>
              <w:bottom w:w="70" w:type="dxa"/>
              <w:end w:w="90" w:type="dxa"/>
            </w:tcMar>
            <w:vAlign w:val="top"/>
          </w:tcPr>
          <w:p>
            <w:r/>
            <w:r>
              <w:rPr>
                <w:rFonts w:ascii="Aptos" w:hAnsi="Aptos"/>
                <w:sz w:val="16"/>
              </w:rPr>
              <w:t>Certificate bytes / runtime / memory per certified state</w:t>
            </w:r>
          </w:p>
        </w:tc>
        <w:tc>
          <w:tcPr>
            <w:tcW w:type="dxa" w:w="5896"/>
            <w:tcMar>
              <w:top w:w="70" w:type="dxa"/>
              <w:start w:w="90" w:type="dxa"/>
              <w:bottom w:w="70" w:type="dxa"/>
              <w:end w:w="90" w:type="dxa"/>
            </w:tcMar>
            <w:vAlign w:val="top"/>
          </w:tcPr>
          <w:p>
            <w:r/>
            <w:r>
              <w:rPr>
                <w:rFonts w:ascii="Aptos" w:hAnsi="Aptos"/>
                <w:sz w:val="16"/>
              </w:rPr>
              <w:t>Scaling economics.</w:t>
            </w:r>
          </w:p>
        </w:tc>
      </w:tr>
    </w:tbl>
    <w:p>
      <w:pPr>
        <w:spacing w:after="20"/>
      </w:pPr>
    </w:p>
    <w:p>
      <w:pPr>
        <w:pStyle w:val="Heading1"/>
      </w:pPr>
      <w:r>
        <w:t>10. Advance criteria</w:t>
      </w:r>
    </w:p>
    <w:p>
      <w:pPr>
        <w:pStyle w:val="ListBullet"/>
        <w:spacing w:after="50"/>
      </w:pPr>
      <w:r>
        <w:t>At least six prospective higher-tree families receive exact certified passes, with at least three material classes not present in G6 and at least two six-man-or-higher families containing multiple mobile pieces on opposing sides.</w:t>
      </w:r>
    </w:p>
    <w:p>
      <w:pPr>
        <w:pStyle w:val="ListBullet"/>
        <w:spacing w:after="50"/>
      </w:pPr>
      <w:r>
        <w:t>Candidate selection is frozen before W/D/L inspection and is demonstrably driven by structural novelty/tractability rather than resemblance to G6 successes.</w:t>
      </w:r>
    </w:p>
    <w:p>
      <w:pPr>
        <w:pStyle w:val="ListBullet"/>
        <w:spacing w:after="50"/>
      </w:pPr>
      <w:r>
        <w:t>At least two families contain three or more distinct exact material-reduction endpoints reachable by legal play.</w:t>
      </w:r>
    </w:p>
    <w:p>
      <w:pPr>
        <w:pStyle w:val="ListBullet"/>
        <w:spacing w:after="50"/>
      </w:pPr>
      <w:r>
        <w:t>At least three G6 object types add material exact coverage unchanged in higher-tree families, or their failure domains are sharply characterized.</w:t>
      </w:r>
    </w:p>
    <w:p>
      <w:pPr>
        <w:pStyle w:val="ListBullet"/>
        <w:spacing w:after="50"/>
      </w:pPr>
      <w:r>
        <w:t>At least one composition operates over alternative material-transition endpoints, not merely alternative square predicates.</w:t>
      </w:r>
    </w:p>
    <w:p>
      <w:pPr>
        <w:pStyle w:val="ListBullet"/>
        <w:spacing w:after="50"/>
      </w:pPr>
      <w:r>
        <w:t>At least one new G7 abstraction succeeds prospectively on a held-out material/topology family and survives a backward-fire audit against the G6 corpus.</w:t>
      </w:r>
    </w:p>
    <w:p>
      <w:pPr>
        <w:pStyle w:val="ListBullet"/>
        <w:spacing w:after="50"/>
      </w:pPr>
      <w:r>
        <w:t>A proof DAG of depth at least three typed operations certifies a region materially larger than any constituent base object.</w:t>
      </w:r>
    </w:p>
    <w:p>
      <w:pPr>
        <w:pStyle w:val="ListBullet"/>
        <w:spacing w:after="50"/>
      </w:pPr>
      <w:r>
        <w:t>At least one higher-tree family yields a defender sanctuary/fortress result or a clean certificate that extra material destroys the lower sanctuary.</w:t>
      </w:r>
    </w:p>
    <w:p>
      <w:pPr>
        <w:pStyle w:val="ListBullet"/>
        <w:spacing w:after="50"/>
      </w:pPr>
      <w:r>
        <w:t>At least two adversarial high-branch controls are preserved honestly, including complexity-floor outcomes if needed.</w:t>
      </w:r>
    </w:p>
    <w:p>
      <w:pPr>
        <w:pStyle w:val="ListBullet"/>
        <w:spacing w:after="50"/>
      </w:pPr>
      <w:r>
        <w:t>Description/certificate cost is tracked against exact state growth so G7 can say whether ascent is economically plausible.</w:t>
      </w:r>
    </w:p>
    <w:p>
      <w:pPr>
        <w:pStyle w:val="Heading1"/>
      </w:pPr>
      <w:r>
        <w:t>11. Failure criteria</w:t>
      </w:r>
    </w:p>
    <w:p>
      <w:pPr>
        <w:pStyle w:val="ListBullet"/>
        <w:spacing w:after="50"/>
      </w:pPr>
      <w:r>
        <w:t>Most selected arenas are merely G6 pawn-file/rank variants with one decorative extra piece.</w:t>
      </w:r>
    </w:p>
    <w:p>
      <w:pPr>
        <w:pStyle w:val="ListBullet"/>
        <w:spacing w:after="50"/>
      </w:pPr>
      <w:r>
        <w:t>Tractability restrictions are changed after outcome inspection to obtain attractive symbolic results.</w:t>
      </w:r>
    </w:p>
    <w:p>
      <w:pPr>
        <w:pStyle w:val="ListBullet"/>
        <w:spacing w:after="50"/>
      </w:pPr>
      <w:r>
        <w:t>Lower-material dependency graphs become so underspecified or model-sensitive that exact terminal semantics cannot be frozen.</w:t>
      </w:r>
    </w:p>
    <w:p>
      <w:pPr>
        <w:pStyle w:val="ListBullet"/>
        <w:spacing w:after="50"/>
      </w:pPr>
      <w:r>
        <w:t>G6 proof objects contribute negligible coverage across all higher-tree families and no reusable replacement emerges.</w:t>
      </w:r>
    </w:p>
    <w:p>
      <w:pPr>
        <w:pStyle w:val="ListBullet"/>
        <w:spacing w:after="50"/>
      </w:pPr>
      <w:r>
        <w:t>New rules depend on absolute-square catalogues or material-class-specific constants and fail backward-fire tests.</w:t>
      </w:r>
    </w:p>
    <w:p>
      <w:pPr>
        <w:pStyle w:val="ListBullet"/>
        <w:spacing w:after="50"/>
      </w:pPr>
      <w:r>
        <w:t>Branch/hyperkernel composition over material endpoints adds negligible value beyond direct exact solving.</w:t>
      </w:r>
    </w:p>
    <w:p>
      <w:pPr>
        <w:pStyle w:val="ListBullet"/>
        <w:spacing w:after="50"/>
      </w:pPr>
      <w:r>
        <w:t>Proof description/certificate cost grows approximately with raw state count before reusable layers appear.</w:t>
      </w:r>
    </w:p>
    <w:p>
      <w:pPr>
        <w:pStyle w:val="ListBullet"/>
        <w:spacing w:after="50"/>
      </w:pPr>
      <w:r>
        <w:t>Held-out performance collapses while within-family training compression remains high.</w:t>
      </w:r>
    </w:p>
    <w:p>
      <w:pPr>
        <w:pStyle w:val="ListBullet"/>
        <w:spacing w:after="50"/>
      </w:pPr>
      <w:r>
        <w:t>High mobility/checking prevents any meaningful finite-window certification within the declared budget; if so, freeze the scale boundary rather than shrinking after truth inspection.</w:t>
      </w:r>
    </w:p>
    <w:p>
      <w:pPr>
        <w:pStyle w:val="Heading1"/>
      </w:pPr>
      <w:r>
        <w:t>12. Stopping rules</w:t>
      </w:r>
    </w:p>
    <w:p>
      <w:pPr>
        <w:pStyle w:val="ListBullet"/>
        <w:spacing w:after="50"/>
      </w:pPr>
      <w:r>
        <w:t>Stop a local grammar at the same lookup-scale discipline used in G5/G6 unless a parameterized family clearly transfers.</w:t>
      </w:r>
    </w:p>
    <w:p>
      <w:pPr>
        <w:pStyle w:val="ListBullet"/>
        <w:spacing w:after="50"/>
      </w:pPr>
      <w:r>
        <w:t>Stop a candidate family if the next exact window exceeds certificate budget without changing the material-transition question.</w:t>
      </w:r>
    </w:p>
    <w:p>
      <w:pPr>
        <w:pStyle w:val="ListBullet"/>
        <w:spacing w:after="50"/>
      </w:pPr>
      <w:r>
        <w:t>Stop architecture retuning after two consecutive higher-tree families show the same negative mechanism with no reduction in semantic exception cost.</w:t>
      </w:r>
    </w:p>
    <w:p>
      <w:pPr>
        <w:pStyle w:val="ListBullet"/>
        <w:spacing w:after="50"/>
      </w:pPr>
      <w:r>
        <w:t>Do not stop G7 because one higher-material topology is hostile; G7 is a portfolio and negative controls are deliverables.</w:t>
      </w:r>
    </w:p>
    <w:p>
      <w:pPr>
        <w:pStyle w:val="ListBullet"/>
        <w:spacing w:after="50"/>
      </w:pPr>
      <w:r>
        <w:t>Do not spend G7 repairing the two frozen G6 historical exceptions unless new implementation artifacts appear; they are provenance exceptions, not G7 scientific objectives.</w:t>
      </w:r>
    </w:p>
    <w:p>
      <w:pPr>
        <w:pStyle w:val="Heading1"/>
      </w:pPr>
      <w:r>
        <w:t>13. Ambitious end-state</w:t>
      </w:r>
    </w:p>
    <w:p>
      <w:r>
        <w:t>A successful G7 should leave the programme visibly higher in the chess tree. It should contain a frozen atlas of materially richer exact windows, an explicit transition DAG into G6-certified lower-material nodes, a measured account of which G6 proof objects survive ascent unchanged, at least one prospectively transferred higher-tree abstraction, and a bidirectional proof-language update showing what the new objects explain in the old corpus.</w:t>
      </w:r>
    </w:p>
    <w:p>
      <w:r>
        <w:t>The strongest positive result would be a demonstration that a position with several mobile pieces and several exchange choices can be certified compositionally by funneling play into alternative exact lower-material objects, with branch/hyperkernel-style defender choice and a proof DAG whose description grows much slower than the exact higher-material state set. The equally valuable negative would be a precise branching/material threshold beyond which this architecture loses compression before a reusable layer emerges.</w:t>
      </w:r>
    </w:p>
    <w:p>
      <w:pPr>
        <w:pStyle w:val="Heading1"/>
      </w:pPr>
      <w:r>
        <w:t>14. Research-agent kickoff prompt</w:t>
      </w:r>
    </w:p>
    <w:tbl>
      <w:tblPr>
        <w:tblStyle w:val="TableGrid"/>
        <w:tblW w:type="auto" w:w="0"/>
        <w:jc w:val="center"/>
        <w:tblLook w:firstColumn="1" w:firstRow="1" w:lastColumn="0" w:lastRow="0" w:noHBand="0" w:noVBand="1" w:val="04A0"/>
      </w:tblPr>
      <w:tblGrid>
        <w:gridCol w:w="9752"/>
      </w:tblGrid>
      <w:tr>
        <w:tc>
          <w:tcPr>
            <w:tcW w:type="dxa" w:w="9752"/>
            <w:shd w:fill="EEF5F9"/>
            <w:tcMar>
              <w:top w:w="120" w:type="dxa"/>
              <w:start w:w="140" w:type="dxa"/>
              <w:bottom w:w="120" w:type="dxa"/>
              <w:end w:w="140" w:type="dxa"/>
            </w:tcMar>
          </w:tcPr>
          <w:p>
            <w:r>
              <w:rPr>
                <w:rFonts w:ascii="Aptos" w:hAnsi="Aptos"/>
                <w:b/>
                <w:color w:val="17365D"/>
                <w:sz w:val="18"/>
              </w:rPr>
              <w:t>G7 kickoff prompt</w:t>
              <w:br/>
            </w:r>
            <w:r>
              <w:rPr>
                <w:rFonts w:ascii="Aptos" w:hAnsi="Aptos"/>
                <w:sz w:val="17"/>
              </w:rPr>
              <w:t>You are beginning G7 of an exact symbolic-chess research programme. G7 is an ascent programme, not another pass over the G6 pawn/minor topologies. First freeze a structural position-discovery protocol and use it to select materially richer six-/seven-man finite windows one or two material-transition edges above the certified G6 subgames. Candidate selection may use tractability, branching, capture/check density, endpoint diversity, symmetry and material-class novelty, but must not inspect exact W/D/L truth or G6 predicate coverage before the family is frozen.</w:t>
              <w:br/>
              <w:br/>
              <w:t>Solve lower-material dependency graphs exactly and type terminal and rank semantics explicitly. Then fire the frozen G6 architecture upward without retuning: PROJECT, conditional restoration domains, resource-safe TARGET, attacker/defender strict ATTRACTOR, Branch/Hyperkernel composition, RESIDUAL, GROUP_OUT, localization-lift, bounded grammar and STOP. Treat alternative material-reduction endpoints as potential composition targets. Only after measuring unchanged G6 coverage may you discover new abstractions.</w:t>
              <w:br/>
              <w:br/>
              <w:t>Any promoted G7 rule must be flattened and exhaustively certified, evaluated on held-out material/topology families, and then fired backward across the frozen G6 corpus to test subsumption, contradiction and genuine generality. Preserve negative results. Do not call a rule general because it works in a larger arena; require bidirectional evidence.</w:t>
              <w:br/>
              <w:br/>
              <w:t>Split the work into G7.0–G7.9 milestones, freeze intermediate manifests and certificates, and keep G7 open long enough to contain several materially distinct higher-tree families. The goal is to learn whether the typed proof architecture can climb the material-transition tree, not to squeeze more percentage from already-solved topology.</w:t>
            </w:r>
          </w:p>
        </w:tc>
      </w:tr>
    </w:tbl>
    <w:p>
      <w:pPr>
        <w:spacing w:after="20"/>
      </w:pPr>
    </w:p>
    <w:p>
      <w:pPr>
        <w:pStyle w:val="Heading1"/>
      </w:pPr>
      <w:r>
        <w:t>15. Expected closeout</w:t>
      </w:r>
    </w:p>
    <w:p>
      <w:pPr>
        <w:pStyle w:val="ListBullet"/>
        <w:spacing w:after="50"/>
      </w:pPr>
      <w:r>
        <w:t>G7 technical handoff with exact higher-tree baselines, transition DAGs, transfer/falsification matrix and final gate.</w:t>
      </w:r>
    </w:p>
    <w:p>
      <w:pPr>
        <w:pStyle w:val="ListBullet"/>
        <w:spacing w:after="50"/>
      </w:pPr>
      <w:r>
        <w:t>Updated proof-language specification with any genuinely new object types and preserved G6 object IDs.</w:t>
      </w:r>
    </w:p>
    <w:p>
      <w:pPr>
        <w:pStyle w:val="ListBullet"/>
        <w:spacing w:after="50"/>
      </w:pPr>
      <w:r>
        <w:t>Higher-tree benchmark/certificate bundle with candidate manifests, exact truth bitsets where feasible, hashes and held-out counterexamples.</w:t>
      </w:r>
    </w:p>
    <w:p>
      <w:pPr>
        <w:pStyle w:val="ListBullet"/>
        <w:spacing w:after="50"/>
      </w:pPr>
      <w:r>
        <w:t>Separate G8 strategy memo based on whether the architecture continues to ascend, needs a new representation layer, or should consolidate into repository-quality proof tooling.</w:t>
      </w:r>
    </w:p>
    <w:tbl>
      <w:tblPr>
        <w:tblStyle w:val="TableGrid"/>
        <w:tblW w:type="auto" w:w="0"/>
        <w:jc w:val="center"/>
        <w:tblLook w:firstColumn="1" w:firstRow="1" w:lastColumn="0" w:lastRow="0" w:noHBand="0" w:noVBand="1" w:val="04A0"/>
      </w:tblPr>
      <w:tblGrid>
        <w:gridCol w:w="9752"/>
      </w:tblGrid>
      <w:tr>
        <w:tc>
          <w:tcPr>
            <w:tcW w:type="dxa" w:w="9752"/>
            <w:shd w:fill="EEF5F9"/>
            <w:tcMar>
              <w:top w:w="120" w:type="dxa"/>
              <w:start w:w="140" w:type="dxa"/>
              <w:bottom w:w="120" w:type="dxa"/>
              <w:end w:w="140" w:type="dxa"/>
            </w:tcMar>
          </w:tcPr>
          <w:p>
            <w:r>
              <w:rPr>
                <w:rFonts w:ascii="Aptos" w:hAnsi="Aptos"/>
                <w:b/>
                <w:color w:val="17365D"/>
                <w:sz w:val="18"/>
              </w:rPr>
              <w:t>Closing instruction</w:t>
              <w:br/>
            </w:r>
            <w:r>
              <w:rPr>
                <w:rFonts w:ascii="Aptos" w:hAnsi="Aptos"/>
                <w:sz w:val="17"/>
              </w:rPr>
              <w:t>Choose new positions because they are higher, structurally different and scientifically diagnostic. Only after they are frozen should the G6 architecture be allowed to explain them. Then make every genuinely new G7 abstraction explain something backward as well as forward.</w:t>
            </w:r>
          </w:p>
        </w:tc>
      </w:tr>
    </w:tbl>
    <w:p>
      <w:pPr>
        <w:spacing w:after="20"/>
      </w:pP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b/>
        <w:color w:val="6B7280"/>
        <w:sz w:val="15"/>
      </w:rPr>
      <w:t>G7 HIGHER-TREE PROGRAMME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245B78"/>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3B556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w:hAnsi="Aptos"/>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i/>
      <w:iCs/>
      <w:color w:val="4A556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