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ptos Display" w:hAnsi="Aptos Display"/>
          <w:b/>
          <w:color w:val="17365D"/>
          <w:sz w:val="50"/>
        </w:rPr>
        <w:t>G10 Final Chess Ruleset and</w:t>
        <w:br/>
        <w:t>State-Semantics Contract</w:t>
      </w:r>
    </w:p>
    <w:p>
      <w:pPr>
        <w:jc w:val="center"/>
      </w:pPr>
      <w:r>
        <w:rPr>
          <w:b/>
          <w:color w:val="2F5597"/>
          <w:sz w:val="20"/>
        </w:rPr>
        <w:t>TECHNICAL HANDOFF | G10.0-G10.6 FROZEN CLOSEOUT</w:t>
      </w:r>
    </w:p>
    <w:p>
      <w:pPr>
        <w:jc w:val="center"/>
      </w:pPr>
      <w:r>
        <w:rPr>
          <w:i/>
        </w:rPr>
        <w:t>11 August 2026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FINAL STATUS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CLOSED - PASS; G11 UNLOCKED</w:t>
            </w:r>
          </w:p>
        </w:tc>
      </w:tr>
      <w:tr>
        <w:tc>
          <w:tcPr>
            <w:tcW w:type="dxa" w:w="5083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FREEZE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G10.RULES.v1.0 | 11 August 2026</w:t>
            </w:r>
          </w:p>
        </w:tc>
      </w:tr>
    </w:tbl>
    <w:p>
      <w:pPr>
        <w:spacing w:after="0"/>
      </w:pPr>
    </w:p>
    <w:p>
      <w:pPr>
        <w:jc w:val="center"/>
      </w:pPr>
      <w:r>
        <w:rPr>
          <w:b/>
          <w:sz w:val="22"/>
        </w:rPr>
        <w:t>Mission achieved: freeze one unambiguous full legal-play chess state and transition contract before the programme scales again.</w:t>
      </w:r>
    </w:p>
    <w:p>
      <w:pPr>
        <w:pStyle w:val="Heading1"/>
      </w:pPr>
      <w:r>
        <w:t>1. Executive synthesis</w:t>
      </w:r>
    </w:p>
    <w:p>
      <w:r>
        <w:t>G10 is the first programme after the G9 strategic reset. Its job was not to solve a larger arena. It was to remove a foundational ambiguity: exactly what game, state, history and draw semantics the eventual initial-position proof is supposed to certify. The G9 roadmap explicitly makes this a blocking dependency for G11, G12, G20 and the later initial-position connection work.</w:t>
      </w:r>
    </w:p>
    <w:p>
      <w:r>
        <w:t>G10 closes that dependency at the specification level. It freezes G10.RULES.v1.0: a standard-chess legal-play state containing piece placement, side to move, persistent castling rights, effective en-passant state, the 50/75-move halfmove counter, and a bounded repetition-history summary. It also freezes legal claim actions, automatic terminal precedence, exact dead-position semantics, reachability typing, canonical identity and versioning rules.</w:t>
      </w:r>
    </w:p>
    <w:p>
      <w:r>
        <w:t>The most useful new result is not another chess outcome. It is a small exact history calculus. G10 proves that after a pawn move, capture, or permanent loss of castling rights, no earlier FIDE-repetition position can recur. Repetition history before that barrier can therefore be discarded without changing any future threefold/fivefold draw semantics. Within a barrier epoch, only occurrence counts matter, not order. Together with the automatic 75-move draw, this makes the history component finite and directly representable in an exact state graph.</w:t>
      </w:r>
    </w:p>
    <w:p>
      <w:r>
        <w:t>G10 does not claim that move generation is independently correct. That is deliberately left to G11. Nor does it replace exact dead-position classification with an insufficient-material heuristic: deadness is frozen as the global FIDE condition that no legal continuation can ever reach checkmate. G11/G12 must implement and certify that semantics rather than weakening it.</w:t>
      </w:r>
    </w:p>
    <w:p>
      <w:pPr>
        <w:pStyle w:val="Heading1"/>
      </w:pPr>
      <w:r>
        <w:t>2. Authority, predecessor seam and source precedence</w:t>
      </w:r>
    </w:p>
    <w:p>
      <w:r>
        <w:t>The sequential kickoff requested the G9 roadmap plus the technical handoff of the immediately preceding G. There is no G9 technical handoff in the File Library, for a non-accidental reason: G9 was a planning/review programme whose frozen closeout contract required exactly three principal documents and explicitly said not to create a G10 kickoff memo. G10 therefore does not fabricate a missing G9 handoff.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cantSplit/>
        </w:trPr>
        <w:tc>
          <w:tcPr>
            <w:tcW w:type="dxa" w:w="1728"/>
            <w:vAlign w:val="center"/>
            <w:shd w:fill="1F4E7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Authority level</w:t>
            </w:r>
          </w:p>
        </w:tc>
        <w:tc>
          <w:tcPr>
            <w:tcW w:type="dxa" w:w="3600"/>
            <w:vAlign w:val="center"/>
            <w:shd w:fill="1F4E7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Artifact / source</w:t>
            </w:r>
          </w:p>
        </w:tc>
        <w:tc>
          <w:tcPr>
            <w:tcW w:type="dxa" w:w="4896"/>
            <w:vAlign w:val="center"/>
            <w:shd w:fill="1F4E7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How G10 uses it</w:t>
            </w:r>
          </w:p>
        </w:tc>
      </w:tr>
      <w:tr>
        <w:trPr>
          <w:cantSplit/>
        </w:trPr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1 - permanent programme map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G9_G10_Onwards_Long_Range_Plan.docx</w:t>
            </w:r>
          </w:p>
        </w:tc>
        <w:tc>
          <w:tcPr>
            <w:tcW w:type="dxa" w:w="489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Authoritative mission, dependency order and G10 advance condition.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3F6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2 - immediate planning baseline</w:t>
            </w:r>
          </w:p>
        </w:tc>
        <w:tc>
          <w:tcPr>
            <w:tcW w:type="dxa" w:w="3600"/>
            <w:vAlign w:val="center"/>
            <w:shd w:fill="F3F6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G9_Road_to_100_Assessment.docx</w:t>
            </w:r>
          </w:p>
        </w:tc>
        <w:tc>
          <w:tcPr>
            <w:tcW w:type="dxa" w:w="4896"/>
            <w:vAlign w:val="center"/>
            <w:shd w:fill="F3F6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Authoritative G9 capability gap: rules/model completeness remained low and disconnected from the initial position.</w:t>
            </w:r>
          </w:p>
        </w:tc>
      </w:tr>
      <w:tr>
        <w:trPr>
          <w:cantSplit/>
        </w:trPr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3 - latest frozen technical truth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G8_Certificate_Engine_and_Reascent_Final_Technical_Handoff.docx</w:t>
            </w:r>
          </w:p>
        </w:tc>
        <w:tc>
          <w:tcPr>
            <w:tcW w:type="dxa" w:w="489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Latest technical state: restricted-eight-man exact solving, typed dependencies, compact certificates, independent replay; not full-rule semantics.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3F6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4 - rules authority</w:t>
            </w:r>
          </w:p>
        </w:tc>
        <w:tc>
          <w:tcPr>
            <w:tcW w:type="dxa" w:w="3600"/>
            <w:vAlign w:val="center"/>
            <w:shd w:fill="F3F6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FIDE Laws of Chess taking effect 1 January 2023, current FIDE Handbook listing checked 11 Aug 2026</w:t>
            </w:r>
          </w:p>
        </w:tc>
        <w:tc>
          <w:tcPr>
            <w:tcW w:type="dxa" w:w="4896"/>
            <w:vAlign w:val="center"/>
            <w:shd w:fill="F3F6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Primary external authority for legal moves, castling/en-passant, mate/stalemate/dead position, threefold/50 claims and fivefold/75 automatic draws.</w:t>
            </w:r>
          </w:p>
        </w:tc>
      </w:tr>
    </w:tbl>
    <w:p>
      <w:pPr>
        <w:spacing w:after="0"/>
      </w:pPr>
    </w:p>
    <w:p>
      <w:r>
        <w:t>Frozen G6 historical certification exceptions remain untouched. G10 has no need to inspect or repair them because they do not determine the final rules contract.</w:t>
      </w:r>
    </w:p>
    <w:p>
      <w:pPr>
        <w:pStyle w:val="Heading1"/>
      </w:pPr>
      <w:r>
        <w:t>3. G10 mission and advance criteria</w:t>
      </w:r>
    </w:p>
    <w:p>
      <w:r>
        <w:t>Roadmap mission: "Freeze the exact game that 100% is supposed to prove." The programme must make every state variable and outcome convention explicit before any larger final-model computation is allowed.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cantSplit/>
        </w:trPr>
        <w:tc>
          <w:tcPr>
            <w:tcW w:type="dxa" w:w="3168"/>
            <w:vAlign w:val="center"/>
            <w:shd w:fill="1F4E7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Roadmap question</w:t>
            </w:r>
          </w:p>
        </w:tc>
        <w:tc>
          <w:tcPr>
            <w:tcW w:type="dxa" w:w="7200"/>
            <w:vAlign w:val="center"/>
            <w:shd w:fill="1F4E7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G10 frozen answer</w:t>
            </w:r>
          </w:p>
        </w:tc>
      </w:tr>
      <w:tr>
        <w:trPr>
          <w:cantSplit/>
        </w:trPr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Castling rights?</w:t>
            </w:r>
          </w:p>
        </w:tc>
        <w:tc>
          <w:tcPr>
            <w:tcW w:type="dxa" w:w="720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Four monotone historical rights K,Q,k,q are explicit state. A true right requires the corresponding home king/rook occupancy; false rights never restore.</w:t>
            </w:r>
          </w:p>
        </w:tc>
      </w:tr>
      <w:tr>
        <w:trPr>
          <w:cantSplit/>
        </w:trPr>
        <w:tc>
          <w:tcPr>
            <w:tcW w:type="dxa" w:w="3168"/>
            <w:vAlign w:val="center"/>
            <w:shd w:fill="F3F6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En-passant rights?</w:t>
            </w:r>
          </w:p>
        </w:tc>
        <w:tc>
          <w:tcPr>
            <w:tcW w:type="dxa" w:w="7200"/>
            <w:vAlign w:val="center"/>
            <w:shd w:fill="F3F6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State stores only effective en-passant: a target exists only when at least one en-passant capture is actually legal. Nominal but legally unusable targets canonicalize to null.</w:t>
            </w:r>
          </w:p>
        </w:tc>
      </w:tr>
      <w:tr>
        <w:trPr>
          <w:cantSplit/>
        </w:trPr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Repetition identity?</w:t>
            </w:r>
          </w:p>
        </w:tc>
        <w:tc>
          <w:tcPr>
            <w:tcW w:type="dxa" w:w="720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Piece placement + side to move + castling rights + effective en-passant. Halfmove and repetition counters are not part of the same-position key.</w:t>
            </w:r>
          </w:p>
        </w:tc>
      </w:tr>
      <w:tr>
        <w:trPr>
          <w:cantSplit/>
        </w:trPr>
        <w:tc>
          <w:tcPr>
            <w:tcW w:type="dxa" w:w="3168"/>
            <w:vAlign w:val="center"/>
            <w:shd w:fill="F3F6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50/75-move state?</w:t>
            </w:r>
          </w:p>
        </w:tc>
        <w:tc>
          <w:tcPr>
            <w:tcW w:type="dxa" w:w="7200"/>
            <w:vAlign w:val="center"/>
            <w:shd w:fill="F3F6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Exact halfmove counter since last pawn move or capture. Claims begin at 100 halfmoves; automatic draw at 150, with checkmate precedence on the 150th move.</w:t>
            </w:r>
          </w:p>
        </w:tc>
      </w:tr>
      <w:tr>
        <w:trPr>
          <w:cantSplit/>
        </w:trPr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Threefold/fivefold history?</w:t>
            </w:r>
          </w:p>
        </w:tc>
        <w:tc>
          <w:tcPr>
            <w:tcW w:type="dxa" w:w="720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Bounded occurrence-count map over repetition keys since the last exact repetition barrier.</w:t>
            </w:r>
          </w:p>
        </w:tc>
      </w:tr>
      <w:tr>
        <w:trPr>
          <w:cantSplit/>
        </w:trPr>
        <w:tc>
          <w:tcPr>
            <w:tcW w:type="dxa" w:w="3168"/>
            <w:vAlign w:val="center"/>
            <w:shd w:fill="F3F6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Dead positions?</w:t>
            </w:r>
          </w:p>
        </w:tc>
        <w:tc>
          <w:tcPr>
            <w:tcW w:type="dxa" w:w="7200"/>
            <w:vAlign w:val="center"/>
            <w:shd w:fill="F3F6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Exact global no-checkmate-reachable condition, not insufficient-material shorthand.</w:t>
            </w:r>
          </w:p>
        </w:tc>
      </w:tr>
      <w:tr>
        <w:trPr>
          <w:cantSplit/>
        </w:trPr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Historical reachability?</w:t>
            </w:r>
          </w:p>
        </w:tc>
        <w:tc>
          <w:tcPr>
            <w:tcW w:type="dxa" w:w="720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Separated by type: arena-admissible truth is not silently called start-reachable. Final proof use requires a reachable entry edge or explicit reachability certificate.</w:t>
            </w:r>
          </w:p>
        </w:tc>
      </w:tr>
      <w:tr>
        <w:trPr>
          <w:cantSplit/>
        </w:trPr>
        <w:tc>
          <w:tcPr>
            <w:tcW w:type="dxa" w:w="3168"/>
            <w:vAlign w:val="center"/>
            <w:shd w:fill="F3F6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Canonical identity?</w:t>
            </w:r>
          </w:p>
        </w:tc>
        <w:tc>
          <w:tcPr>
            <w:tcW w:type="dxa" w:w="7200"/>
            <w:vAlign w:val="center"/>
            <w:shd w:fill="F3F6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Full state = board, turn, castling, effective EP, halfmove, repetition counts. Canonical raw bytes define identity; hashes are transport addresses only.</w:t>
            </w:r>
          </w:p>
        </w:tc>
      </w:tr>
    </w:tbl>
    <w:p>
      <w:pPr>
        <w:spacing w:after="0"/>
      </w:pPr>
    </w:p>
    <w:p>
      <w:pPr>
        <w:pStyle w:val="Heading1"/>
      </w:pPr>
      <w:r>
        <w:t>4. What game is being solved</w:t>
      </w:r>
    </w:p>
    <w:p>
      <w:pPr>
        <w:pStyle w:val="Heading2"/>
      </w:pPr>
      <w:r>
        <w:t>4.1 Core theorem scope</w:t>
      </w:r>
    </w:p>
    <w:p>
      <w:r>
        <w:t>The 100% target is frozen as the adversarial legal-play game of standard chess: from the normal initial position, prove by a machine-checkable certificate that White has a strategy whose outcome is never BLACK_WIN against every legal Black reply. The external outcome vocabulary is absolute: WHITE_WIN, DRAW, BLACK_WIN. Implementations may use turn-relative encodings internally only if the certificate states the conversion.</w:t>
      </w:r>
    </w:p>
    <w:p>
      <w:pPr>
        <w:pStyle w:val="Heading2"/>
      </w:pPr>
      <w:r>
        <w:t>4.2 Included in the core graph</w:t>
      </w:r>
    </w:p>
    <w:p>
      <w:pPr>
        <w:pStyle w:val="ListBullet"/>
        <w:spacing w:after="40"/>
      </w:pPr>
      <w:r>
        <w:t>All ordinary legal piece moves, captures, checks, check evasions, promotions and underpromotions.</w:t>
      </w:r>
    </w:p>
    <w:p>
      <w:pPr>
        <w:pStyle w:val="ListBullet"/>
        <w:spacing w:after="40"/>
      </w:pPr>
      <w:r>
        <w:t>Standard castling, including persistent historical rights and attacked/transit-square restrictions.</w:t>
      </w:r>
    </w:p>
    <w:p>
      <w:pPr>
        <w:pStyle w:val="ListBullet"/>
        <w:spacing w:after="40"/>
      </w:pPr>
      <w:r>
        <w:t>En-passant with its one-move historical availability and king-safety legality.</w:t>
      </w:r>
    </w:p>
    <w:p>
      <w:pPr>
        <w:pStyle w:val="ListBullet"/>
        <w:spacing w:after="40"/>
      </w:pPr>
      <w:r>
        <w:t>Checkmate, stalemate and exact dead-position termination.</w:t>
      </w:r>
    </w:p>
    <w:p>
      <w:pPr>
        <w:pStyle w:val="ListBullet"/>
        <w:spacing w:after="40"/>
      </w:pPr>
      <w:r>
        <w:t>Claimable threefold repetition and 50-move draws as player actions, including claims based on an intended legal move.</w:t>
      </w:r>
    </w:p>
    <w:p>
      <w:pPr>
        <w:pStyle w:val="ListBullet"/>
        <w:spacing w:after="40"/>
      </w:pPr>
      <w:r>
        <w:t>Automatic fivefold repetition and 75-move draws, including checkmate precedence on the last 75-move-rule move.</w:t>
      </w:r>
    </w:p>
    <w:p>
      <w:pPr>
        <w:pStyle w:val="Heading2"/>
      </w:pPr>
      <w:r>
        <w:t>4.3 Deliberately outside the core proof graph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cantSplit/>
        </w:trPr>
        <w:tc>
          <w:tcPr>
            <w:tcW w:type="dxa" w:w="2160"/>
            <w:vAlign w:val="center"/>
            <w:shd w:fill="1F4E7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Feature</w:t>
            </w:r>
          </w:p>
        </w:tc>
        <w:tc>
          <w:tcPr>
            <w:tcW w:type="dxa" w:w="4608"/>
            <w:vAlign w:val="center"/>
            <w:shd w:fill="1F4E7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Reason for exclusion</w:t>
            </w:r>
          </w:p>
        </w:tc>
        <w:tc>
          <w:tcPr>
            <w:tcW w:type="dxa" w:w="3600"/>
            <w:vAlign w:val="center"/>
            <w:shd w:fill="1F4E7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Effect on White-non-loss theorem</w:t>
            </w:r>
          </w:p>
        </w:tc>
      </w:tr>
      <w:tr>
        <w:trPr>
          <w:cantSplit/>
        </w:trPr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Draw by agreement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Requires opponent consent; tournament/event rules may also restrict offers.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Removing a bilateral option does not remove a unilateral forced non-loss strategy against an adversarial opponent.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3F6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Resignation</w:t>
            </w:r>
          </w:p>
        </w:tc>
        <w:tc>
          <w:tcPr>
            <w:tcW w:type="dxa" w:w="4608"/>
            <w:vAlign w:val="center"/>
            <w:shd w:fill="F3F6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Voluntary concession, not a forced board outcome.</w:t>
            </w:r>
          </w:p>
        </w:tc>
        <w:tc>
          <w:tcPr>
            <w:tcW w:type="dxa" w:w="3600"/>
            <w:vAlign w:val="center"/>
            <w:shd w:fill="F3F6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A non-losing strategy never needs to resign.</w:t>
            </w:r>
          </w:p>
        </w:tc>
      </w:tr>
      <w:tr>
        <w:trPr>
          <w:cantSplit/>
        </w:trPr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Clock forfeits / time controls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Depend on event-specific clock parameters rather than the abstract legal-move graph.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The theorem is about legal-play chess, not a guarantee of human clock performance.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3F6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Conduct penalties / arbiter sanctions</w:t>
            </w:r>
          </w:p>
        </w:tc>
        <w:tc>
          <w:tcPr>
            <w:tcW w:type="dxa" w:w="4608"/>
            <w:vAlign w:val="center"/>
            <w:shd w:fill="F3F6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Competition administration, not chess-position transition semantics.</w:t>
            </w:r>
          </w:p>
        </w:tc>
        <w:tc>
          <w:tcPr>
            <w:tcW w:type="dxa" w:w="3600"/>
            <w:vAlign w:val="center"/>
            <w:shd w:fill="F3F6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Outside the game-theoretic state graph.</w:t>
            </w:r>
          </w:p>
        </w:tc>
      </w:tr>
      <w:tr>
        <w:trPr>
          <w:cantSplit/>
        </w:trPr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Move notation / fullmove number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Needed for records, not for legality or board-game outcome.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Omitted from canonical state identity.</w:t>
            </w:r>
          </w:p>
        </w:tc>
      </w:tr>
    </w:tbl>
    <w:p>
      <w:pPr>
        <w:spacing w:after="0"/>
      </w:pPr>
    </w:p>
    <w:p>
      <w:r>
        <w:t>This is a scope declaration, not a claim that the omitted competition procedures do not exist. It fixes an unambiguous mathematical game suitable for weak solution. If the project later decides that a different competition-layer theorem is desired, that is a breaking rules-contract change.</w:t>
      </w:r>
    </w:p>
    <w:p>
      <w:pPr>
        <w:pStyle w:val="Heading1"/>
      </w:pPr>
      <w:r>
        <w:t>5. Canonical full-state schema - G10.STATE.v1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cantSplit/>
        </w:trPr>
        <w:tc>
          <w:tcPr>
            <w:tcW w:type="dxa" w:w="1944"/>
            <w:vAlign w:val="center"/>
            <w:shd w:fill="1F4E7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Field</w:t>
            </w:r>
          </w:p>
        </w:tc>
        <w:tc>
          <w:tcPr>
            <w:tcW w:type="dxa" w:w="5040"/>
            <w:vAlign w:val="center"/>
            <w:shd w:fill="1F4E7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Canonical meaning</w:t>
            </w:r>
          </w:p>
        </w:tc>
        <w:tc>
          <w:tcPr>
            <w:tcW w:type="dxa" w:w="3312"/>
            <w:vAlign w:val="center"/>
            <w:shd w:fill="1F4E7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Active-state constraints</w:t>
            </w:r>
          </w:p>
        </w:tc>
      </w:tr>
      <w:tr>
        <w:trPr>
          <w:cantSplit/>
        </w:trPr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board64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64-square piece placement in a1..h8 order using .PNBRQKpnbrqk.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Exactly one king of each colour; all further legality checked by G11.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3F6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turn</w:t>
            </w:r>
          </w:p>
        </w:tc>
        <w:tc>
          <w:tcPr>
            <w:tcW w:type="dxa" w:w="5040"/>
            <w:vAlign w:val="center"/>
            <w:shd w:fill="F3F6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Side to move: w or b.</w:t>
            </w:r>
          </w:p>
        </w:tc>
        <w:tc>
          <w:tcPr>
            <w:tcW w:type="dxa" w:w="3312"/>
            <w:vAlign w:val="center"/>
            <w:shd w:fill="F3F6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Exactly one value.</w:t>
            </w:r>
          </w:p>
        </w:tc>
      </w:tr>
      <w:tr>
        <w:trPr>
          <w:cantSplit/>
        </w:trPr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castling_rights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Sorted subset of KQkq. Historical and monotone.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A true right requires home king/rook occupancy; rights never reappear.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3F6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ep_effective</w:t>
            </w:r>
          </w:p>
        </w:tc>
        <w:tc>
          <w:tcPr>
            <w:tcW w:type="dxa" w:w="5040"/>
            <w:vAlign w:val="center"/>
            <w:shd w:fill="F3F6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Square or null. Retained only if at least one legal EP capture exists now.</w:t>
            </w:r>
          </w:p>
        </w:tc>
        <w:tc>
          <w:tcPr>
            <w:tcW w:type="dxa" w:w="3312"/>
            <w:vAlign w:val="center"/>
            <w:shd w:fill="F3F6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Null if no legal EP capture exists, including pinned pseudo-EP cases.</w:t>
            </w:r>
          </w:p>
        </w:tc>
      </w:tr>
      <w:tr>
        <w:trPr>
          <w:cantSplit/>
        </w:trPr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halfmove_clock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Halfmoves since last pawn move or capture.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0..149 for an active state; reset on pawn move/capture.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3F6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rep_counts</w:t>
            </w:r>
          </w:p>
        </w:tc>
        <w:tc>
          <w:tcPr>
            <w:tcW w:type="dxa" w:w="5040"/>
            <w:vAlign w:val="center"/>
            <w:shd w:fill="F3F6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Sorted map from raw canonical repetition keys to occurrence counts within current barrier epoch.</w:t>
            </w:r>
          </w:p>
        </w:tc>
        <w:tc>
          <w:tcPr>
            <w:tcW w:type="dxa" w:w="3312"/>
            <w:vAlign w:val="center"/>
            <w:shd w:fill="F3F6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Each active count 1..4; current repetition key must be present.</w:t>
            </w:r>
          </w:p>
        </w:tc>
      </w:tr>
    </w:tbl>
    <w:p>
      <w:pPr>
        <w:spacing w:after="0"/>
      </w:pPr>
    </w:p>
    <w:p>
      <w:r>
        <w:t>Full state identity includes every field above. Two positions with the same board can therefore be different exact game states if castling, en-passant, 50/75-move or repetition history changes the future legal outcome.</w:t>
      </w:r>
    </w:p>
    <w:p>
      <w:pPr>
        <w:pStyle w:val="Heading1"/>
      </w:pPr>
      <w:r>
        <w:t>6. Repetition identity and bounded-history calculus</w:t>
      </w:r>
    </w:p>
    <w:p>
      <w:pPr>
        <w:pStyle w:val="Heading2"/>
      </w:pPr>
      <w:r>
        <w:t>6.1 Repetition key</w:t>
      </w:r>
    </w:p>
    <w:p>
      <w:r>
        <w:t>The canonical FIDE same-position key is:</w:t>
      </w:r>
    </w:p>
    <w:p>
      <w:pPr>
        <w:pStyle w:val="Codeish"/>
      </w:pPr>
      <w:r>
        <w:t>REP1 := board64 | turn | castling_rights | ep_effective</w:t>
      </w:r>
    </w:p>
    <w:p>
      <w:r>
        <w:t>The halfmove clock and repetition count map are deliberately excluded from this key: they affect whether a draw may/must be declared, but they do not change whether two positions are the "same position" for repetition purposes.</w:t>
      </w:r>
    </w:p>
    <w:p>
      <w:pPr>
        <w:pStyle w:val="Heading2"/>
      </w:pPr>
      <w:r>
        <w:t>6.2 G10-L1 - History Barrier Lemma</w:t>
      </w:r>
    </w:p>
    <w:p>
      <w:r>
        <w:t>The following move types are exact repetition barriers: pawn move; capture; permanent castling-right reduction. After such a move, no repetition key from before the move can ever recur, so all earlier repetition counts may be discarded.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cantSplit/>
        </w:trPr>
        <w:tc>
          <w:tcPr>
            <w:tcW w:type="dxa" w:w="2304"/>
            <w:vAlign w:val="center"/>
            <w:shd w:fill="1F4E7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Barrier</w:t>
            </w:r>
          </w:p>
        </w:tc>
        <w:tc>
          <w:tcPr>
            <w:tcW w:type="dxa" w:w="7776"/>
            <w:vAlign w:val="center"/>
            <w:shd w:fill="1F4E7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Why an earlier same-position key cannot return</w:t>
            </w:r>
          </w:p>
        </w:tc>
      </w:tr>
      <w:tr>
        <w:trPr>
          <w:cantSplit/>
        </w:trPr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Pawn move</w:t>
            </w:r>
          </w:p>
        </w:tc>
        <w:tc>
          <w:tcPr>
            <w:tcW w:type="dxa" w:w="777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Pawn progress is irreversible. Pawns do not move backward and promotions remove pawns rather than recreate an earlier pawn placement.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3F6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Capture</w:t>
            </w:r>
          </w:p>
        </w:tc>
        <w:tc>
          <w:tcPr>
            <w:tcW w:type="dxa" w:w="7776"/>
            <w:vAlign w:val="center"/>
            <w:shd w:fill="F3F6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The total number of pieces decreases and chess has no operation that recreates a captured piece as an additional piece.</w:t>
            </w:r>
          </w:p>
        </w:tc>
      </w:tr>
      <w:tr>
        <w:trPr>
          <w:cantSplit/>
        </w:trPr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Castling-right reduction</w:t>
            </w:r>
          </w:p>
        </w:tc>
        <w:tc>
          <w:tcPr>
            <w:tcW w:type="dxa" w:w="777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Castling rights are monotone. Once a king/rook move has removed a right, an earlier position requiring that right cannot be the same FIDE position again.</w:t>
            </w:r>
          </w:p>
        </w:tc>
      </w:tr>
    </w:tbl>
    <w:p>
      <w:pPr>
        <w:spacing w:after="0"/>
      </w:pPr>
    </w:p>
    <w:p>
      <w:pPr>
        <w:pStyle w:val="Heading2"/>
      </w:pPr>
      <w:r>
        <w:t>6.3 G10-L2 - Count Sufficiency Lemma</w:t>
      </w:r>
    </w:p>
    <w:p>
      <w:r>
        <w:t>Inside one barrier epoch, the future threefold/fivefold rules depend only on how many times each repetition key has occurred. The order of those occurrences is irrelevant. Therefore an ordered history trace can be quotiented exactly to a sorted key-&gt;count map. On each non-barrier move, increment exactly the successor key; on a barrier move, replace the map with {successor key: 1}.</w:t>
      </w:r>
    </w:p>
    <w:p>
      <w:pPr>
        <w:pStyle w:val="Heading2"/>
      </w:pPr>
      <w:r>
        <w:t>6.4 Finiteness</w:t>
      </w:r>
    </w:p>
    <w:p>
      <w:r>
        <w:t>No active repetition count can exceed 4 because the fifth occurrence is an automatic draw. The 75-move rule also bounds a no-pawn/no-capture period at 150 halfmoves. A castling-right barrier can only shorten the relevant repetition epoch. History-sensitive chess therefore remains a finite-state game under this contract; G20 may scale the representation without inventing an unbounded move-history tape.</w:t>
      </w:r>
    </w:p>
    <w:p>
      <w:pPr>
        <w:pStyle w:val="Heading1"/>
      </w:pPr>
      <w:r>
        <w:t>7. Claim actions and automatic terminal semantics</w:t>
      </w:r>
    </w:p>
    <w:p>
      <w:pPr>
        <w:pStyle w:val="Heading2"/>
      </w:pPr>
      <w:r>
        <w:t>7.1 Claimable draws are actions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cantSplit/>
        </w:trPr>
        <w:tc>
          <w:tcPr>
            <w:tcW w:type="dxa" w:w="2592"/>
            <w:vAlign w:val="center"/>
            <w:shd w:fill="1F4E7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Action</w:t>
            </w:r>
          </w:p>
        </w:tc>
        <w:tc>
          <w:tcPr>
            <w:tcW w:type="dxa" w:w="4752"/>
            <w:vAlign w:val="center"/>
            <w:shd w:fill="1F4E7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Availability</w:t>
            </w:r>
          </w:p>
        </w:tc>
        <w:tc>
          <w:tcPr>
            <w:tcW w:type="dxa" w:w="2880"/>
            <w:vAlign w:val="center"/>
            <w:shd w:fill="1F4E7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State transition</w:t>
            </w:r>
          </w:p>
        </w:tc>
      </w:tr>
      <w:tr>
        <w:trPr>
          <w:cantSplit/>
        </w:trP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CLAIM_3_NOW</w:t>
            </w:r>
          </w:p>
        </w:tc>
        <w:tc>
          <w:tcPr>
            <w:tcW w:type="dxa" w:w="475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Current repetition key count &gt;= 3.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Immediate DRAW; no board move.</w:t>
            </w:r>
          </w:p>
        </w:tc>
      </w:tr>
      <w:tr>
        <w:trPr>
          <w:cantSplit/>
        </w:trPr>
        <w:tc>
          <w:tcPr>
            <w:tcW w:type="dxa" w:w="2592"/>
            <w:vAlign w:val="center"/>
            <w:shd w:fill="F3F6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CLAIM_3_BY_MOVE(m)</w:t>
            </w:r>
          </w:p>
        </w:tc>
        <w:tc>
          <w:tcPr>
            <w:tcW w:type="dxa" w:w="4752"/>
            <w:vAlign w:val="center"/>
            <w:shd w:fill="F3F6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m is legal and its resulting repetition key would be at least the third occurrence.</w:t>
            </w:r>
          </w:p>
        </w:tc>
        <w:tc>
          <w:tcPr>
            <w:tcW w:type="dxa" w:w="2880"/>
            <w:vAlign w:val="center"/>
            <w:shd w:fill="F3F6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Immediate DRAW before m is executed.</w:t>
            </w:r>
          </w:p>
        </w:tc>
      </w:tr>
      <w:tr>
        <w:trPr>
          <w:cantSplit/>
        </w:trP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CLAIM_50_NOW</w:t>
            </w:r>
          </w:p>
        </w:tc>
        <w:tc>
          <w:tcPr>
            <w:tcW w:type="dxa" w:w="475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halfmove_clock &gt;= 100.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Immediate DRAW; no board move.</w:t>
            </w:r>
          </w:p>
        </w:tc>
      </w:tr>
      <w:tr>
        <w:trPr>
          <w:cantSplit/>
        </w:trPr>
        <w:tc>
          <w:tcPr>
            <w:tcW w:type="dxa" w:w="2592"/>
            <w:vAlign w:val="center"/>
            <w:shd w:fill="F3F6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CLAIM_50_BY_MOVE(m)</w:t>
            </w:r>
          </w:p>
        </w:tc>
        <w:tc>
          <w:tcPr>
            <w:tcW w:type="dxa" w:w="4752"/>
            <w:vAlign w:val="center"/>
            <w:shd w:fill="F3F6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m is a legal non-pawn, non-capture move and would bring the clock to &gt;=100.</w:t>
            </w:r>
          </w:p>
        </w:tc>
        <w:tc>
          <w:tcPr>
            <w:tcW w:type="dxa" w:w="2880"/>
            <w:vAlign w:val="center"/>
            <w:shd w:fill="F3F6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Immediate DRAW before m is executed.</w:t>
            </w:r>
          </w:p>
        </w:tc>
      </w:tr>
    </w:tbl>
    <w:p>
      <w:pPr>
        <w:spacing w:after="0"/>
      </w:pPr>
    </w:p>
    <w:p>
      <w:r>
        <w:t>Incorrect real-world claims and their clock penalties are not graph actions: the exact solver enumerates only valid claim actions. This removes an administrative error path without changing the legal strategic choices available to a perfect player.</w:t>
      </w:r>
    </w:p>
    <w:p>
      <w:pPr>
        <w:pStyle w:val="Heading2"/>
      </w:pPr>
      <w:r>
        <w:t>7.2 Post-move terminal precedence</w:t>
      </w:r>
    </w:p>
    <w:p>
      <w:pPr>
        <w:pStyle w:val="ListNumber"/>
        <w:spacing w:after="40"/>
      </w:pPr>
      <w:r>
        <w:t>CHECKMATE - win for the mover.</w:t>
      </w:r>
    </w:p>
    <w:p>
      <w:pPr>
        <w:pStyle w:val="ListNumber"/>
        <w:spacing w:after="40"/>
      </w:pPr>
      <w:r>
        <w:t>STALEMATE - draw.</w:t>
      </w:r>
    </w:p>
    <w:p>
      <w:pPr>
        <w:pStyle w:val="ListNumber"/>
        <w:spacing w:after="40"/>
      </w:pPr>
      <w:r>
        <w:t>DEAD POSITION - draw.</w:t>
      </w:r>
    </w:p>
    <w:p>
      <w:pPr>
        <w:pStyle w:val="ListNumber"/>
        <w:spacing w:after="40"/>
      </w:pPr>
      <w:r>
        <w:t>FIVEFOLD REPETITION - draw when successor key count reaches 5.</w:t>
      </w:r>
    </w:p>
    <w:p>
      <w:pPr>
        <w:pStyle w:val="ListNumber"/>
        <w:spacing w:after="40"/>
      </w:pPr>
      <w:r>
        <w:t>75-MOVE RULE - draw when successor halfmove clock reaches 150.</w:t>
      </w:r>
    </w:p>
    <w:p>
      <w:pPr>
        <w:pStyle w:val="ListNumber"/>
        <w:spacing w:after="40"/>
      </w:pPr>
      <w:r>
        <w:t>Otherwise the successor is active.</w:t>
      </w:r>
    </w:p>
    <w:p>
      <w:r>
        <w:t>The order encodes the load-bearing FIDE exception that if the 150th non-resetting halfmove gives checkmate, checkmate takes precedence over the automatic 75-move draw. Stalemate/dead/fivefold are all draws, so their mutual order does not change the absolute outcome but is kept deterministic for certificate replay.</w:t>
      </w:r>
    </w:p>
    <w:p>
      <w:pPr>
        <w:pStyle w:val="Heading1"/>
      </w:pPr>
      <w:r>
        <w:t>8. Dead-position semantics - exact, not heuristic</w:t>
      </w:r>
    </w:p>
    <w:p>
      <w:r>
        <w:t>G10 freezes the FIDE dead-position concept extensionally: a position is DEAD iff there exists no finite sequence of legal moves from that position that reaches checkmate by either player. This is a reachability-to-mate property of the underlying legal move graph, not merely a material checklist.</w:t>
      </w:r>
    </w:p>
    <w:p>
      <w:r>
        <w:t>Consequences for later programmes:</w:t>
      </w:r>
    </w:p>
    <w:p>
      <w:pPr>
        <w:pStyle w:val="ListBullet"/>
        <w:spacing w:after="40"/>
      </w:pPr>
      <w:r>
        <w:t>K vs K, K+B vs K and K+N vs K are useful positive dead-position controls, but they do not define the whole predicate.</w:t>
      </w:r>
    </w:p>
    <w:p>
      <w:pPr>
        <w:pStyle w:val="ListBullet"/>
        <w:spacing w:after="40"/>
      </w:pPr>
      <w:r>
        <w:t>An "insufficient material" library helper may be used only as a sound subset/optimization if independently proved sound for that use; it cannot stand in for DEAD by assertion.</w:t>
      </w:r>
    </w:p>
    <w:p>
      <w:pPr>
        <w:pStyle w:val="ListBullet"/>
        <w:spacing w:after="40"/>
      </w:pPr>
      <w:r>
        <w:t>G12 small-arena certification must include positions where board geometry, blocking or history makes deadness nontrivial, so the exact predicate is exercised rather than bypassed.</w:t>
      </w:r>
    </w:p>
    <w:p>
      <w:pPr>
        <w:pStyle w:val="ListBullet"/>
        <w:spacing w:after="40"/>
      </w:pPr>
      <w:r>
        <w:t>Any old Pilot-G8 arena that used a weaker terminal model remains historically valid only under its frozen model; G10 does not retroactively relabel it full-rule truth.</w:t>
      </w:r>
    </w:p>
    <w:p>
      <w:pPr>
        <w:pStyle w:val="Heading1"/>
      </w:pPr>
      <w:r>
        <w:t>9. Legal historical reachability versus arena admissibility</w:t>
      </w:r>
    </w:p>
    <w:p>
      <w:r>
        <w:t>G10 explicitly separates board/state truth from provenance. This prevents a common error: treating a locally sensible reconstructed endgame state as though it had already been proved reachable from the normal start.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cantSplit/>
        </w:trPr>
        <w:tc>
          <w:tcPr>
            <w:tcW w:type="dxa" w:w="2448"/>
            <w:vAlign w:val="center"/>
            <w:shd w:fill="1F4E7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Type</w:t>
            </w:r>
          </w:p>
        </w:tc>
        <w:tc>
          <w:tcPr>
            <w:tcW w:type="dxa" w:w="4320"/>
            <w:vAlign w:val="center"/>
            <w:shd w:fill="1F4E7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Meaning</w:t>
            </w:r>
          </w:p>
        </w:tc>
        <w:tc>
          <w:tcPr>
            <w:tcW w:type="dxa" w:w="3456"/>
            <w:vAlign w:val="center"/>
            <w:shd w:fill="1F4E7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Permitted use</w:t>
            </w:r>
          </w:p>
        </w:tc>
      </w:tr>
      <w:tr>
        <w:trPr>
          <w:cantSplit/>
        </w:trP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ARENA_ADMISSIBLE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Satisfies the arena/state invariants declared by a solver; may be historically unreachable.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Exact finite-arena science, regression tests and lower-basin truth.</w:t>
            </w:r>
          </w:p>
        </w:tc>
      </w:tr>
      <w:tr>
        <w:trPr>
          <w:cantSplit/>
        </w:trPr>
        <w:tc>
          <w:tcPr>
            <w:tcW w:type="dxa" w:w="2448"/>
            <w:vAlign w:val="center"/>
            <w:shd w:fill="F3F6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START_REACHABLE</w:t>
            </w:r>
          </w:p>
        </w:tc>
        <w:tc>
          <w:tcPr>
            <w:tcW w:type="dxa" w:w="4320"/>
            <w:vAlign w:val="center"/>
            <w:shd w:fill="F3F6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There exists a legal path from the standard initial full state under G10.RULES.v1.0.</w:t>
            </w:r>
          </w:p>
        </w:tc>
        <w:tc>
          <w:tcPr>
            <w:tcW w:type="dxa" w:w="3456"/>
            <w:vAlign w:val="center"/>
            <w:shd w:fill="F3F6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Required for nodes that occur on the final initial-position proof path.</w:t>
            </w:r>
          </w:p>
        </w:tc>
      </w:tr>
      <w:tr>
        <w:trPr>
          <w:cantSplit/>
        </w:trP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REACHABLE_ENTRY_CERTIFIED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An ARENA_ADMISSIBLE basin state entered by a legal edge from an already START_REACHABLE parent, or accompanied by a reachability certificate.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Allows a broad lower table to be reused without proving every table row start-reachable.</w:t>
            </w:r>
          </w:p>
        </w:tc>
      </w:tr>
    </w:tbl>
    <w:p>
      <w:pPr>
        <w:spacing w:after="0"/>
      </w:pPr>
    </w:p>
    <w:p>
      <w:r>
        <w:t>This separation is deliberately economical. A lower exact table may contain unreachable rows. The final proof need only demonstrate that each row it actually enters is a matching full G10 state reached from a certified parent. No global historical-reachability solve is required merely to store unused rows.</w:t>
      </w:r>
    </w:p>
    <w:p>
      <w:pPr>
        <w:pStyle w:val="Heading1"/>
      </w:pPr>
      <w:r>
        <w:t>10. Canonical serialization, hashes and versioning</w:t>
      </w:r>
    </w:p>
    <w:p>
      <w:r>
        <w:t>Semantic equality is defined by canonical raw state bytes, not by a cryptographic digest. A SHA-256 digest may be used as a content address, as in G8, but implementations must treat the canonical payload as the equality authority if a digest collision is ever observed. This preserves exact semantics while retaining the practical economics of a content-addressed proof store.</w:t>
      </w:r>
    </w:p>
    <w:p>
      <w:pPr>
        <w:pStyle w:val="ListBullet"/>
        <w:spacing w:after="40"/>
      </w:pPr>
      <w:r>
        <w:t>Castling rights serialize in KQkq order.</w:t>
      </w:r>
    </w:p>
    <w:p>
      <w:pPr>
        <w:pStyle w:val="ListBullet"/>
        <w:spacing w:after="40"/>
      </w:pPr>
      <w:r>
        <w:t>Repetition-count entries serialize lexicographically by the raw repetition-key bytes.</w:t>
      </w:r>
    </w:p>
    <w:p>
      <w:pPr>
        <w:pStyle w:val="ListBullet"/>
        <w:spacing w:after="40"/>
      </w:pPr>
      <w:r>
        <w:t>Every field is length-delimited; no parser may infer field boundaries from punctuation that can appear in a payload.</w:t>
      </w:r>
    </w:p>
    <w:p>
      <w:pPr>
        <w:pStyle w:val="ListBullet"/>
        <w:spacing w:after="40"/>
      </w:pPr>
      <w:r>
        <w:t>Any change to state identity, legal actions, claim rules, terminal precedence, deadness or reachability typing is a breaking major version.</w:t>
      </w:r>
    </w:p>
    <w:p>
      <w:pPr>
        <w:pStyle w:val="ListBullet"/>
        <w:spacing w:after="40"/>
      </w:pPr>
      <w:r>
        <w:t>Pure implementation/packing optimizations that preserve canonical bytes and transitions are non-breaking implementation revisions.</w:t>
      </w:r>
    </w:p>
    <w:p>
      <w:pPr>
        <w:pStyle w:val="Heading1"/>
      </w:pPr>
      <w:r>
        <w:t>11. Work actually performed - G10.0 to G10.6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cantSplit/>
        </w:trPr>
        <w:tc>
          <w:tcPr>
            <w:tcW w:type="dxa" w:w="2232"/>
            <w:vAlign w:val="center"/>
            <w:shd w:fill="1F4E7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Substage</w:t>
            </w:r>
          </w:p>
        </w:tc>
        <w:tc>
          <w:tcPr>
            <w:tcW w:type="dxa" w:w="4968"/>
            <w:vAlign w:val="center"/>
            <w:shd w:fill="1F4E7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Work</w:t>
            </w:r>
          </w:p>
        </w:tc>
        <w:tc>
          <w:tcPr>
            <w:tcW w:type="dxa" w:w="3168"/>
            <w:vAlign w:val="center"/>
            <w:shd w:fill="1F4E7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Frozen result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G10.0 - Authority freeze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Resolved G9 predecessor seam; froze G9 roadmap/assessment + G8 technical truth + current FIDE Laws as source precedence.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No invented G9 handoff; no historical repair.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shd w:fill="F3F6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G10.1 - Scope freeze</w:t>
            </w:r>
          </w:p>
        </w:tc>
        <w:tc>
          <w:tcPr>
            <w:tcW w:type="dxa" w:w="4968"/>
            <w:vAlign w:val="center"/>
            <w:shd w:fill="F3F6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Separated adversarial board-game legal play from event administration.</w:t>
            </w:r>
          </w:p>
        </w:tc>
        <w:tc>
          <w:tcPr>
            <w:tcW w:type="dxa" w:w="3168"/>
            <w:vAlign w:val="center"/>
            <w:shd w:fill="F3F6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Declared exact theorem scope and outcome vocabulary.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G10.2 - State construction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Enumerated all history-sensitive state needed by castling, EP, repetition and 50/75 rules.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G10.STATE.v1 schema.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shd w:fill="F3F6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G10.3 - Repetition calculus</w:t>
            </w:r>
          </w:p>
        </w:tc>
        <w:tc>
          <w:tcPr>
            <w:tcW w:type="dxa" w:w="4968"/>
            <w:vAlign w:val="center"/>
            <w:shd w:fill="F3F6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Derived barrier, count-sufficiency, active-count and finiteness lemmas.</w:t>
            </w:r>
          </w:p>
        </w:tc>
        <w:tc>
          <w:tcPr>
            <w:tcW w:type="dxa" w:w="3168"/>
            <w:vAlign w:val="center"/>
            <w:shd w:fill="F3F6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Finite exact history representation.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G10.4 - Terminal/claim contract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Specified claim actions and automatic terminal precedence, including exact deadness.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Deterministic transition/terminal contract.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shd w:fill="F3F6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G10.5 - Reachability + serialization</w:t>
            </w:r>
          </w:p>
        </w:tc>
        <w:tc>
          <w:tcPr>
            <w:tcW w:type="dxa" w:w="4968"/>
            <w:vAlign w:val="center"/>
            <w:shd w:fill="F3F6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Separated arena admissibility from start reachability; froze raw canonical identity and hash policy.</w:t>
            </w:r>
          </w:p>
        </w:tc>
        <w:tc>
          <w:tcPr>
            <w:tcW w:type="dxa" w:w="3168"/>
            <w:vAlign w:val="center"/>
            <w:shd w:fill="F3F6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Safe reuse rule for lower basins.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G10.6 - Machine artifacts + tests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Wrote JSON contract, executable metadata layer, frozen G11 conformance vectors and 11 unit tests; hashed bundle.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11/11 metadata tests pass; artifacts frozen.</w:t>
            </w:r>
          </w:p>
        </w:tc>
      </w:tr>
    </w:tbl>
    <w:p>
      <w:pPr>
        <w:spacing w:after="0"/>
      </w:pPr>
    </w:p>
    <w:p>
      <w:pPr>
        <w:pStyle w:val="Heading1"/>
      </w:pPr>
      <w:r>
        <w:t>12. Verification status and quantitative evidence</w:t>
      </w:r>
    </w:p>
    <w:p>
      <w:r>
        <w:t>The executable G10 layer tests only the history/metadata semantics owned by this programme. It intentionally does not contain a chess move generator; therefore these are contract tests, not G11 independent-conformance evidence.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cantSplit/>
        </w:trPr>
        <w:tc>
          <w:tcPr>
            <w:tcW w:type="dxa" w:w="4464"/>
            <w:vAlign w:val="center"/>
            <w:shd w:fill="1F4E7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Check</w:t>
            </w:r>
          </w:p>
        </w:tc>
        <w:tc>
          <w:tcPr>
            <w:tcW w:type="dxa" w:w="5904"/>
            <w:vAlign w:val="center"/>
            <w:shd w:fill="1F4E7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Result</w:t>
            </w:r>
          </w:p>
        </w:tc>
      </w:tr>
      <w:tr>
        <w:trPr>
          <w:cantSplit/>
        </w:trPr>
        <w:tc>
          <w:tcPr>
            <w:tcW w:type="dxa" w:w="446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Metadata unit tests</w:t>
            </w:r>
          </w:p>
        </w:tc>
        <w:tc>
          <w:tcPr>
            <w:tcW w:type="dxa" w:w="590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11 / 11 PASS</w:t>
            </w:r>
          </w:p>
        </w:tc>
      </w:tr>
      <w:tr>
        <w:trPr>
          <w:cantSplit/>
        </w:trPr>
        <w:tc>
          <w:tcPr>
            <w:tcW w:type="dxa" w:w="4464"/>
            <w:vAlign w:val="center"/>
            <w:shd w:fill="F3F6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Castling-right monotonicity</w:t>
            </w:r>
          </w:p>
        </w:tc>
        <w:tc>
          <w:tcPr>
            <w:tcW w:type="dxa" w:w="5904"/>
            <w:vAlign w:val="center"/>
            <w:shd w:fill="F3F6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Restoration attempt rejected</w:t>
            </w:r>
          </w:p>
        </w:tc>
      </w:tr>
      <w:tr>
        <w:trPr>
          <w:cantSplit/>
        </w:trPr>
        <w:tc>
          <w:tcPr>
            <w:tcW w:type="dxa" w:w="446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Pawn/capture barrier behavior</w:t>
            </w:r>
          </w:p>
        </w:tc>
        <w:tc>
          <w:tcPr>
            <w:tcW w:type="dxa" w:w="590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PASS; history reset and halfmove reset</w:t>
            </w:r>
          </w:p>
        </w:tc>
      </w:tr>
      <w:tr>
        <w:trPr>
          <w:cantSplit/>
        </w:trPr>
        <w:tc>
          <w:tcPr>
            <w:tcW w:type="dxa" w:w="4464"/>
            <w:vAlign w:val="center"/>
            <w:shd w:fill="F3F6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Castling-right barrier behavior</w:t>
            </w:r>
          </w:p>
        </w:tc>
        <w:tc>
          <w:tcPr>
            <w:tcW w:type="dxa" w:w="5904"/>
            <w:vAlign w:val="center"/>
            <w:shd w:fill="F3F6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PASS; history reset without halfmove reset</w:t>
            </w:r>
          </w:p>
        </w:tc>
      </w:tr>
      <w:tr>
        <w:trPr>
          <w:cantSplit/>
        </w:trPr>
        <w:tc>
          <w:tcPr>
            <w:tcW w:type="dxa" w:w="446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Threefold now / by intended move</w:t>
            </w:r>
          </w:p>
        </w:tc>
        <w:tc>
          <w:tcPr>
            <w:tcW w:type="dxa" w:w="590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PASS</w:t>
            </w:r>
          </w:p>
        </w:tc>
      </w:tr>
      <w:tr>
        <w:trPr>
          <w:cantSplit/>
        </w:trPr>
        <w:tc>
          <w:tcPr>
            <w:tcW w:type="dxa" w:w="4464"/>
            <w:vAlign w:val="center"/>
            <w:shd w:fill="F3F6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50-move now / by intended move</w:t>
            </w:r>
          </w:p>
        </w:tc>
        <w:tc>
          <w:tcPr>
            <w:tcW w:type="dxa" w:w="5904"/>
            <w:vAlign w:val="center"/>
            <w:shd w:fill="F3F6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PASS</w:t>
            </w:r>
          </w:p>
        </w:tc>
      </w:tr>
      <w:tr>
        <w:trPr>
          <w:cantSplit/>
        </w:trPr>
        <w:tc>
          <w:tcPr>
            <w:tcW w:type="dxa" w:w="446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Fivefold automatic draw</w:t>
            </w:r>
          </w:p>
        </w:tc>
        <w:tc>
          <w:tcPr>
            <w:tcW w:type="dxa" w:w="590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PASS</w:t>
            </w:r>
          </w:p>
        </w:tc>
      </w:tr>
      <w:tr>
        <w:trPr>
          <w:cantSplit/>
        </w:trPr>
        <w:tc>
          <w:tcPr>
            <w:tcW w:type="dxa" w:w="4464"/>
            <w:vAlign w:val="center"/>
            <w:shd w:fill="F3F6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75-move automatic draw</w:t>
            </w:r>
          </w:p>
        </w:tc>
        <w:tc>
          <w:tcPr>
            <w:tcW w:type="dxa" w:w="5904"/>
            <w:vAlign w:val="center"/>
            <w:shd w:fill="F3F6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PASS</w:t>
            </w:r>
          </w:p>
        </w:tc>
      </w:tr>
      <w:tr>
        <w:trPr>
          <w:cantSplit/>
        </w:trPr>
        <w:tc>
          <w:tcPr>
            <w:tcW w:type="dxa" w:w="446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Checkmate precedence at halfmove 150</w:t>
            </w:r>
          </w:p>
        </w:tc>
        <w:tc>
          <w:tcPr>
            <w:tcW w:type="dxa" w:w="590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PASS</w:t>
            </w:r>
          </w:p>
        </w:tc>
      </w:tr>
    </w:tbl>
    <w:p>
      <w:pPr>
        <w:spacing w:after="0"/>
      </w:pPr>
    </w:p>
    <w:p>
      <w:r>
        <w:t>Frozen conformance vectors additionally cover legal versus pinned-illegal en-passant, stalemate, checkmate, elementary dead/non-dead controls, castling-right identity and intended-claim edge cases. Those board-legality vectors remain PENDING until G11 runs them through two independent move/state implementations.</w:t>
      </w:r>
    </w:p>
    <w:p>
      <w:pPr>
        <w:pStyle w:val="Heading1"/>
      </w:pPr>
      <w:r>
        <w:t>13. Frozen artifact inventory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cantSplit/>
        </w:trPr>
        <w:tc>
          <w:tcPr>
            <w:tcW w:type="dxa" w:w="3168"/>
            <w:vAlign w:val="center"/>
            <w:shd w:fill="1F4E7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Artifact</w:t>
            </w:r>
          </w:p>
        </w:tc>
        <w:tc>
          <w:tcPr>
            <w:tcW w:type="dxa" w:w="4896"/>
            <w:vAlign w:val="center"/>
            <w:shd w:fill="1F4E7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SHA-256</w:t>
            </w:r>
          </w:p>
        </w:tc>
        <w:tc>
          <w:tcPr>
            <w:tcW w:type="dxa" w:w="3024"/>
            <w:vAlign w:val="center"/>
            <w:shd w:fill="1F4E7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Role</w:t>
            </w:r>
          </w:p>
        </w:tc>
      </w:tr>
      <w:tr>
        <w:trPr>
          <w:cantSplit/>
        </w:trPr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G10_Rules_Contract_v1.json</w:t>
            </w:r>
          </w:p>
        </w:tc>
        <w:tc>
          <w:tcPr>
            <w:tcW w:type="dxa" w:w="489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c0e2430e6dabf029193897e6c621e614914963290f07ecb8946049543a13edca</w:t>
            </w:r>
          </w:p>
        </w:tc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Machine-readable rules/state contract.</w:t>
            </w:r>
          </w:p>
        </w:tc>
      </w:tr>
      <w:tr>
        <w:trPr>
          <w:cantSplit/>
        </w:trPr>
        <w:tc>
          <w:tcPr>
            <w:tcW w:type="dxa" w:w="3168"/>
            <w:vAlign w:val="center"/>
            <w:shd w:fill="F3F6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g10_contract.py</w:t>
            </w:r>
          </w:p>
        </w:tc>
        <w:tc>
          <w:tcPr>
            <w:tcW w:type="dxa" w:w="4896"/>
            <w:vAlign w:val="center"/>
            <w:shd w:fill="F3F6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1aeea039ea9b46f10a189bcf968543009558a88d8a36ca362c854a96de045062</w:t>
            </w:r>
          </w:p>
        </w:tc>
        <w:tc>
          <w:tcPr>
            <w:tcW w:type="dxa" w:w="3024"/>
            <w:vAlign w:val="center"/>
            <w:shd w:fill="F3F6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Executable metadata/reference layer; no move generation.</w:t>
            </w:r>
          </w:p>
        </w:tc>
      </w:tr>
      <w:tr>
        <w:trPr>
          <w:cantSplit/>
        </w:trPr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test_g10_contract.py</w:t>
            </w:r>
          </w:p>
        </w:tc>
        <w:tc>
          <w:tcPr>
            <w:tcW w:type="dxa" w:w="489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806806622a8015515c88f30999618e223d10ca2b8e61686a80d35fc717c2d36e</w:t>
            </w:r>
          </w:p>
        </w:tc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11 contract tests.</w:t>
            </w:r>
          </w:p>
        </w:tc>
      </w:tr>
      <w:tr>
        <w:trPr>
          <w:cantSplit/>
        </w:trPr>
        <w:tc>
          <w:tcPr>
            <w:tcW w:type="dxa" w:w="3168"/>
            <w:vAlign w:val="center"/>
            <w:shd w:fill="F3F6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G10_Conformance_Vectors_v1.json</w:t>
            </w:r>
          </w:p>
        </w:tc>
        <w:tc>
          <w:tcPr>
            <w:tcW w:type="dxa" w:w="4896"/>
            <w:vAlign w:val="center"/>
            <w:shd w:fill="F3F6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317a192513f99b467b2afb888a74e9607950aa2c50b90848a98c1feb2aedbb4d</w:t>
            </w:r>
          </w:p>
        </w:tc>
        <w:tc>
          <w:tcPr>
            <w:tcW w:type="dxa" w:w="3024"/>
            <w:vAlign w:val="center"/>
            <w:shd w:fill="F3F6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Frozen G11 edge-case vectors.</w:t>
            </w:r>
          </w:p>
        </w:tc>
      </w:tr>
      <w:tr>
        <w:trPr>
          <w:cantSplit/>
        </w:trPr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G10_README.md</w:t>
            </w:r>
          </w:p>
        </w:tc>
        <w:tc>
          <w:tcPr>
            <w:tcW w:type="dxa" w:w="489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1c71e7b5cd41041d67f3275cdbbc1491c8fb6cd73bc3aaa0a5817bfad0aa69bb</w:t>
            </w:r>
          </w:p>
        </w:tc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Bundle boundary and usage note.</w:t>
            </w:r>
          </w:p>
        </w:tc>
      </w:tr>
      <w:tr>
        <w:trPr>
          <w:cantSplit/>
        </w:trPr>
        <w:tc>
          <w:tcPr>
            <w:tcW w:type="dxa" w:w="3168"/>
            <w:vAlign w:val="center"/>
            <w:shd w:fill="F3F6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G10_Semantics_Contract_Bundle.zip</w:t>
            </w:r>
          </w:p>
        </w:tc>
        <w:tc>
          <w:tcPr>
            <w:tcW w:type="dxa" w:w="4896"/>
            <w:vAlign w:val="center"/>
            <w:shd w:fill="F3F6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a0c5c2df8f8f61d8f6365ae8750491e3d64df821d060f9d24edb6ad9342b0793</w:t>
            </w:r>
          </w:p>
        </w:tc>
        <w:tc>
          <w:tcPr>
            <w:tcW w:type="dxa" w:w="3024"/>
            <w:vAlign w:val="center"/>
            <w:shd w:fill="F3F6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Frozen bundle of the above files plus checksum ledger.</w:t>
            </w:r>
          </w:p>
        </w:tc>
      </w:tr>
    </w:tbl>
    <w:p>
      <w:pPr>
        <w:spacing w:after="0"/>
      </w:pPr>
    </w:p>
    <w:p>
      <w:pPr>
        <w:pStyle w:val="Heading1"/>
      </w:pPr>
      <w:r>
        <w:t>14. Negative results, rejected shortcuts and corrections</w:t>
      </w:r>
    </w:p>
    <w:p>
      <w:pPr>
        <w:pStyle w:val="ListBullet"/>
        <w:spacing w:after="40"/>
      </w:pPr>
      <w:r>
        <w:t>REJECTED: using board placement + side-to-move alone as canonical position identity. It loses castling/en-passant and history-dependent draw semantics.</w:t>
      </w:r>
    </w:p>
    <w:p>
      <w:pPr>
        <w:pStyle w:val="ListBullet"/>
        <w:spacing w:after="40"/>
      </w:pPr>
      <w:r>
        <w:t>REJECTED: storing only the current repetition count. Future claims depend on counts of other keys that may recur before the next barrier.</w:t>
      </w:r>
    </w:p>
    <w:p>
      <w:pPr>
        <w:pStyle w:val="ListBullet"/>
        <w:spacing w:after="40"/>
      </w:pPr>
      <w:r>
        <w:t>REJECTED: storing an unbounded full move history. The barrier/count lemmas give an exact finite quotient.</w:t>
      </w:r>
    </w:p>
    <w:p>
      <w:pPr>
        <w:pStyle w:val="ListBullet"/>
        <w:spacing w:after="40"/>
      </w:pPr>
      <w:r>
        <w:t>REJECTED: treating a raw FEN en-passant target as repetition-significant when no legal en-passant capture exists. G10 stores only effective legal EP.</w:t>
      </w:r>
    </w:p>
    <w:p>
      <w:pPr>
        <w:pStyle w:val="ListBullet"/>
        <w:spacing w:after="40"/>
      </w:pPr>
      <w:r>
        <w:t>REJECTED: "insufficient material" as the definition of dead position. The final contract uses no-checkmate-reachable semantics.</w:t>
      </w:r>
    </w:p>
    <w:p>
      <w:pPr>
        <w:pStyle w:val="ListBullet"/>
        <w:spacing w:after="40"/>
      </w:pPr>
      <w:r>
        <w:t>REJECTED: silently calling all locally valid endgame rows historically reachable. Reachability is explicitly typed.</w:t>
      </w:r>
    </w:p>
    <w:p>
      <w:pPr>
        <w:pStyle w:val="ListBullet"/>
        <w:spacing w:after="40"/>
      </w:pPr>
      <w:r>
        <w:t>REJECTED: absorbing tournament clock/arbiter procedures into the state graph without a fixed competition specification. G10 freezes the legal-play board game instead.</w:t>
      </w:r>
    </w:p>
    <w:p>
      <w:pPr>
        <w:pStyle w:val="Heading1"/>
      </w:pPr>
      <w:r>
        <w:t>15. What remains unresolved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cantSplit/>
        </w:trPr>
        <w:tc>
          <w:tcPr>
            <w:tcW w:type="dxa" w:w="3312"/>
            <w:vAlign w:val="center"/>
            <w:shd w:fill="1F4E7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Open item</w:t>
            </w:r>
          </w:p>
        </w:tc>
        <w:tc>
          <w:tcPr>
            <w:tcW w:type="dxa" w:w="4320"/>
            <w:vAlign w:val="center"/>
            <w:shd w:fill="1F4E7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Status at G10 close</w:t>
            </w:r>
          </w:p>
        </w:tc>
        <w:tc>
          <w:tcPr>
            <w:tcW w:type="dxa" w:w="2592"/>
            <w:vAlign w:val="center"/>
            <w:shd w:fill="1F4E7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Owner</w:t>
            </w:r>
          </w:p>
        </w:tc>
      </w:tr>
      <w:tr>
        <w:trPr>
          <w:cantSplit/>
        </w:trPr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Independent move generation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No independent implementation pair yet.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G11 - blocking.</w:t>
            </w:r>
          </w:p>
        </w:tc>
      </w:tr>
      <w:tr>
        <w:trPr>
          <w:cantSplit/>
        </w:trPr>
        <w:tc>
          <w:tcPr>
            <w:tcW w:type="dxa" w:w="3312"/>
            <w:vAlign w:val="center"/>
            <w:shd w:fill="F3F6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Effective EP computation</w:t>
            </w:r>
          </w:p>
        </w:tc>
        <w:tc>
          <w:tcPr>
            <w:tcW w:type="dxa" w:w="4320"/>
            <w:vAlign w:val="center"/>
            <w:shd w:fill="F3F6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Semantics frozen; must be computed by legal move generator, including king-safety pins.</w:t>
            </w:r>
          </w:p>
        </w:tc>
        <w:tc>
          <w:tcPr>
            <w:tcW w:type="dxa" w:w="2592"/>
            <w:vAlign w:val="center"/>
            <w:shd w:fill="F3F6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G11.</w:t>
            </w:r>
          </w:p>
        </w:tc>
      </w:tr>
      <w:tr>
        <w:trPr>
          <w:cantSplit/>
        </w:trPr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Static/local state admissibility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Schema/invariants frozen; exact conformance rejection corpus not yet exhaustive.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G11.</w:t>
            </w:r>
          </w:p>
        </w:tc>
      </w:tr>
      <w:tr>
        <w:trPr>
          <w:cantSplit/>
        </w:trPr>
        <w:tc>
          <w:tcPr>
            <w:tcW w:type="dxa" w:w="3312"/>
            <w:vAlign w:val="center"/>
            <w:shd w:fill="F3F6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Exact dead-position engine</w:t>
            </w:r>
          </w:p>
        </w:tc>
        <w:tc>
          <w:tcPr>
            <w:tcW w:type="dxa" w:w="4320"/>
            <w:vAlign w:val="center"/>
            <w:shd w:fill="F3F6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Definition frozen; no general implementation certified here.</w:t>
            </w:r>
          </w:p>
        </w:tc>
        <w:tc>
          <w:tcPr>
            <w:tcW w:type="dxa" w:w="2592"/>
            <w:vAlign w:val="center"/>
            <w:shd w:fill="F3F6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G11/G12, with G12 exact small-arena truth.</w:t>
            </w:r>
          </w:p>
        </w:tc>
      </w:tr>
      <w:tr>
        <w:trPr>
          <w:cantSplit/>
        </w:trPr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Full-rule arena regression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Historical truths not retroactively re-solved.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G12.</w:t>
            </w:r>
          </w:p>
        </w:tc>
      </w:tr>
      <w:tr>
        <w:trPr>
          <w:cantSplit/>
        </w:trPr>
        <w:tc>
          <w:tcPr>
            <w:tcW w:type="dxa" w:w="3312"/>
            <w:vAlign w:val="center"/>
            <w:shd w:fill="F3F6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Large history-state economics</w:t>
            </w:r>
          </w:p>
        </w:tc>
        <w:tc>
          <w:tcPr>
            <w:tcW w:type="dxa" w:w="4320"/>
            <w:vAlign w:val="center"/>
            <w:shd w:fill="F3F6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Finite representation proved; scaling behavior not yet measured.</w:t>
            </w:r>
          </w:p>
        </w:tc>
        <w:tc>
          <w:tcPr>
            <w:tcW w:type="dxa" w:w="2592"/>
            <w:vAlign w:val="center"/>
            <w:shd w:fill="F3F6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G20.</w:t>
            </w:r>
          </w:p>
        </w:tc>
      </w:tr>
      <w:tr>
        <w:trPr>
          <w:cantSplit/>
        </w:trPr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Formal proof assistant core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No mechanized theorem-prover encoding in G10.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G15.</w:t>
            </w:r>
          </w:p>
        </w:tc>
      </w:tr>
      <w:tr>
        <w:trPr>
          <w:cantSplit/>
        </w:trPr>
        <w:tc>
          <w:tcPr>
            <w:tcW w:type="dxa" w:w="3312"/>
            <w:vAlign w:val="center"/>
            <w:shd w:fill="F3F6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Initial-position reachability/canonical forward graph</w:t>
            </w:r>
          </w:p>
        </w:tc>
        <w:tc>
          <w:tcPr>
            <w:tcW w:type="dxa" w:w="4320"/>
            <w:vAlign w:val="center"/>
            <w:shd w:fill="F3F6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Type contract exists but no forward canonicalizer yet.</w:t>
            </w:r>
          </w:p>
        </w:tc>
        <w:tc>
          <w:tcPr>
            <w:tcW w:type="dxa" w:w="2592"/>
            <w:vAlign w:val="center"/>
            <w:shd w:fill="F3F6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G35.</w:t>
            </w:r>
          </w:p>
        </w:tc>
      </w:tr>
    </w:tbl>
    <w:p>
      <w:pPr>
        <w:spacing w:after="0"/>
      </w:pPr>
    </w:p>
    <w:p>
      <w:pPr>
        <w:pStyle w:val="Heading1"/>
      </w:pPr>
      <w:r>
        <w:t>16. Implications for the G9 roadmap</w:t>
      </w:r>
    </w:p>
    <w:p>
      <w:r>
        <w:t>No roadmap renumbering is justified. G10 succeeds on the exact dependency the G9 plan assigned to it and therefore unlocks G11. It also sharpens several later stages:</w:t>
      </w:r>
    </w:p>
    <w:p>
      <w:pPr>
        <w:pStyle w:val="ListBullet"/>
        <w:spacing w:after="40"/>
      </w:pPr>
      <w:r>
        <w:t>G11 must compare two implementations on full state identity and history transitions, not merely board legal moves.</w:t>
      </w:r>
    </w:p>
    <w:p>
      <w:pPr>
        <w:pStyle w:val="ListBullet"/>
        <w:spacing w:after="40"/>
      </w:pPr>
      <w:r>
        <w:t>G12 must certify exact deadness and claim/automatic-draw behavior in small arenas; old restricted-model W/D/L hashes remain historical where semantics differ.</w:t>
      </w:r>
    </w:p>
    <w:p>
      <w:pPr>
        <w:pStyle w:val="ListBullet"/>
        <w:spacing w:after="40"/>
      </w:pPr>
      <w:r>
        <w:t>G14 proof-store keys must version the G10 contract and preserve canonical raw payloads behind hashes.</w:t>
      </w:r>
    </w:p>
    <w:p>
      <w:pPr>
        <w:pStyle w:val="ListBullet"/>
        <w:spacing w:after="40"/>
      </w:pPr>
      <w:r>
        <w:t>G20 inherits the History Barrier and Count Sufficiency lemmas as the preferred exact representation for history-dependent draw scaling.</w:t>
      </w:r>
    </w:p>
    <w:p>
      <w:pPr>
        <w:pStyle w:val="ListBullet"/>
        <w:spacing w:after="40"/>
      </w:pPr>
      <w:r>
        <w:t>G35 forward canonicalization must generate the complete G10 full state, not FEN-like board state with history dropped.</w:t>
      </w:r>
    </w:p>
    <w:p>
      <w:r>
        <w:t>G9 scored rules/model completeness at only 20/100 and total programme readiness at 24%. G10 materially closes the specification portion of that gap, but no new overall percentage is frozen here: independent conformance (G11) and full-rule exact anchors (G12) are still missing, so rescoring now would risk rewarding a paper contract as though it were verified implementation.</w:t>
      </w:r>
    </w:p>
    <w:p>
      <w:pPr>
        <w:pStyle w:val="Heading1"/>
      </w:pPr>
      <w:r>
        <w:t>17. G10 advance / failure gate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cantSplit/>
        </w:trPr>
        <w:tc>
          <w:tcPr>
            <w:tcW w:type="dxa" w:w="3600"/>
            <w:vAlign w:val="center"/>
            <w:shd w:fill="1F4E7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Gate</w:t>
            </w:r>
          </w:p>
        </w:tc>
        <w:tc>
          <w:tcPr>
            <w:tcW w:type="dxa" w:w="1296"/>
            <w:vAlign w:val="center"/>
            <w:shd w:fill="1F4E7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Verdict</w:t>
            </w:r>
          </w:p>
        </w:tc>
        <w:tc>
          <w:tcPr>
            <w:tcW w:type="dxa" w:w="5184"/>
            <w:vAlign w:val="center"/>
            <w:shd w:fill="1F4E7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Evidence</w:t>
            </w:r>
          </w:p>
        </w:tc>
      </w:tr>
      <w:tr>
        <w:trPr>
          <w:cantSplit/>
        </w:trPr>
        <w:tc>
          <w:tcPr>
            <w:tcW w:type="dxa" w:w="360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One unambiguous ruleset stated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MET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G10.RULES.v1.0 declares core legal-play scope and exclusions.</w:t>
            </w:r>
          </w:p>
        </w:tc>
      </w:tr>
      <w:tr>
        <w:trPr>
          <w:cantSplit/>
        </w:trPr>
        <w:tc>
          <w:tcPr>
            <w:tcW w:type="dxa" w:w="3600"/>
            <w:vAlign w:val="center"/>
            <w:shd w:fill="F3F6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Every history-sensitive state variable explicit</w:t>
            </w:r>
          </w:p>
        </w:tc>
        <w:tc>
          <w:tcPr>
            <w:tcW w:type="dxa" w:w="1296"/>
            <w:vAlign w:val="center"/>
            <w:shd w:fill="F3F6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MET</w:t>
            </w:r>
          </w:p>
        </w:tc>
        <w:tc>
          <w:tcPr>
            <w:tcW w:type="dxa" w:w="5184"/>
            <w:vAlign w:val="center"/>
            <w:shd w:fill="F3F6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Castling, effective EP, halfmove, repetition map all in machine schema.</w:t>
            </w:r>
          </w:p>
        </w:tc>
      </w:tr>
      <w:tr>
        <w:trPr>
          <w:cantSplit/>
        </w:trPr>
        <w:tc>
          <w:tcPr>
            <w:tcW w:type="dxa" w:w="360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Canonical position and full-state identity explicit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MET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REP1 and G10.STATE.v1 defined separately.</w:t>
            </w:r>
          </w:p>
        </w:tc>
      </w:tr>
      <w:tr>
        <w:trPr>
          <w:cantSplit/>
        </w:trPr>
        <w:tc>
          <w:tcPr>
            <w:tcW w:type="dxa" w:w="3600"/>
            <w:vAlign w:val="center"/>
            <w:shd w:fill="F3F6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Claim semantics explicit</w:t>
            </w:r>
          </w:p>
        </w:tc>
        <w:tc>
          <w:tcPr>
            <w:tcW w:type="dxa" w:w="1296"/>
            <w:vAlign w:val="center"/>
            <w:shd w:fill="F3F6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MET</w:t>
            </w:r>
          </w:p>
        </w:tc>
        <w:tc>
          <w:tcPr>
            <w:tcW w:type="dxa" w:w="5184"/>
            <w:vAlign w:val="center"/>
            <w:shd w:fill="F3F6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Threefold/50 now and intended-move actions frozen.</w:t>
            </w:r>
          </w:p>
        </w:tc>
      </w:tr>
      <w:tr>
        <w:trPr>
          <w:cantSplit/>
        </w:trPr>
        <w:tc>
          <w:tcPr>
            <w:tcW w:type="dxa" w:w="360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Automatic terminals explicit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MET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Mate/stalemate/dead/fivefold/75 semantics and precedence frozen.</w:t>
            </w:r>
          </w:p>
        </w:tc>
      </w:tr>
      <w:tr>
        <w:trPr>
          <w:cantSplit/>
        </w:trPr>
        <w:tc>
          <w:tcPr>
            <w:tcW w:type="dxa" w:w="3600"/>
            <w:vAlign w:val="center"/>
            <w:shd w:fill="F3F6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Historical reachability safely separated</w:t>
            </w:r>
          </w:p>
        </w:tc>
        <w:tc>
          <w:tcPr>
            <w:tcW w:type="dxa" w:w="1296"/>
            <w:vAlign w:val="center"/>
            <w:shd w:fill="F3F6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MET</w:t>
            </w:r>
          </w:p>
        </w:tc>
        <w:tc>
          <w:tcPr>
            <w:tcW w:type="dxa" w:w="5184"/>
            <w:vAlign w:val="center"/>
            <w:shd w:fill="F3F6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ARENA_ADMISSIBLE vs START_REACHABLE / certified entry typing.</w:t>
            </w:r>
          </w:p>
        </w:tc>
      </w:tr>
      <w:tr>
        <w:trPr>
          <w:cantSplit/>
        </w:trPr>
        <w:tc>
          <w:tcPr>
            <w:tcW w:type="dxa" w:w="360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Machine-readable artifacts and tests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MET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JSON contract + executable layer + vectors; 11/11 metadata tests.</w:t>
            </w:r>
          </w:p>
        </w:tc>
      </w:tr>
      <w:tr>
        <w:trPr>
          <w:cantSplit/>
        </w:trPr>
        <w:tc>
          <w:tcPr>
            <w:tcW w:type="dxa" w:w="3600"/>
            <w:vAlign w:val="center"/>
            <w:shd w:fill="F3F6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No hidden implementation-conformance claim</w:t>
            </w:r>
          </w:p>
        </w:tc>
        <w:tc>
          <w:tcPr>
            <w:tcW w:type="dxa" w:w="1296"/>
            <w:vAlign w:val="center"/>
            <w:shd w:fill="F3F6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MET</w:t>
            </w:r>
          </w:p>
        </w:tc>
        <w:tc>
          <w:tcPr>
            <w:tcW w:type="dxa" w:w="5184"/>
            <w:vAlign w:val="center"/>
            <w:shd w:fill="F3F6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Move generation explicitly deferred to G11; deadness execution to G11/G12.</w:t>
            </w:r>
          </w:p>
        </w:tc>
      </w:tr>
    </w:tbl>
    <w:p>
      <w:pPr>
        <w:spacing w:after="0"/>
      </w:pPr>
    </w:p>
    <w:p>
      <w:r>
        <w:t>FINAL G10 VERDICT: PASS. The programme may advance to G11. No larger "final-model" exact solve should be treated as authoritative until G11 resolves move/state conformance.</w:t>
      </w:r>
    </w:p>
    <w:p>
      <w:pPr>
        <w:pStyle w:val="Heading1"/>
      </w:pPr>
      <w:r>
        <w:t>18. Successor Contract - G11</w:t>
      </w:r>
    </w:p>
    <w:p>
      <w:r>
        <w:rPr>
          <w:b/>
        </w:rPr>
        <w:t xml:space="preserve">G11 immediate mission: </w:t>
      </w:r>
      <w:r>
        <w:t>build two genuinely independent implementations of G10.RULES.v1.0 state identity and legal transition semantics, then force them to agree on a frozen conformance corpus.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cantSplit/>
        </w:trPr>
        <w:tc>
          <w:tcPr>
            <w:tcW w:type="dxa" w:w="2880"/>
            <w:vAlign w:val="center"/>
            <w:shd w:fill="1F4E7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Successor item</w:t>
            </w:r>
          </w:p>
        </w:tc>
        <w:tc>
          <w:tcPr>
            <w:tcW w:type="dxa" w:w="7344"/>
            <w:vAlign w:val="center"/>
            <w:shd w:fill="1F4E7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Frozen instruction</w:t>
            </w:r>
          </w:p>
        </w:tc>
      </w:tr>
      <w:tr>
        <w:trPr>
          <w:cantSplit/>
        </w:trP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Programme number</w:t>
            </w:r>
          </w:p>
        </w:tc>
        <w:tc>
          <w:tcPr>
            <w:tcW w:type="dxa" w:w="734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G11 - Independent Move-Generation and State-Conformance Suite.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3F6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Inherits</w:t>
            </w:r>
          </w:p>
        </w:tc>
        <w:tc>
          <w:tcPr>
            <w:tcW w:type="dxa" w:w="7344"/>
            <w:vAlign w:val="center"/>
            <w:shd w:fill="F3F6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G10.RULES.v1.0, G10.STATE.v1, REP1, G10-L1..L4, claim/terminal precedence, reachability typing, frozen conformance vectors.</w:t>
            </w:r>
          </w:p>
        </w:tc>
      </w:tr>
      <w:tr>
        <w:trPr>
          <w:cantSplit/>
        </w:trP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Immediate deliverables</w:t>
            </w:r>
          </w:p>
        </w:tc>
        <w:tc>
          <w:tcPr>
            <w:tcW w:type="dxa" w:w="734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Reference generator; independently written conformance generator; full-state serializer; predecessor/successor round trips; fuzz/property corpus; zero-unexplained-mismatch ledger.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3F6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Blocking rule</w:t>
            </w:r>
          </w:p>
        </w:tc>
        <w:tc>
          <w:tcPr>
            <w:tcW w:type="dxa" w:w="7344"/>
            <w:vAlign w:val="center"/>
            <w:shd w:fill="F3F6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Any unexplained legality, state-identity, castling, EP, claim, terminal or history-transition mismatch blocks G12.</w:t>
            </w:r>
          </w:p>
        </w:tc>
      </w:tr>
      <w:tr>
        <w:trPr>
          <w:cantSplit/>
        </w:trP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Required special cases</w:t>
            </w:r>
          </w:p>
        </w:tc>
        <w:tc>
          <w:tcPr>
            <w:tcW w:type="dxa" w:w="734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Castling through/into check; rights loss and rook capture; legal/pinned EP; promotion/underpromotion; check evasions; mate/stalemate; threefold/fivefold; 50/75; exact deadness hooks; malformed/unreachable state rejection typing.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3F6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Independence requirement</w:t>
            </w:r>
          </w:p>
        </w:tc>
        <w:tc>
          <w:tcPr>
            <w:tcW w:type="dxa" w:w="7344"/>
            <w:vAlign w:val="center"/>
            <w:shd w:fill="F3F6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The second implementation must not call the first generator, reuse its move list, or replay producer queues. Shared test vectors and the frozen G10 contract are allowed.</w:t>
            </w:r>
          </w:p>
        </w:tc>
      </w:tr>
      <w:tr>
        <w:trPr>
          <w:cantSplit/>
        </w:trP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Older artifacts genuinely needed?</w:t>
            </w:r>
          </w:p>
        </w:tc>
        <w:tc>
          <w:tcPr>
            <w:tcW w:type="dxa" w:w="734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None for semantic authority. G11 can proceed from the permanent G9 roadmap + this G10 handoff + G10 bundle. G8 may be consulted only as optional engineering regression context, not to define full-rule semantics.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3F6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Natural close</w:t>
            </w:r>
          </w:p>
        </w:tc>
        <w:tc>
          <w:tcPr>
            <w:tcW w:type="dxa" w:w="7344"/>
            <w:vAlign w:val="center"/>
            <w:shd w:fill="F3F6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Zero unexplained mismatches across the frozen suite plus exhaustive small-domain and adversarial/fuzz coverage sufficient to unlock G12. Preserve every mismatch and correction in the G11 handoff.</w:t>
            </w:r>
          </w:p>
        </w:tc>
      </w:tr>
    </w:tbl>
    <w:p>
      <w:pPr>
        <w:spacing w:after="0"/>
      </w:pPr>
    </w:p>
    <w:p>
      <w:pPr>
        <w:pStyle w:val="Heading1"/>
      </w:pPr>
      <w:r>
        <w:t>19. Source and rule reference ledger</w:t>
      </w:r>
    </w:p>
    <w:p>
      <w:pPr>
        <w:pStyle w:val="ListBullet"/>
        <w:spacing w:after="40"/>
      </w:pPr>
      <w:r>
        <w:t>FIDE Handbook, FIDE Laws of Chess taking effect from 1 January 2023 (current Laws entry verified in the official Handbook on 11 August 2026). Relevant areas: Article 3 (moves, en-passant, castling), Article 5 (checkmate, stalemate, dead position), Article 9 (threefold/fivefold repetition and 50/75-move rules).</w:t>
      </w:r>
    </w:p>
    <w:p>
      <w:pPr>
        <w:pStyle w:val="ListBullet"/>
        <w:spacing w:after="40"/>
      </w:pPr>
      <w:r>
        <w:t>G9_G10_Onwards_Long_Range_Plan.docx - authoritative dependency map and G10 mission/advance condition.</w:t>
      </w:r>
    </w:p>
    <w:p>
      <w:pPr>
        <w:pStyle w:val="ListBullet"/>
        <w:spacing w:after="40"/>
      </w:pPr>
      <w:r>
        <w:t>G9_Road_to_100_Assessment.docx - authoritative G9 progress baseline and rules/model gap.</w:t>
      </w:r>
    </w:p>
    <w:p>
      <w:pPr>
        <w:pStyle w:val="ListBullet"/>
        <w:spacing w:after="40"/>
      </w:pPr>
      <w:r>
        <w:t>G8_Certificate_Engine_and_Reascent_Final_Technical_Handoff.docx - latest pre-G9 frozen technical truth; restricted-model results remain historically scoped.</w:t>
      </w:r>
    </w:p>
    <w:p>
      <w:pPr>
        <w:jc w:val="center"/>
      </w:pPr>
      <w:r>
        <w:rPr>
          <w:b/>
          <w:color w:val="17365D"/>
          <w:sz w:val="24"/>
        </w:rPr>
        <w:t>G10 CLOSED - RULES/STATE CONTRACT FROZEN - G11 UNLOCKED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93" w:right="1037" w:bottom="893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SmallNote"/>
      <w:jc w:val="center"/>
    </w:pPr>
    <w:r>
      <w:t>Solving Chess | Frozen closeout | 11 August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SmallNote"/>
      <w:jc w:val="right"/>
    </w:pPr>
    <w:r>
      <w:t>G10 Final Chess Ruleset and State-Semantics Contract - Technical Handoff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90" w:line="252" w:lineRule="auto"/>
    </w:pPr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F5597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2F5597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 w:before="160"/>
      <w:contextualSpacing/>
    </w:pPr>
    <w:rPr>
      <w:rFonts w:asciiTheme="majorHAnsi" w:eastAsiaTheme="majorEastAsia" w:hAnsiTheme="majorHAnsi" w:cstheme="majorBidi" w:ascii="Aptos Display" w:hAnsi="Aptos Display"/>
      <w:color w:val="17365D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Note">
    <w:name w:val="Small Note"/>
    <w:rPr>
      <w:rFonts w:ascii="Aptos" w:hAnsi="Aptos"/>
      <w:color w:val="5A5A5A"/>
      <w:sz w:val="16"/>
    </w:rPr>
  </w:style>
  <w:style w:type="paragraph" w:customStyle="1" w:styleId="Codeish">
    <w:name w:val="Codeish"/>
    <w:pPr>
      <w:spacing w:after="40"/>
    </w:pPr>
    <w:rPr>
      <w:rFonts w:ascii="Consolas" w:hAnsi="Consolas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