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G12 Full-Rule Small-Arena Certification</w:t>
      </w:r>
    </w:p>
    <w:p>
      <w:pPr>
        <w:jc w:val="center"/>
      </w:pPr>
      <w:r>
        <w:rPr>
          <w:b/>
          <w:sz w:val="30"/>
        </w:rPr>
        <w:t>Technical Handoff — Frozen Closeout</w:t>
      </w:r>
    </w:p>
    <w:p>
      <w:pPr>
        <w:jc w:val="center"/>
      </w:pPr>
      <w:r>
        <w:rPr>
          <w:sz w:val="20"/>
        </w:rPr>
        <w:t>12 August 2026 | G12.R1</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EEF5FB"/>
          </w:tcPr>
          <w:p>
            <w:pPr>
              <w:spacing w:after="40"/>
            </w:pPr>
            <w:r/>
            <w:r>
              <w:rPr>
                <w:b/>
                <w:sz w:val="20"/>
              </w:rPr>
              <w:t>FROZEN VERDICT — PASS UNDER THE AUTHORISED SUPERSEDING-ARTIFACT BRANCH</w:t>
            </w:r>
          </w:p>
          <w:p>
            <w:pPr>
              <w:spacing w:after="0"/>
            </w:pPr>
            <w:r>
              <w:rPr>
                <w:sz w:val="18"/>
              </w:rPr>
              <w:t>G12 closes the G11 provenance/identity seam without pretending the missing G10 machine payload was recovered. G10.RULES.v1.0 remains the semantic rules authority. A new versioned canonical artifact profile, G12.STATE.SERIAL.v2, is frozen for forward work; a new conformance corpus passes; compact final-rule reference arenas are solved and independently replayed; exact history-sensitive controls and a nontrivial exact DEAD family are certified. Historical G11 remains HOLD against the unavailable original G10 payload.</w:t>
            </w:r>
          </w:p>
        </w:tc>
      </w:tr>
    </w:tbl>
    <w:p>
      <w:pPr>
        <w:spacing w:after="0"/>
      </w:pPr>
    </w:p>
    <w:p>
      <w:pPr>
        <w:pStyle w:val="Heading1"/>
      </w:pPr>
      <w:r>
        <w:t>0. Executive freeze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shd w:fill="D9EAF7"/>
          </w:tcPr>
          <w:p>
            <w:pPr>
              <w:spacing w:after="0"/>
            </w:pPr>
            <w:r/>
            <w:r>
              <w:rPr>
                <w:rFonts w:ascii="Aptos" w:hAnsi="Aptos"/>
                <w:b/>
                <w:sz w:val="15"/>
              </w:rPr>
              <w:t>Gate / object</w:t>
            </w:r>
          </w:p>
        </w:tc>
        <w:tc>
          <w:tcPr>
            <w:tcW w:type="dxa" w:w="6264"/>
            <w:vAlign w:val="center"/>
            <w:shd w:fill="D9EAF7"/>
          </w:tcPr>
          <w:p>
            <w:pPr>
              <w:spacing w:after="0"/>
            </w:pPr>
            <w:r/>
            <w:r>
              <w:rPr>
                <w:rFonts w:ascii="Aptos" w:hAnsi="Aptos"/>
                <w:b/>
                <w:sz w:val="15"/>
              </w:rPr>
              <w:t>Frozen result</w:t>
            </w:r>
          </w:p>
        </w:tc>
        <w:tc>
          <w:tcPr>
            <w:tcW w:type="dxa" w:w="2232"/>
            <w:vAlign w:val="center"/>
            <w:shd w:fill="D9EAF7"/>
          </w:tcPr>
          <w:p>
            <w:pPr>
              <w:spacing w:after="0"/>
            </w:pPr>
            <w:r/>
            <w:r>
              <w:rPr>
                <w:rFonts w:ascii="Aptos" w:hAnsi="Aptos"/>
                <w:b/>
                <w:sz w:val="15"/>
              </w:rPr>
              <w:t>Claim class</w:t>
            </w:r>
          </w:p>
        </w:tc>
      </w:tr>
      <w:tr>
        <w:trPr>
          <w:cantSplit/>
        </w:trPr>
        <w:tc>
          <w:tcPr>
            <w:tcW w:type="dxa" w:w="2232"/>
            <w:vAlign w:val="center"/>
          </w:tcPr>
          <w:p>
            <w:pPr>
              <w:spacing w:after="0"/>
            </w:pPr>
            <w:r/>
            <w:r>
              <w:rPr>
                <w:rFonts w:ascii="Aptos" w:hAnsi="Aptos"/>
                <w:b w:val="0"/>
                <w:sz w:val="15"/>
              </w:rPr>
              <w:t>Programme number</w:t>
            </w:r>
          </w:p>
        </w:tc>
        <w:tc>
          <w:tcPr>
            <w:tcW w:type="dxa" w:w="6264"/>
            <w:vAlign w:val="center"/>
          </w:tcPr>
          <w:p>
            <w:pPr>
              <w:spacing w:after="0"/>
            </w:pPr>
            <w:r/>
            <w:r>
              <w:rPr>
                <w:rFonts w:ascii="Aptos" w:hAnsi="Aptos"/>
                <w:b w:val="0"/>
                <w:sz w:val="15"/>
              </w:rPr>
              <w:t>G12</w:t>
            </w:r>
          </w:p>
        </w:tc>
        <w:tc>
          <w:tcPr>
            <w:tcW w:type="dxa" w:w="2232"/>
            <w:vAlign w:val="center"/>
          </w:tcPr>
          <w:p>
            <w:pPr>
              <w:spacing w:after="0"/>
            </w:pPr>
            <w:r/>
            <w:r>
              <w:rPr>
                <w:rFonts w:ascii="Aptos" w:hAnsi="Aptos"/>
                <w:b w:val="0"/>
                <w:sz w:val="15"/>
              </w:rPr>
              <w:t>Sequential programme identity</w:t>
            </w:r>
          </w:p>
        </w:tc>
      </w:tr>
      <w:tr>
        <w:trPr>
          <w:cantSplit/>
        </w:trPr>
        <w:tc>
          <w:tcPr>
            <w:tcW w:type="dxa" w:w="2232"/>
            <w:vAlign w:val="center"/>
          </w:tcPr>
          <w:p>
            <w:pPr>
              <w:spacing w:after="0"/>
            </w:pPr>
            <w:r/>
            <w:r>
              <w:rPr>
                <w:rFonts w:ascii="Aptos" w:hAnsi="Aptos"/>
                <w:b w:val="0"/>
                <w:sz w:val="15"/>
              </w:rPr>
              <w:t>Original G10 bundle recovery</w:t>
            </w:r>
          </w:p>
        </w:tc>
        <w:tc>
          <w:tcPr>
            <w:tcW w:type="dxa" w:w="6264"/>
            <w:vAlign w:val="center"/>
          </w:tcPr>
          <w:p>
            <w:pPr>
              <w:spacing w:after="0"/>
            </w:pPr>
            <w:r/>
            <w:r>
              <w:rPr>
                <w:rFonts w:ascii="Aptos" w:hAnsi="Aptos"/>
                <w:b w:val="0"/>
                <w:sz w:val="15"/>
              </w:rPr>
              <w:t>FAILED: exact payload not retrievable</w:t>
            </w:r>
          </w:p>
        </w:tc>
        <w:tc>
          <w:tcPr>
            <w:tcW w:type="dxa" w:w="2232"/>
            <w:vAlign w:val="center"/>
          </w:tcPr>
          <w:p>
            <w:pPr>
              <w:spacing w:after="0"/>
            </w:pPr>
            <w:r/>
            <w:r>
              <w:rPr>
                <w:rFonts w:ascii="Aptos" w:hAnsi="Aptos"/>
                <w:b w:val="0"/>
                <w:sz w:val="15"/>
              </w:rPr>
              <w:t>Historical provenance failure; preserved</w:t>
            </w:r>
          </w:p>
        </w:tc>
      </w:tr>
      <w:tr>
        <w:trPr>
          <w:cantSplit/>
        </w:trPr>
        <w:tc>
          <w:tcPr>
            <w:tcW w:type="dxa" w:w="2232"/>
            <w:vAlign w:val="center"/>
          </w:tcPr>
          <w:p>
            <w:pPr>
              <w:spacing w:after="0"/>
            </w:pPr>
            <w:r/>
            <w:r>
              <w:rPr>
                <w:rFonts w:ascii="Aptos" w:hAnsi="Aptos"/>
                <w:b w:val="0"/>
                <w:sz w:val="15"/>
              </w:rPr>
              <w:t>Authorised fallback</w:t>
            </w:r>
          </w:p>
        </w:tc>
        <w:tc>
          <w:tcPr>
            <w:tcW w:type="dxa" w:w="6264"/>
            <w:vAlign w:val="center"/>
          </w:tcPr>
          <w:p>
            <w:pPr>
              <w:spacing w:after="0"/>
            </w:pPr>
            <w:r/>
            <w:r>
              <w:rPr>
                <w:rFonts w:ascii="Aptos" w:hAnsi="Aptos"/>
                <w:b w:val="0"/>
                <w:sz w:val="15"/>
              </w:rPr>
              <w:t>G12.STATE.SERIAL.v2 + G12.CONFORMANCE.v2</w:t>
            </w:r>
          </w:p>
        </w:tc>
        <w:tc>
          <w:tcPr>
            <w:tcW w:type="dxa" w:w="2232"/>
            <w:vAlign w:val="center"/>
          </w:tcPr>
          <w:p>
            <w:pPr>
              <w:spacing w:after="0"/>
            </w:pPr>
            <w:r/>
            <w:r>
              <w:rPr>
                <w:rFonts w:ascii="Aptos" w:hAnsi="Aptos"/>
                <w:b w:val="0"/>
                <w:sz w:val="15"/>
              </w:rPr>
              <w:t>New forward artifact contract; G10 rules unchanged</w:t>
            </w:r>
          </w:p>
        </w:tc>
      </w:tr>
      <w:tr>
        <w:trPr>
          <w:cantSplit/>
        </w:trPr>
        <w:tc>
          <w:tcPr>
            <w:tcW w:type="dxa" w:w="2232"/>
            <w:vAlign w:val="center"/>
          </w:tcPr>
          <w:p>
            <w:pPr>
              <w:spacing w:after="0"/>
            </w:pPr>
            <w:r/>
            <w:r>
              <w:rPr>
                <w:rFonts w:ascii="Aptos" w:hAnsi="Aptos"/>
                <w:b w:val="0"/>
                <w:sz w:val="15"/>
              </w:rPr>
              <w:t>New conformance gate</w:t>
            </w:r>
          </w:p>
        </w:tc>
        <w:tc>
          <w:tcPr>
            <w:tcW w:type="dxa" w:w="6264"/>
            <w:vAlign w:val="center"/>
          </w:tcPr>
          <w:p>
            <w:pPr>
              <w:spacing w:after="0"/>
            </w:pPr>
            <w:r/>
            <w:r>
              <w:rPr>
                <w:rFonts w:ascii="Aptos" w:hAnsi="Aptos"/>
                <w:b w:val="0"/>
                <w:sz w:val="15"/>
              </w:rPr>
              <w:t>PASS; zero accepted A/B mismatches</w:t>
            </w:r>
          </w:p>
        </w:tc>
        <w:tc>
          <w:tcPr>
            <w:tcW w:type="dxa" w:w="2232"/>
            <w:vAlign w:val="center"/>
          </w:tcPr>
          <w:p>
            <w:pPr>
              <w:spacing w:after="0"/>
            </w:pPr>
            <w:r/>
            <w:r>
              <w:rPr>
                <w:rFonts w:ascii="Aptos" w:hAnsi="Aptos"/>
                <w:b w:val="0"/>
                <w:sz w:val="15"/>
              </w:rPr>
              <w:t>Deterministic conformance under v2</w:t>
            </w:r>
          </w:p>
        </w:tc>
      </w:tr>
      <w:tr>
        <w:trPr>
          <w:cantSplit/>
        </w:trPr>
        <w:tc>
          <w:tcPr>
            <w:tcW w:type="dxa" w:w="2232"/>
            <w:vAlign w:val="center"/>
          </w:tcPr>
          <w:p>
            <w:pPr>
              <w:spacing w:after="0"/>
            </w:pPr>
            <w:r/>
            <w:r>
              <w:rPr>
                <w:rFonts w:ascii="Aptos" w:hAnsi="Aptos"/>
                <w:b w:val="0"/>
                <w:sz w:val="15"/>
              </w:rPr>
              <w:t>KQK clean roots</w:t>
            </w:r>
          </w:p>
        </w:tc>
        <w:tc>
          <w:tcPr>
            <w:tcW w:type="dxa" w:w="6264"/>
            <w:vAlign w:val="center"/>
          </w:tcPr>
          <w:p>
            <w:pPr>
              <w:spacing w:after="0"/>
            </w:pPr>
            <w:r/>
            <w:r>
              <w:rPr>
                <w:rFonts w:ascii="Aptos" w:hAnsi="Aptos"/>
                <w:b w:val="0"/>
                <w:sz w:val="15"/>
              </w:rPr>
              <w:t>368,452 = 345,404 W + 23,048 D; max rank 20</w:t>
            </w:r>
          </w:p>
        </w:tc>
        <w:tc>
          <w:tcPr>
            <w:tcW w:type="dxa" w:w="2232"/>
            <w:vAlign w:val="center"/>
          </w:tcPr>
          <w:p>
            <w:pPr>
              <w:spacing w:after="0"/>
            </w:pPr>
            <w:r/>
            <w:r>
              <w:rPr>
                <w:rFonts w:ascii="Aptos" w:hAnsi="Aptos"/>
                <w:b w:val="0"/>
                <w:sz w:val="15"/>
              </w:rPr>
              <w:t>Exact finite-arena truth</w:t>
            </w:r>
          </w:p>
        </w:tc>
      </w:tr>
      <w:tr>
        <w:trPr>
          <w:cantSplit/>
        </w:trPr>
        <w:tc>
          <w:tcPr>
            <w:tcW w:type="dxa" w:w="2232"/>
            <w:vAlign w:val="center"/>
          </w:tcPr>
          <w:p>
            <w:pPr>
              <w:spacing w:after="0"/>
            </w:pPr>
            <w:r/>
            <w:r>
              <w:rPr>
                <w:rFonts w:ascii="Aptos" w:hAnsi="Aptos"/>
                <w:b w:val="0"/>
                <w:sz w:val="15"/>
              </w:rPr>
              <w:t>KRK clean roots</w:t>
            </w:r>
          </w:p>
        </w:tc>
        <w:tc>
          <w:tcPr>
            <w:tcW w:type="dxa" w:w="6264"/>
            <w:vAlign w:val="center"/>
          </w:tcPr>
          <w:p>
            <w:pPr>
              <w:spacing w:after="0"/>
            </w:pPr>
            <w:r/>
            <w:r>
              <w:rPr>
                <w:rFonts w:ascii="Aptos" w:hAnsi="Aptos"/>
                <w:b w:val="0"/>
                <w:sz w:val="15"/>
              </w:rPr>
              <w:t>399,112 = 376,868 W + 22,244 D; max rank 32</w:t>
            </w:r>
          </w:p>
        </w:tc>
        <w:tc>
          <w:tcPr>
            <w:tcW w:type="dxa" w:w="2232"/>
            <w:vAlign w:val="center"/>
          </w:tcPr>
          <w:p>
            <w:pPr>
              <w:spacing w:after="0"/>
            </w:pPr>
            <w:r/>
            <w:r>
              <w:rPr>
                <w:rFonts w:ascii="Aptos" w:hAnsi="Aptos"/>
                <w:b w:val="0"/>
                <w:sz w:val="15"/>
              </w:rPr>
              <w:t>Exact finite-arena truth</w:t>
            </w:r>
          </w:p>
        </w:tc>
      </w:tr>
      <w:tr>
        <w:trPr>
          <w:cantSplit/>
        </w:trPr>
        <w:tc>
          <w:tcPr>
            <w:tcW w:type="dxa" w:w="2232"/>
            <w:vAlign w:val="center"/>
          </w:tcPr>
          <w:p>
            <w:pPr>
              <w:spacing w:after="0"/>
            </w:pPr>
            <w:r/>
            <w:r>
              <w:rPr>
                <w:rFonts w:ascii="Aptos" w:hAnsi="Aptos"/>
                <w:b w:val="0"/>
                <w:sz w:val="15"/>
              </w:rPr>
              <w:t>a-file KPK clean roots</w:t>
            </w:r>
          </w:p>
        </w:tc>
        <w:tc>
          <w:tcPr>
            <w:tcW w:type="dxa" w:w="6264"/>
            <w:vAlign w:val="center"/>
          </w:tcPr>
          <w:p>
            <w:pPr>
              <w:spacing w:after="0"/>
            </w:pPr>
            <w:r/>
            <w:r>
              <w:rPr>
                <w:rFonts w:ascii="Aptos" w:hAnsi="Aptos"/>
                <w:b w:val="0"/>
                <w:sz w:val="15"/>
              </w:rPr>
              <w:t>41,619 = 27,430 W + 14,189 D; max rank 36</w:t>
            </w:r>
          </w:p>
        </w:tc>
        <w:tc>
          <w:tcPr>
            <w:tcW w:type="dxa" w:w="2232"/>
            <w:vAlign w:val="center"/>
          </w:tcPr>
          <w:p>
            <w:pPr>
              <w:spacing w:after="0"/>
            </w:pPr>
            <w:r/>
            <w:r>
              <w:rPr>
                <w:rFonts w:ascii="Aptos" w:hAnsi="Aptos"/>
                <w:b w:val="0"/>
                <w:sz w:val="15"/>
              </w:rPr>
              <w:t>Exact finite-arena truth</w:t>
            </w:r>
          </w:p>
        </w:tc>
      </w:tr>
      <w:tr>
        <w:trPr>
          <w:cantSplit/>
        </w:trPr>
        <w:tc>
          <w:tcPr>
            <w:tcW w:type="dxa" w:w="2232"/>
            <w:vAlign w:val="center"/>
          </w:tcPr>
          <w:p>
            <w:pPr>
              <w:spacing w:after="0"/>
            </w:pPr>
            <w:r/>
            <w:r>
              <w:rPr>
                <w:rFonts w:ascii="Aptos" w:hAnsi="Aptos"/>
                <w:b w:val="0"/>
                <w:sz w:val="15"/>
              </w:rPr>
              <w:t>Same-colour K+2B vs K</w:t>
            </w:r>
          </w:p>
        </w:tc>
        <w:tc>
          <w:tcPr>
            <w:tcW w:type="dxa" w:w="6264"/>
            <w:vAlign w:val="center"/>
          </w:tcPr>
          <w:p>
            <w:pPr>
              <w:spacing w:after="0"/>
            </w:pPr>
            <w:r/>
            <w:r>
              <w:rPr>
                <w:rFonts w:ascii="Aptos" w:hAnsi="Aptos"/>
                <w:b w:val="0"/>
                <w:sz w:val="15"/>
              </w:rPr>
              <w:t>5,938,848 admissible states; 0 checkmates</w:t>
            </w:r>
          </w:p>
        </w:tc>
        <w:tc>
          <w:tcPr>
            <w:tcW w:type="dxa" w:w="2232"/>
            <w:vAlign w:val="center"/>
          </w:tcPr>
          <w:p>
            <w:pPr>
              <w:spacing w:after="0"/>
            </w:pPr>
            <w:r/>
            <w:r>
              <w:rPr>
                <w:rFonts w:ascii="Aptos" w:hAnsi="Aptos"/>
                <w:b w:val="0"/>
                <w:sz w:val="15"/>
              </w:rPr>
              <w:t>Exact DEAD theorem in declared arena</w:t>
            </w:r>
          </w:p>
        </w:tc>
      </w:tr>
      <w:tr>
        <w:trPr>
          <w:cantSplit/>
        </w:trPr>
        <w:tc>
          <w:tcPr>
            <w:tcW w:type="dxa" w:w="2232"/>
            <w:vAlign w:val="center"/>
          </w:tcPr>
          <w:p>
            <w:pPr>
              <w:spacing w:after="0"/>
            </w:pPr>
            <w:r/>
            <w:r>
              <w:rPr>
                <w:rFonts w:ascii="Aptos" w:hAnsi="Aptos"/>
                <w:b w:val="0"/>
                <w:sz w:val="15"/>
              </w:rPr>
              <w:t>Standalone replay</w:t>
            </w:r>
          </w:p>
        </w:tc>
        <w:tc>
          <w:tcPr>
            <w:tcW w:type="dxa" w:w="6264"/>
            <w:vAlign w:val="center"/>
          </w:tcPr>
          <w:p>
            <w:pPr>
              <w:spacing w:after="0"/>
            </w:pPr>
            <w:r/>
            <w:r>
              <w:rPr>
                <w:rFonts w:ascii="Aptos" w:hAnsi="Aptos"/>
                <w:b w:val="0"/>
                <w:sz w:val="15"/>
              </w:rPr>
              <w:t>809,183 table states; 0 Bellman/rank mismatches</w:t>
            </w:r>
          </w:p>
        </w:tc>
        <w:tc>
          <w:tcPr>
            <w:tcW w:type="dxa" w:w="2232"/>
            <w:vAlign w:val="center"/>
          </w:tcPr>
          <w:p>
            <w:pPr>
              <w:spacing w:after="0"/>
            </w:pPr>
            <w:r/>
            <w:r>
              <w:rPr>
                <w:rFonts w:ascii="Aptos" w:hAnsi="Aptos"/>
                <w:b w:val="0"/>
                <w:sz w:val="15"/>
              </w:rPr>
              <w:t>Independent target-centric verifier</w:t>
            </w:r>
          </w:p>
        </w:tc>
      </w:tr>
      <w:tr>
        <w:trPr>
          <w:cantSplit/>
        </w:trPr>
        <w:tc>
          <w:tcPr>
            <w:tcW w:type="dxa" w:w="2232"/>
            <w:vAlign w:val="center"/>
          </w:tcPr>
          <w:p>
            <w:pPr>
              <w:spacing w:after="0"/>
            </w:pPr>
            <w:r/>
            <w:r>
              <w:rPr>
                <w:rFonts w:ascii="Aptos" w:hAnsi="Aptos"/>
                <w:b w:val="0"/>
                <w:sz w:val="15"/>
              </w:rPr>
              <w:t>Fresh rerun</w:t>
            </w:r>
          </w:p>
        </w:tc>
        <w:tc>
          <w:tcPr>
            <w:tcW w:type="dxa" w:w="6264"/>
            <w:vAlign w:val="center"/>
          </w:tcPr>
          <w:p>
            <w:pPr>
              <w:spacing w:after="0"/>
            </w:pPr>
            <w:r/>
            <w:r>
              <w:rPr>
                <w:rFonts w:ascii="Aptos" w:hAnsi="Aptos"/>
                <w:b w:val="0"/>
                <w:sz w:val="15"/>
              </w:rPr>
              <w:t>7/7 principal outputs byte-identical</w:t>
            </w:r>
          </w:p>
        </w:tc>
        <w:tc>
          <w:tcPr>
            <w:tcW w:type="dxa" w:w="2232"/>
            <w:vAlign w:val="center"/>
          </w:tcPr>
          <w:p>
            <w:pPr>
              <w:spacing w:after="0"/>
            </w:pPr>
            <w:r/>
            <w:r>
              <w:rPr>
                <w:rFonts w:ascii="Aptos" w:hAnsi="Aptos"/>
                <w:b w:val="0"/>
                <w:sz w:val="15"/>
              </w:rPr>
              <w:t>Deterministic reproduction</w:t>
            </w:r>
          </w:p>
        </w:tc>
      </w:tr>
    </w:tbl>
    <w:p>
      <w:pPr>
        <w:spacing w:after="0"/>
      </w:pPr>
    </w:p>
    <w:p>
      <w:pPr>
        <w:pStyle w:val="Heading1"/>
      </w:pPr>
      <w:r>
        <w:t>1. Authority, programme numbering and source precedence</w:t>
      </w:r>
    </w:p>
    <w:p>
      <w:r>
        <w:t>The immediately preceding completed programme is G11, so the sequential programme is G12. The permanent roadmap assigns G12 the mission “Full-Rule Small-Arena Certification”: re-solve a compact but varied portfolio under the complete final state semantics and freeze truth hashes, independent move-generation agreement and certificate replay. G11 amended the order of work by making conformance/provenance closure the first mandatory G12 substage.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864"/>
            <w:vAlign w:val="center"/>
            <w:shd w:fill="D9EAF7"/>
          </w:tcPr>
          <w:p>
            <w:pPr>
              <w:spacing w:after="0"/>
            </w:pPr>
            <w:r/>
            <w:r>
              <w:rPr>
                <w:rFonts w:ascii="Aptos" w:hAnsi="Aptos"/>
                <w:b/>
                <w:sz w:val="16"/>
              </w:rPr>
              <w:t>Priority</w:t>
            </w:r>
          </w:p>
        </w:tc>
        <w:tc>
          <w:tcPr>
            <w:tcW w:type="dxa" w:w="3816"/>
            <w:vAlign w:val="center"/>
            <w:shd w:fill="D9EAF7"/>
          </w:tcPr>
          <w:p>
            <w:pPr>
              <w:spacing w:after="0"/>
            </w:pPr>
            <w:r/>
            <w:r>
              <w:rPr>
                <w:rFonts w:ascii="Aptos" w:hAnsi="Aptos"/>
                <w:b/>
                <w:sz w:val="16"/>
              </w:rPr>
              <w:t>Artifact</w:t>
            </w:r>
          </w:p>
        </w:tc>
        <w:tc>
          <w:tcPr>
            <w:tcW w:type="dxa" w:w="6048"/>
            <w:vAlign w:val="center"/>
            <w:shd w:fill="D9EAF7"/>
          </w:tcPr>
          <w:p>
            <w:pPr>
              <w:spacing w:after="0"/>
            </w:pPr>
            <w:r/>
            <w:r>
              <w:rPr>
                <w:rFonts w:ascii="Aptos" w:hAnsi="Aptos"/>
                <w:b/>
                <w:sz w:val="16"/>
              </w:rPr>
              <w:t>Use in G12</w:t>
            </w:r>
          </w:p>
        </w:tc>
      </w:tr>
      <w:tr>
        <w:trPr>
          <w:cantSplit/>
        </w:trPr>
        <w:tc>
          <w:tcPr>
            <w:tcW w:type="dxa" w:w="864"/>
            <w:vAlign w:val="center"/>
          </w:tcPr>
          <w:p>
            <w:pPr>
              <w:spacing w:after="0"/>
            </w:pPr>
            <w:r/>
            <w:r>
              <w:rPr>
                <w:rFonts w:ascii="Aptos" w:hAnsi="Aptos"/>
                <w:b w:val="0"/>
                <w:sz w:val="16"/>
              </w:rPr>
              <w:t>1</w:t>
            </w:r>
          </w:p>
        </w:tc>
        <w:tc>
          <w:tcPr>
            <w:tcW w:type="dxa" w:w="3816"/>
            <w:vAlign w:val="center"/>
          </w:tcPr>
          <w:p>
            <w:pPr>
              <w:spacing w:after="0"/>
            </w:pPr>
            <w:r/>
            <w:r>
              <w:rPr>
                <w:rFonts w:ascii="Aptos" w:hAnsi="Aptos"/>
                <w:b w:val="0"/>
                <w:sz w:val="16"/>
              </w:rPr>
              <w:t>G9_G10_Onwards_Long_Range_Plan.docx</w:t>
            </w:r>
          </w:p>
        </w:tc>
        <w:tc>
          <w:tcPr>
            <w:tcW w:type="dxa" w:w="6048"/>
            <w:vAlign w:val="center"/>
          </w:tcPr>
          <w:p>
            <w:pPr>
              <w:spacing w:after="0"/>
            </w:pPr>
            <w:r/>
            <w:r>
              <w:rPr>
                <w:rFonts w:ascii="Aptos" w:hAnsi="Aptos"/>
                <w:b w:val="0"/>
                <w:sz w:val="16"/>
              </w:rPr>
              <w:t>Permanent dependency map and G12/G13 mission authority.</w:t>
            </w:r>
          </w:p>
        </w:tc>
      </w:tr>
      <w:tr>
        <w:trPr>
          <w:cantSplit/>
        </w:trPr>
        <w:tc>
          <w:tcPr>
            <w:tcW w:type="dxa" w:w="864"/>
            <w:vAlign w:val="center"/>
          </w:tcPr>
          <w:p>
            <w:pPr>
              <w:spacing w:after="0"/>
            </w:pPr>
            <w:r/>
            <w:r>
              <w:rPr>
                <w:rFonts w:ascii="Aptos" w:hAnsi="Aptos"/>
                <w:b w:val="0"/>
                <w:sz w:val="16"/>
              </w:rPr>
              <w:t>2</w:t>
            </w:r>
          </w:p>
        </w:tc>
        <w:tc>
          <w:tcPr>
            <w:tcW w:type="dxa" w:w="3816"/>
            <w:vAlign w:val="center"/>
          </w:tcPr>
          <w:p>
            <w:pPr>
              <w:spacing w:after="0"/>
            </w:pPr>
            <w:r/>
            <w:r>
              <w:rPr>
                <w:rFonts w:ascii="Aptos" w:hAnsi="Aptos"/>
                <w:b w:val="0"/>
                <w:sz w:val="16"/>
              </w:rPr>
              <w:t>G11_Technical_Handoff.docx</w:t>
            </w:r>
          </w:p>
        </w:tc>
        <w:tc>
          <w:tcPr>
            <w:tcW w:type="dxa" w:w="6048"/>
            <w:vAlign w:val="center"/>
          </w:tcPr>
          <w:p>
            <w:pPr>
              <w:spacing w:after="0"/>
            </w:pPr>
            <w:r/>
            <w:r>
              <w:rPr>
                <w:rFonts w:ascii="Aptos" w:hAnsi="Aptos"/>
                <w:b w:val="0"/>
                <w:sz w:val="16"/>
              </w:rPr>
              <w:t>Immediate frozen technical state and binding G12 Successor Contract.</w:t>
            </w:r>
          </w:p>
        </w:tc>
      </w:tr>
      <w:tr>
        <w:trPr>
          <w:cantSplit/>
        </w:trPr>
        <w:tc>
          <w:tcPr>
            <w:tcW w:type="dxa" w:w="864"/>
            <w:vAlign w:val="center"/>
          </w:tcPr>
          <w:p>
            <w:pPr>
              <w:spacing w:after="0"/>
            </w:pPr>
            <w:r/>
            <w:r>
              <w:rPr>
                <w:rFonts w:ascii="Aptos" w:hAnsi="Aptos"/>
                <w:b w:val="0"/>
                <w:sz w:val="16"/>
              </w:rPr>
              <w:t>3</w:t>
            </w:r>
          </w:p>
        </w:tc>
        <w:tc>
          <w:tcPr>
            <w:tcW w:type="dxa" w:w="3816"/>
            <w:vAlign w:val="center"/>
          </w:tcPr>
          <w:p>
            <w:pPr>
              <w:spacing w:after="0"/>
            </w:pPr>
            <w:r/>
            <w:r>
              <w:rPr>
                <w:rFonts w:ascii="Aptos" w:hAnsi="Aptos"/>
                <w:b w:val="0"/>
                <w:sz w:val="16"/>
              </w:rPr>
              <w:t>G10 semantic statements quoted/frozen in G11</w:t>
            </w:r>
          </w:p>
        </w:tc>
        <w:tc>
          <w:tcPr>
            <w:tcW w:type="dxa" w:w="6048"/>
            <w:vAlign w:val="center"/>
          </w:tcPr>
          <w:p>
            <w:pPr>
              <w:spacing w:after="0"/>
            </w:pPr>
            <w:r/>
            <w:r>
              <w:rPr>
                <w:rFonts w:ascii="Aptos" w:hAnsi="Aptos"/>
                <w:b w:val="0"/>
                <w:sz w:val="16"/>
              </w:rPr>
              <w:t>Chess-rule/state semantics; not a substitute for missing original machine bytes.</w:t>
            </w:r>
          </w:p>
        </w:tc>
      </w:tr>
      <w:tr>
        <w:trPr>
          <w:cantSplit/>
        </w:trPr>
        <w:tc>
          <w:tcPr>
            <w:tcW w:type="dxa" w:w="864"/>
            <w:vAlign w:val="center"/>
          </w:tcPr>
          <w:p>
            <w:pPr>
              <w:spacing w:after="0"/>
            </w:pPr>
            <w:r/>
            <w:r>
              <w:rPr>
                <w:rFonts w:ascii="Aptos" w:hAnsi="Aptos"/>
                <w:b w:val="0"/>
                <w:sz w:val="16"/>
              </w:rPr>
              <w:t>4</w:t>
            </w:r>
          </w:p>
        </w:tc>
        <w:tc>
          <w:tcPr>
            <w:tcW w:type="dxa" w:w="3816"/>
            <w:vAlign w:val="center"/>
          </w:tcPr>
          <w:p>
            <w:pPr>
              <w:spacing w:after="0"/>
            </w:pPr>
            <w:r/>
            <w:r>
              <w:rPr>
                <w:rFonts w:ascii="Aptos" w:hAnsi="Aptos"/>
                <w:b w:val="0"/>
                <w:sz w:val="16"/>
              </w:rPr>
              <w:t>G7_4_Interim_Evidence_Freeze_B.md / ledger</w:t>
            </w:r>
          </w:p>
        </w:tc>
        <w:tc>
          <w:tcPr>
            <w:tcW w:type="dxa" w:w="6048"/>
            <w:vAlign w:val="center"/>
          </w:tcPr>
          <w:p>
            <w:pPr>
              <w:spacing w:after="0"/>
            </w:pPr>
            <w:r/>
            <w:r>
              <w:rPr>
                <w:rFonts w:ascii="Aptos" w:hAnsi="Aptos"/>
                <w:b w:val="0"/>
                <w:sz w:val="16"/>
              </w:rPr>
              <w:t>Retrieved only because G12 deliberately chose KPK as a historical regression anchor.</w:t>
            </w:r>
          </w:p>
        </w:tc>
      </w:tr>
    </w:tbl>
    <w:p>
      <w:pPr>
        <w:spacing w:after="0"/>
      </w:pPr>
    </w:p>
    <w:p>
      <w:r>
        <w:t>No Pilot–G6 or G8 handoff was retrieved for historical completeness. The older G7 artifact was recovered only after the KPK regression arena was selected, because it contains the exact continuation-aware 41,619-state KPK checksum used for an independent historical cross-check.</w:t>
      </w:r>
    </w:p>
    <w:p>
      <w:pPr>
        <w:pStyle w:val="Heading1"/>
      </w:pPr>
      <w:r>
        <w:t>2. Inherited frozen state from G11</w:t>
      </w:r>
    </w:p>
    <w:p>
      <w:r>
        <w:t>G11 had already established a strong local legality/state implementation result but stopped correctly at a formal provenance gate. Its accepted evidence included two structurally distinct move/state implementations, 27 curated controls with zero mismatch, 11 fixed perft anchors, exhaustive differential testing over 98,623 states and 889,808 legal edges, 256,000 attack queries, 5,000 mixed states, 2,000 en-passant cases, 5,000 malformed mutations and 1,536 reachable full-state transitions, all with zero known A/B mismatch. G11 did not promote this to the original G10 conformance certificate because the exact G10 vector corpus and canonical raw-byte payload were unavailable.</w:t>
      </w:r>
    </w:p>
    <w:p>
      <w:pPr>
        <w:pStyle w:val="Heading2"/>
      </w:pPr>
      <w:r>
        <w:t>2.1 Semantic state inherited unchanged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shd w:fill="D9EAF7"/>
          </w:tcPr>
          <w:p>
            <w:pPr>
              <w:spacing w:after="0"/>
            </w:pPr>
            <w:r/>
            <w:r>
              <w:rPr>
                <w:rFonts w:ascii="Aptos" w:hAnsi="Aptos"/>
                <w:b/>
                <w:sz w:val="15"/>
              </w:rPr>
              <w:t>Field / rule</w:t>
            </w:r>
          </w:p>
        </w:tc>
        <w:tc>
          <w:tcPr>
            <w:tcW w:type="dxa" w:w="8640"/>
            <w:vAlign w:val="center"/>
            <w:shd w:fill="D9EAF7"/>
          </w:tcPr>
          <w:p>
            <w:pPr>
              <w:spacing w:after="0"/>
            </w:pPr>
            <w:r/>
            <w:r>
              <w:rPr>
                <w:rFonts w:ascii="Aptos" w:hAnsi="Aptos"/>
                <w:b/>
                <w:sz w:val="15"/>
              </w:rPr>
              <w:t>Frozen meaning retained in G12</w:t>
            </w:r>
          </w:p>
        </w:tc>
      </w:tr>
      <w:tr>
        <w:trPr>
          <w:cantSplit/>
        </w:trPr>
        <w:tc>
          <w:tcPr>
            <w:tcW w:type="dxa" w:w="1872"/>
            <w:vAlign w:val="center"/>
          </w:tcPr>
          <w:p>
            <w:pPr>
              <w:spacing w:after="0"/>
            </w:pPr>
            <w:r/>
            <w:r>
              <w:rPr>
                <w:rFonts w:ascii="Aptos" w:hAnsi="Aptos"/>
                <w:b w:val="0"/>
                <w:sz w:val="15"/>
              </w:rPr>
              <w:t>Board + turn</w:t>
            </w:r>
          </w:p>
        </w:tc>
        <w:tc>
          <w:tcPr>
            <w:tcW w:type="dxa" w:w="8640"/>
            <w:vAlign w:val="center"/>
          </w:tcPr>
          <w:p>
            <w:pPr>
              <w:spacing w:after="0"/>
            </w:pPr>
            <w:r/>
            <w:r>
              <w:rPr>
                <w:rFonts w:ascii="Aptos" w:hAnsi="Aptos"/>
                <w:b w:val="0"/>
                <w:sz w:val="15"/>
              </w:rPr>
              <w:t>64-square placement plus side to move.</w:t>
            </w:r>
          </w:p>
        </w:tc>
      </w:tr>
      <w:tr>
        <w:trPr>
          <w:cantSplit/>
        </w:trPr>
        <w:tc>
          <w:tcPr>
            <w:tcW w:type="dxa" w:w="1872"/>
            <w:vAlign w:val="center"/>
          </w:tcPr>
          <w:p>
            <w:pPr>
              <w:spacing w:after="0"/>
            </w:pPr>
            <w:r/>
            <w:r>
              <w:rPr>
                <w:rFonts w:ascii="Aptos" w:hAnsi="Aptos"/>
                <w:b w:val="0"/>
                <w:sz w:val="15"/>
              </w:rPr>
              <w:t>Castling</w:t>
            </w:r>
          </w:p>
        </w:tc>
        <w:tc>
          <w:tcPr>
            <w:tcW w:type="dxa" w:w="8640"/>
            <w:vAlign w:val="center"/>
          </w:tcPr>
          <w:p>
            <w:pPr>
              <w:spacing w:after="0"/>
            </w:pPr>
            <w:r/>
            <w:r>
              <w:rPr>
                <w:rFonts w:ascii="Aptos" w:hAnsi="Aptos"/>
                <w:b w:val="0"/>
                <w:sz w:val="15"/>
              </w:rPr>
              <w:t>Four monotone KQkq historical rights; home king/rook occupancy required; false rights never restore.</w:t>
            </w:r>
          </w:p>
        </w:tc>
      </w:tr>
      <w:tr>
        <w:trPr>
          <w:cantSplit/>
        </w:trPr>
        <w:tc>
          <w:tcPr>
            <w:tcW w:type="dxa" w:w="1872"/>
            <w:vAlign w:val="center"/>
          </w:tcPr>
          <w:p>
            <w:pPr>
              <w:spacing w:after="0"/>
            </w:pPr>
            <w:r/>
            <w:r>
              <w:rPr>
                <w:rFonts w:ascii="Aptos" w:hAnsi="Aptos"/>
                <w:b w:val="0"/>
                <w:sz w:val="15"/>
              </w:rPr>
              <w:t>En passant</w:t>
            </w:r>
          </w:p>
        </w:tc>
        <w:tc>
          <w:tcPr>
            <w:tcW w:type="dxa" w:w="8640"/>
            <w:vAlign w:val="center"/>
          </w:tcPr>
          <w:p>
            <w:pPr>
              <w:spacing w:after="0"/>
            </w:pPr>
            <w:r/>
            <w:r>
              <w:rPr>
                <w:rFonts w:ascii="Aptos" w:hAnsi="Aptos"/>
                <w:b w:val="0"/>
                <w:sz w:val="15"/>
              </w:rPr>
              <w:t>Only effective EP is stored: a target exists only when at least one EP capture is legally available including own-king safety.</w:t>
            </w:r>
          </w:p>
        </w:tc>
      </w:tr>
      <w:tr>
        <w:trPr>
          <w:cantSplit/>
        </w:trPr>
        <w:tc>
          <w:tcPr>
            <w:tcW w:type="dxa" w:w="1872"/>
            <w:vAlign w:val="center"/>
          </w:tcPr>
          <w:p>
            <w:pPr>
              <w:spacing w:after="0"/>
            </w:pPr>
            <w:r/>
            <w:r>
              <w:rPr>
                <w:rFonts w:ascii="Aptos" w:hAnsi="Aptos"/>
                <w:b w:val="0"/>
                <w:sz w:val="15"/>
              </w:rPr>
              <w:t>Halfmove clock</w:t>
            </w:r>
          </w:p>
        </w:tc>
        <w:tc>
          <w:tcPr>
            <w:tcW w:type="dxa" w:w="8640"/>
            <w:vAlign w:val="center"/>
          </w:tcPr>
          <w:p>
            <w:pPr>
              <w:spacing w:after="0"/>
            </w:pPr>
            <w:r/>
            <w:r>
              <w:rPr>
                <w:rFonts w:ascii="Aptos" w:hAnsi="Aptos"/>
                <w:b w:val="0"/>
                <w:sz w:val="15"/>
              </w:rPr>
              <w:t>Exact count since pawn move or capture; 50-move claims from 100; automatic 75-move draw at 150 subject to mate precedence.</w:t>
            </w:r>
          </w:p>
        </w:tc>
      </w:tr>
      <w:tr>
        <w:trPr>
          <w:cantSplit/>
        </w:trPr>
        <w:tc>
          <w:tcPr>
            <w:tcW w:type="dxa" w:w="1872"/>
            <w:vAlign w:val="center"/>
          </w:tcPr>
          <w:p>
            <w:pPr>
              <w:spacing w:after="0"/>
            </w:pPr>
            <w:r/>
            <w:r>
              <w:rPr>
                <w:rFonts w:ascii="Aptos" w:hAnsi="Aptos"/>
                <w:b w:val="0"/>
                <w:sz w:val="15"/>
              </w:rPr>
              <w:t>Repetition</w:t>
            </w:r>
          </w:p>
        </w:tc>
        <w:tc>
          <w:tcPr>
            <w:tcW w:type="dxa" w:w="8640"/>
            <w:vAlign w:val="center"/>
          </w:tcPr>
          <w:p>
            <w:pPr>
              <w:spacing w:after="0"/>
            </w:pPr>
            <w:r/>
            <w:r>
              <w:rPr>
                <w:rFonts w:ascii="Aptos" w:hAnsi="Aptos"/>
                <w:b w:val="0"/>
                <w:sz w:val="15"/>
              </w:rPr>
              <w:t>Occurrence-count map inside the current exact barrier epoch; REP identity is board + turn + castling + effective EP.</w:t>
            </w:r>
          </w:p>
        </w:tc>
      </w:tr>
      <w:tr>
        <w:trPr>
          <w:cantSplit/>
        </w:trPr>
        <w:tc>
          <w:tcPr>
            <w:tcW w:type="dxa" w:w="1872"/>
            <w:vAlign w:val="center"/>
          </w:tcPr>
          <w:p>
            <w:pPr>
              <w:spacing w:after="0"/>
            </w:pPr>
            <w:r/>
            <w:r>
              <w:rPr>
                <w:rFonts w:ascii="Aptos" w:hAnsi="Aptos"/>
                <w:b w:val="0"/>
                <w:sz w:val="15"/>
              </w:rPr>
              <w:t>Barriers</w:t>
            </w:r>
          </w:p>
        </w:tc>
        <w:tc>
          <w:tcPr>
            <w:tcW w:type="dxa" w:w="8640"/>
            <w:vAlign w:val="center"/>
          </w:tcPr>
          <w:p>
            <w:pPr>
              <w:spacing w:after="0"/>
            </w:pPr>
            <w:r/>
            <w:r>
              <w:rPr>
                <w:rFonts w:ascii="Aptos" w:hAnsi="Aptos"/>
                <w:b w:val="0"/>
                <w:sz w:val="15"/>
              </w:rPr>
              <w:t>Pawn move, capture or permanent castling-right reduction clears the prior repetition epoch.</w:t>
            </w:r>
          </w:p>
        </w:tc>
      </w:tr>
      <w:tr>
        <w:trPr>
          <w:cantSplit/>
        </w:trPr>
        <w:tc>
          <w:tcPr>
            <w:tcW w:type="dxa" w:w="1872"/>
            <w:vAlign w:val="center"/>
          </w:tcPr>
          <w:p>
            <w:pPr>
              <w:spacing w:after="0"/>
            </w:pPr>
            <w:r/>
            <w:r>
              <w:rPr>
                <w:rFonts w:ascii="Aptos" w:hAnsi="Aptos"/>
                <w:b w:val="0"/>
                <w:sz w:val="15"/>
              </w:rPr>
              <w:t>Claims</w:t>
            </w:r>
          </w:p>
        </w:tc>
        <w:tc>
          <w:tcPr>
            <w:tcW w:type="dxa" w:w="8640"/>
            <w:vAlign w:val="center"/>
          </w:tcPr>
          <w:p>
            <w:pPr>
              <w:spacing w:after="0"/>
            </w:pPr>
            <w:r/>
            <w:r>
              <w:rPr>
                <w:rFonts w:ascii="Aptos" w:hAnsi="Aptos"/>
                <w:b w:val="0"/>
                <w:sz w:val="15"/>
              </w:rPr>
              <w:t>Valid threefold and 50-move claims are explicit actions, including intended-move claims.</w:t>
            </w:r>
          </w:p>
        </w:tc>
      </w:tr>
      <w:tr>
        <w:trPr>
          <w:cantSplit/>
        </w:trPr>
        <w:tc>
          <w:tcPr>
            <w:tcW w:type="dxa" w:w="1872"/>
            <w:vAlign w:val="center"/>
          </w:tcPr>
          <w:p>
            <w:pPr>
              <w:spacing w:after="0"/>
            </w:pPr>
            <w:r/>
            <w:r>
              <w:rPr>
                <w:rFonts w:ascii="Aptos" w:hAnsi="Aptos"/>
                <w:b w:val="0"/>
                <w:sz w:val="15"/>
              </w:rPr>
              <w:t>Terminal order</w:t>
            </w:r>
          </w:p>
        </w:tc>
        <w:tc>
          <w:tcPr>
            <w:tcW w:type="dxa" w:w="8640"/>
            <w:vAlign w:val="center"/>
          </w:tcPr>
          <w:p>
            <w:pPr>
              <w:spacing w:after="0"/>
            </w:pPr>
            <w:r/>
            <w:r>
              <w:rPr>
                <w:rFonts w:ascii="Aptos" w:hAnsi="Aptos"/>
                <w:b w:val="0"/>
                <w:sz w:val="15"/>
              </w:rPr>
              <w:t>CHECKMATE, STALEMATE, DEAD, FIVEFOLD, 75-MOVE, then ACTIVE.</w:t>
            </w:r>
          </w:p>
        </w:tc>
      </w:tr>
      <w:tr>
        <w:trPr>
          <w:cantSplit/>
        </w:trPr>
        <w:tc>
          <w:tcPr>
            <w:tcW w:type="dxa" w:w="1872"/>
            <w:vAlign w:val="center"/>
          </w:tcPr>
          <w:p>
            <w:pPr>
              <w:spacing w:after="0"/>
            </w:pPr>
            <w:r/>
            <w:r>
              <w:rPr>
                <w:rFonts w:ascii="Aptos" w:hAnsi="Aptos"/>
                <w:b w:val="0"/>
                <w:sz w:val="15"/>
              </w:rPr>
              <w:t>DEAD</w:t>
            </w:r>
          </w:p>
        </w:tc>
        <w:tc>
          <w:tcPr>
            <w:tcW w:type="dxa" w:w="8640"/>
            <w:vAlign w:val="center"/>
          </w:tcPr>
          <w:p>
            <w:pPr>
              <w:spacing w:after="0"/>
            </w:pPr>
            <w:r/>
            <w:r>
              <w:rPr>
                <w:rFonts w:ascii="Aptos" w:hAnsi="Aptos"/>
                <w:b w:val="0"/>
                <w:sz w:val="15"/>
              </w:rPr>
              <w:t>No finite legal continuation can reach checkmate by either player; insufficient-material shorthand is not the definition.</w:t>
            </w:r>
          </w:p>
        </w:tc>
      </w:tr>
      <w:tr>
        <w:trPr>
          <w:cantSplit/>
        </w:trPr>
        <w:tc>
          <w:tcPr>
            <w:tcW w:type="dxa" w:w="1872"/>
            <w:vAlign w:val="center"/>
          </w:tcPr>
          <w:p>
            <w:pPr>
              <w:spacing w:after="0"/>
            </w:pPr>
            <w:r/>
            <w:r>
              <w:rPr>
                <w:rFonts w:ascii="Aptos" w:hAnsi="Aptos"/>
                <w:b w:val="0"/>
                <w:sz w:val="15"/>
              </w:rPr>
              <w:t>Reachability typing</w:t>
            </w:r>
          </w:p>
        </w:tc>
        <w:tc>
          <w:tcPr>
            <w:tcW w:type="dxa" w:w="8640"/>
            <w:vAlign w:val="center"/>
          </w:tcPr>
          <w:p>
            <w:pPr>
              <w:spacing w:after="0"/>
            </w:pPr>
            <w:r/>
            <w:r>
              <w:rPr>
                <w:rFonts w:ascii="Aptos" w:hAnsi="Aptos"/>
                <w:b w:val="0"/>
                <w:sz w:val="15"/>
              </w:rPr>
              <w:t>ARENA_ADMISSIBLE is distinct from START_REACHABLE.</w:t>
            </w:r>
          </w:p>
        </w:tc>
      </w:tr>
    </w:tbl>
    <w:p>
      <w:pPr>
        <w:spacing w:after="0"/>
      </w:pPr>
    </w:p>
    <w:p>
      <w:pPr>
        <w:pStyle w:val="Heading2"/>
      </w:pPr>
      <w:r>
        <w:t>2.2 Frozen negative constraints</w:t>
      </w:r>
    </w:p>
    <w:p>
      <w:pPr>
        <w:pStyle w:val="ListBullet"/>
        <w:spacing w:after="40"/>
      </w:pPr>
      <w:r>
        <w:t>Do not identify a state by board placement plus side to move alone.</w:t>
      </w:r>
    </w:p>
    <w:p>
      <w:pPr>
        <w:pStyle w:val="ListBullet"/>
        <w:spacing w:after="40"/>
      </w:pPr>
      <w:r>
        <w:t>Do not store only the current repetition count or an unbounded full move-history tape.</w:t>
      </w:r>
    </w:p>
    <w:p>
      <w:pPr>
        <w:pStyle w:val="ListBullet"/>
        <w:spacing w:after="40"/>
      </w:pPr>
      <w:r>
        <w:t>Do not retain a nominal but legally unusable en-passant target.</w:t>
      </w:r>
    </w:p>
    <w:p>
      <w:pPr>
        <w:pStyle w:val="ListBullet"/>
        <w:spacing w:after="40"/>
      </w:pPr>
      <w:r>
        <w:t>Do not replace exact DEAD by an “insufficient material” helper.</w:t>
      </w:r>
    </w:p>
    <w:p>
      <w:pPr>
        <w:pStyle w:val="ListBullet"/>
        <w:spacing w:after="40"/>
      </w:pPr>
      <w:r>
        <w:t>Do not label locally legal endgame states START_REACHABLE without a reachability certificate.</w:t>
      </w:r>
    </w:p>
    <w:p>
      <w:pPr>
        <w:pStyle w:val="ListBullet"/>
        <w:spacing w:after="40"/>
      </w:pPr>
      <w:r>
        <w:t>Do not absorb clocks, resignation, agreement or arbiter administration into the abstract legal-play graph.</w:t>
      </w:r>
    </w:p>
    <w:p>
      <w:pPr>
        <w:pStyle w:val="Heading1"/>
      </w:pPr>
      <w:r>
        <w:t>3. G12.0 — mandatory G10 artifact recovery and provenance decision</w:t>
      </w:r>
    </w:p>
    <w:p>
      <w:r>
        <w:t>G11 required G12 to attempt exact recovery before any final-rule solve. G12 searched the File Library by the exact bundle name, exact vector/component names and recorded hashes. The searches returned the G10/G11 handoffs and checksum references, but not the standalone byte payloads. The session filesystem likewise contained no recoverable original G10 payload.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vAlign w:val="center"/>
            <w:shd w:fill="D9EAF7"/>
          </w:tcPr>
          <w:p>
            <w:pPr>
              <w:spacing w:after="0"/>
            </w:pPr>
            <w:r/>
            <w:r>
              <w:rPr>
                <w:rFonts w:ascii="Aptos" w:hAnsi="Aptos"/>
                <w:b/>
                <w:sz w:val="14"/>
              </w:rPr>
              <w:t>Missing artifact</w:t>
            </w:r>
          </w:p>
        </w:tc>
        <w:tc>
          <w:tcPr>
            <w:tcW w:type="dxa" w:w="5328"/>
            <w:vAlign w:val="center"/>
            <w:shd w:fill="D9EAF7"/>
          </w:tcPr>
          <w:p>
            <w:pPr>
              <w:spacing w:after="0"/>
            </w:pPr>
            <w:r/>
            <w:r>
              <w:rPr>
                <w:rFonts w:ascii="Aptos" w:hAnsi="Aptos"/>
                <w:b/>
                <w:sz w:val="14"/>
              </w:rPr>
              <w:t>Recorded original SHA-256</w:t>
            </w:r>
          </w:p>
        </w:tc>
        <w:tc>
          <w:tcPr>
            <w:tcW w:type="dxa" w:w="1800"/>
            <w:vAlign w:val="center"/>
            <w:shd w:fill="D9EAF7"/>
          </w:tcPr>
          <w:p>
            <w:pPr>
              <w:spacing w:after="0"/>
            </w:pPr>
            <w:r/>
            <w:r>
              <w:rPr>
                <w:rFonts w:ascii="Aptos" w:hAnsi="Aptos"/>
                <w:b/>
                <w:sz w:val="14"/>
              </w:rPr>
              <w:t>G12 result</w:t>
            </w:r>
          </w:p>
        </w:tc>
      </w:tr>
      <w:tr>
        <w:trPr>
          <w:cantSplit/>
        </w:trPr>
        <w:tc>
          <w:tcPr>
            <w:tcW w:type="dxa" w:w="3312"/>
            <w:vAlign w:val="center"/>
          </w:tcPr>
          <w:p>
            <w:pPr>
              <w:spacing w:after="0"/>
            </w:pPr>
            <w:r/>
            <w:r>
              <w:rPr>
                <w:rFonts w:ascii="Aptos" w:hAnsi="Aptos"/>
                <w:b w:val="0"/>
                <w:sz w:val="14"/>
              </w:rPr>
              <w:t>G10_Semantics_Contract_Bundle.zip</w:t>
            </w:r>
          </w:p>
        </w:tc>
        <w:tc>
          <w:tcPr>
            <w:tcW w:type="dxa" w:w="5328"/>
            <w:vAlign w:val="center"/>
          </w:tcPr>
          <w:p>
            <w:pPr>
              <w:spacing w:after="0"/>
            </w:pPr>
            <w:r/>
            <w:r>
              <w:rPr>
                <w:rFonts w:ascii="Aptos" w:hAnsi="Aptos"/>
                <w:b w:val="0"/>
                <w:sz w:val="14"/>
              </w:rPr>
              <w:t>a0c5c2df8f8f61d8f6365ae8750491e3d64df821d060f9d24edb6ad9342b0793</w:t>
            </w:r>
          </w:p>
        </w:tc>
        <w:tc>
          <w:tcPr>
            <w:tcW w:type="dxa" w:w="1800"/>
            <w:vAlign w:val="center"/>
          </w:tcPr>
          <w:p>
            <w:pPr>
              <w:spacing w:after="0"/>
            </w:pPr>
            <w:r/>
            <w:r>
              <w:rPr>
                <w:rFonts w:ascii="Aptos" w:hAnsi="Aptos"/>
                <w:b w:val="0"/>
                <w:sz w:val="14"/>
              </w:rPr>
              <w:t>NOT RECOVERED</w:t>
            </w:r>
          </w:p>
        </w:tc>
      </w:tr>
      <w:tr>
        <w:trPr>
          <w:cantSplit/>
        </w:trPr>
        <w:tc>
          <w:tcPr>
            <w:tcW w:type="dxa" w:w="3312"/>
            <w:vAlign w:val="center"/>
          </w:tcPr>
          <w:p>
            <w:pPr>
              <w:spacing w:after="0"/>
            </w:pPr>
            <w:r/>
            <w:r>
              <w:rPr>
                <w:rFonts w:ascii="Aptos" w:hAnsi="Aptos"/>
                <w:b w:val="0"/>
                <w:sz w:val="14"/>
              </w:rPr>
              <w:t>G10_Conformance_Vectors_v1.json</w:t>
            </w:r>
          </w:p>
        </w:tc>
        <w:tc>
          <w:tcPr>
            <w:tcW w:type="dxa" w:w="5328"/>
            <w:vAlign w:val="center"/>
          </w:tcPr>
          <w:p>
            <w:pPr>
              <w:spacing w:after="0"/>
            </w:pPr>
            <w:r/>
            <w:r>
              <w:rPr>
                <w:rFonts w:ascii="Aptos" w:hAnsi="Aptos"/>
                <w:b w:val="0"/>
                <w:sz w:val="14"/>
              </w:rPr>
              <w:t>317a192513f99b467b2afb888a74e9607950aa2c50b90848a98c1feb2aedbb4d</w:t>
            </w:r>
          </w:p>
        </w:tc>
        <w:tc>
          <w:tcPr>
            <w:tcW w:type="dxa" w:w="1800"/>
            <w:vAlign w:val="center"/>
          </w:tcPr>
          <w:p>
            <w:pPr>
              <w:spacing w:after="0"/>
            </w:pPr>
            <w:r/>
            <w:r>
              <w:rPr>
                <w:rFonts w:ascii="Aptos" w:hAnsi="Aptos"/>
                <w:b w:val="0"/>
                <w:sz w:val="14"/>
              </w:rPr>
              <w:t>NOT RECOVERED</w:t>
            </w:r>
          </w:p>
        </w:tc>
      </w:tr>
      <w:tr>
        <w:trPr>
          <w:cantSplit/>
        </w:trPr>
        <w:tc>
          <w:tcPr>
            <w:tcW w:type="dxa" w:w="3312"/>
            <w:vAlign w:val="center"/>
          </w:tcPr>
          <w:p>
            <w:pPr>
              <w:spacing w:after="0"/>
            </w:pPr>
            <w:r/>
            <w:r>
              <w:rPr>
                <w:rFonts w:ascii="Aptos" w:hAnsi="Aptos"/>
                <w:b w:val="0"/>
                <w:sz w:val="14"/>
              </w:rPr>
              <w:t>G10_Rules_Contract_v1.json</w:t>
            </w:r>
          </w:p>
        </w:tc>
        <w:tc>
          <w:tcPr>
            <w:tcW w:type="dxa" w:w="5328"/>
            <w:vAlign w:val="center"/>
          </w:tcPr>
          <w:p>
            <w:pPr>
              <w:spacing w:after="0"/>
            </w:pPr>
            <w:r/>
            <w:r>
              <w:rPr>
                <w:rFonts w:ascii="Aptos" w:hAnsi="Aptos"/>
                <w:b w:val="0"/>
                <w:sz w:val="14"/>
              </w:rPr>
              <w:t>c0e2430e6dabf029193897e6c621e614914963290f07ecb8946049543a13edca</w:t>
            </w:r>
          </w:p>
        </w:tc>
        <w:tc>
          <w:tcPr>
            <w:tcW w:type="dxa" w:w="1800"/>
            <w:vAlign w:val="center"/>
          </w:tcPr>
          <w:p>
            <w:pPr>
              <w:spacing w:after="0"/>
            </w:pPr>
            <w:r/>
            <w:r>
              <w:rPr>
                <w:rFonts w:ascii="Aptos" w:hAnsi="Aptos"/>
                <w:b w:val="0"/>
                <w:sz w:val="14"/>
              </w:rPr>
              <w:t>NOT RECOVERED</w:t>
            </w:r>
          </w:p>
        </w:tc>
      </w:tr>
    </w:tbl>
    <w:p>
      <w:pPr>
        <w:spacing w:after="0"/>
      </w:pPr>
    </w:p>
    <w:tbl>
      <w:tblPr>
        <w:tblStyle w:val="TableGrid"/>
        <w:tblW w:type="auto" w:w="0"/>
        <w:tblLook w:firstColumn="1" w:firstRow="1" w:lastColumn="0" w:lastRow="0" w:noHBand="0" w:noVBand="1" w:val="04A0"/>
      </w:tblPr>
      <w:tblGrid>
        <w:gridCol w:w="10166"/>
      </w:tblGrid>
      <w:tr>
        <w:trPr>
          <w:tblHeader w:val="true"/>
          <w:cantSplit/>
        </w:trPr>
        <w:tc>
          <w:tcPr>
            <w:tcW w:type="dxa" w:w="10166"/>
            <w:shd w:fill="FCE8E6"/>
          </w:tcPr>
          <w:p>
            <w:pPr>
              <w:spacing w:after="40"/>
            </w:pPr>
            <w:r/>
            <w:r>
              <w:rPr>
                <w:b/>
                <w:sz w:val="20"/>
              </w:rPr>
              <w:t>PROVENANCE RULING</w:t>
            </w:r>
          </w:p>
          <w:p>
            <w:pPr>
              <w:spacing w:after="0"/>
            </w:pPr>
            <w:r>
              <w:rPr>
                <w:sz w:val="18"/>
              </w:rPr>
              <w:t>The original G10 artifact chain is frozen as broken/unrecoverable in this programme. No G12 artifact is called the original G10 vector set or original G10 canonical bytes. No G11 HOLD is retroactively converted into an original-G10 PASS. This is an artifact-lineage failure, not evidence of a chess-rule mismatch.</w:t>
            </w:r>
          </w:p>
        </w:tc>
      </w:tr>
    </w:tbl>
    <w:p>
      <w:pPr>
        <w:spacing w:after="0"/>
      </w:pPr>
    </w:p>
    <w:p>
      <w:pPr>
        <w:pStyle w:val="Heading1"/>
      </w:pPr>
      <w:r>
        <w:t>4. G12.1 — authorised superseding serialization/vector contract</w:t>
      </w:r>
    </w:p>
    <w:p>
      <w:r>
        <w:t>The G11 Successor Contract explicitly authorised a failure branch if the G10 payload proved permanently unrecoverable: freeze a new versioned serialization/vector contract, record the broken original chain, rerun conformance under the new version, and only then solve. G12 follows that branch literally.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shd w:fill="D9EAF7"/>
          </w:tcPr>
          <w:p>
            <w:pPr>
              <w:spacing w:after="0"/>
            </w:pPr>
            <w:r/>
            <w:r>
              <w:rPr>
                <w:rFonts w:ascii="Aptos" w:hAnsi="Aptos"/>
                <w:b/>
                <w:sz w:val="14"/>
              </w:rPr>
              <w:t>Frozen object</w:t>
            </w:r>
          </w:p>
        </w:tc>
        <w:tc>
          <w:tcPr>
            <w:tcW w:type="dxa" w:w="5976"/>
            <w:vAlign w:val="center"/>
            <w:shd w:fill="D9EAF7"/>
          </w:tcPr>
          <w:p>
            <w:pPr>
              <w:spacing w:after="0"/>
            </w:pPr>
            <w:r/>
            <w:r>
              <w:rPr>
                <w:rFonts w:ascii="Aptos" w:hAnsi="Aptos"/>
                <w:b/>
                <w:sz w:val="14"/>
              </w:rPr>
              <w:t>Meaning</w:t>
            </w:r>
          </w:p>
        </w:tc>
        <w:tc>
          <w:tcPr>
            <w:tcW w:type="dxa" w:w="2232"/>
            <w:vAlign w:val="center"/>
            <w:shd w:fill="D9EAF7"/>
          </w:tcPr>
          <w:p>
            <w:pPr>
              <w:spacing w:after="0"/>
            </w:pPr>
            <w:r/>
            <w:r>
              <w:rPr>
                <w:rFonts w:ascii="Aptos" w:hAnsi="Aptos"/>
                <w:b/>
                <w:sz w:val="14"/>
              </w:rPr>
              <w:t>SHA-256</w:t>
            </w:r>
          </w:p>
        </w:tc>
      </w:tr>
      <w:tr>
        <w:trPr>
          <w:cantSplit/>
        </w:trPr>
        <w:tc>
          <w:tcPr>
            <w:tcW w:type="dxa" w:w="2232"/>
            <w:vAlign w:val="center"/>
          </w:tcPr>
          <w:p>
            <w:pPr>
              <w:spacing w:after="0"/>
            </w:pPr>
            <w:r/>
            <w:r>
              <w:rPr>
                <w:rFonts w:ascii="Aptos" w:hAnsi="Aptos"/>
                <w:b w:val="0"/>
                <w:sz w:val="14"/>
              </w:rPr>
              <w:t>G12.STATE.SERIAL.v2</w:t>
            </w:r>
          </w:p>
        </w:tc>
        <w:tc>
          <w:tcPr>
            <w:tcW w:type="dxa" w:w="5976"/>
            <w:vAlign w:val="center"/>
          </w:tcPr>
          <w:p>
            <w:pPr>
              <w:spacing w:after="0"/>
            </w:pPr>
            <w:r/>
            <w:r>
              <w:rPr>
                <w:rFonts w:ascii="Aptos" w:hAnsi="Aptos"/>
                <w:b w:val="0"/>
                <w:sz w:val="14"/>
              </w:rPr>
              <w:t>Forward canonical full-state/repetition byte profile. Semantic rules remain G10.RULES.v1.0.</w:t>
            </w:r>
          </w:p>
        </w:tc>
        <w:tc>
          <w:tcPr>
            <w:tcW w:type="dxa" w:w="2232"/>
            <w:vAlign w:val="center"/>
          </w:tcPr>
          <w:p>
            <w:pPr>
              <w:spacing w:after="0"/>
            </w:pPr>
            <w:r/>
            <w:r>
              <w:rPr>
                <w:rFonts w:ascii="Aptos" w:hAnsi="Aptos"/>
                <w:b w:val="0"/>
                <w:sz w:val="14"/>
              </w:rPr>
              <w:t>73ef6660d98c1aa072feb8a04764b26cf4c69b9d545abdb2f4d8f105965d06a8</w:t>
            </w:r>
          </w:p>
        </w:tc>
      </w:tr>
      <w:tr>
        <w:trPr>
          <w:cantSplit/>
        </w:trPr>
        <w:tc>
          <w:tcPr>
            <w:tcW w:type="dxa" w:w="2232"/>
            <w:vAlign w:val="center"/>
          </w:tcPr>
          <w:p>
            <w:pPr>
              <w:spacing w:after="0"/>
            </w:pPr>
            <w:r/>
            <w:r>
              <w:rPr>
                <w:rFonts w:ascii="Aptos" w:hAnsi="Aptos"/>
                <w:b w:val="0"/>
                <w:sz w:val="14"/>
              </w:rPr>
              <w:t>G12.CONFORMANCE.v2</w:t>
            </w:r>
          </w:p>
        </w:tc>
        <w:tc>
          <w:tcPr>
            <w:tcW w:type="dxa" w:w="5976"/>
            <w:vAlign w:val="center"/>
          </w:tcPr>
          <w:p>
            <w:pPr>
              <w:spacing w:after="0"/>
            </w:pPr>
            <w:r/>
            <w:r>
              <w:rPr>
                <w:rFonts w:ascii="Aptos" w:hAnsi="Aptos"/>
                <w:b w:val="0"/>
                <w:sz w:val="14"/>
              </w:rPr>
              <w:t>New vector corpus. Explicitly NOT a reconstruction of G10 vectors.</w:t>
            </w:r>
          </w:p>
        </w:tc>
        <w:tc>
          <w:tcPr>
            <w:tcW w:type="dxa" w:w="2232"/>
            <w:vAlign w:val="center"/>
          </w:tcPr>
          <w:p>
            <w:pPr>
              <w:spacing w:after="0"/>
            </w:pPr>
            <w:r/>
            <w:r>
              <w:rPr>
                <w:rFonts w:ascii="Aptos" w:hAnsi="Aptos"/>
                <w:b w:val="0"/>
                <w:sz w:val="14"/>
              </w:rPr>
              <w:t>ed972a06e6d855ec47077a90dc81e8c49db6ba1a21562f44cd684a600b6534d8</w:t>
            </w:r>
          </w:p>
        </w:tc>
      </w:tr>
      <w:tr>
        <w:trPr>
          <w:cantSplit/>
        </w:trPr>
        <w:tc>
          <w:tcPr>
            <w:tcW w:type="dxa" w:w="2232"/>
            <w:vAlign w:val="center"/>
          </w:tcPr>
          <w:p>
            <w:pPr>
              <w:spacing w:after="0"/>
            </w:pPr>
            <w:r/>
            <w:r>
              <w:rPr>
                <w:rFonts w:ascii="Aptos" w:hAnsi="Aptos"/>
                <w:b w:val="0"/>
                <w:sz w:val="14"/>
              </w:rPr>
              <w:t>Pre-outcome freeze ledger</w:t>
            </w:r>
          </w:p>
        </w:tc>
        <w:tc>
          <w:tcPr>
            <w:tcW w:type="dxa" w:w="5976"/>
            <w:vAlign w:val="center"/>
          </w:tcPr>
          <w:p>
            <w:pPr>
              <w:spacing w:after="0"/>
            </w:pPr>
            <w:r/>
            <w:r>
              <w:rPr>
                <w:rFonts w:ascii="Aptos" w:hAnsi="Aptos"/>
                <w:b w:val="0"/>
                <w:sz w:val="14"/>
              </w:rPr>
              <w:t>Hashes both new contract/vector files before accepted G12 arena outcomes.</w:t>
            </w:r>
          </w:p>
        </w:tc>
        <w:tc>
          <w:tcPr>
            <w:tcW w:type="dxa" w:w="2232"/>
            <w:vAlign w:val="center"/>
          </w:tcPr>
          <w:p>
            <w:pPr>
              <w:spacing w:after="0"/>
            </w:pPr>
            <w:r/>
            <w:r>
              <w:rPr>
                <w:rFonts w:ascii="Aptos" w:hAnsi="Aptos"/>
                <w:b w:val="0"/>
                <w:sz w:val="14"/>
              </w:rPr>
              <w:t>10f69cd3d7e97c2154e545253059cb687f33a61f491cc81e0154977907a2a42c</w:t>
            </w:r>
          </w:p>
        </w:tc>
      </w:tr>
    </w:tbl>
    <w:p>
      <w:pPr>
        <w:spacing w:after="0"/>
      </w:pPr>
    </w:p>
    <w:p>
      <w:pPr>
        <w:pStyle w:val="Heading2"/>
      </w:pPr>
      <w:r>
        <w:t>4.1 Canonical identity profile</w:t>
      </w:r>
    </w:p>
    <w:p>
      <w:r>
        <w:t>G12.STATE.SERIAL.v2 preserves G10 state semantics but supplies a new raw-byte identity profile. Repetition keys use magic G12R2 followed by length-delimited board64, turn, sorted castling rights and effective EP. Full-state bytes use magic G12S2 followed by those fields, canonical decimal halfmove clock, then a lexicographically sorted repetition map with raw repetition-key bytes and bounded counts. Canonical payload bytes, not their hashes, define equality; hashes are transport/integrity addresses.</w:t>
      </w:r>
    </w:p>
    <w:p>
      <w:pPr>
        <w:pStyle w:val="Heading2"/>
      </w:pPr>
      <w:r>
        <w:t>4.2 New conformance gate</w:t>
      </w:r>
    </w:p>
    <w:p>
      <w:r>
        <w:t>The new corpus was declared from inherited G10/G11 obligations before accepting any G12 tablebase truth. It exercises the initial position, both castlings, castling through/into check, legal and pinned en passant, four-way and capture promotion, check evasion, mate, stalemate, rights loss by rook move/capture, claim/history controls and mate-over-75 precedence. Two separately implemented serializers emit byte-identical canonical v2 payloads on the frozen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952"/>
            <w:vAlign w:val="center"/>
            <w:shd w:fill="D9EAF7"/>
          </w:tcPr>
          <w:p>
            <w:pPr>
              <w:spacing w:after="0"/>
            </w:pPr>
            <w:r/>
            <w:r>
              <w:rPr>
                <w:rFonts w:ascii="Aptos" w:hAnsi="Aptos"/>
                <w:b/>
                <w:sz w:val="15"/>
              </w:rPr>
              <w:t>Representative control</w:t>
            </w:r>
          </w:p>
        </w:tc>
        <w:tc>
          <w:tcPr>
            <w:tcW w:type="dxa" w:w="7560"/>
            <w:vAlign w:val="center"/>
            <w:shd w:fill="D9EAF7"/>
          </w:tcPr>
          <w:p>
            <w:pPr>
              <w:spacing w:after="0"/>
            </w:pPr>
            <w:r/>
            <w:r>
              <w:rPr>
                <w:rFonts w:ascii="Aptos" w:hAnsi="Aptos"/>
                <w:b/>
                <w:sz w:val="15"/>
              </w:rPr>
              <w:t>Accepted result</w:t>
            </w:r>
          </w:p>
        </w:tc>
      </w:tr>
      <w:tr>
        <w:trPr>
          <w:cantSplit/>
        </w:trPr>
        <w:tc>
          <w:tcPr>
            <w:tcW w:type="dxa" w:w="2952"/>
            <w:vAlign w:val="center"/>
          </w:tcPr>
          <w:p>
            <w:pPr>
              <w:spacing w:after="0"/>
            </w:pPr>
            <w:r/>
            <w:r>
              <w:rPr>
                <w:rFonts w:ascii="Aptos" w:hAnsi="Aptos"/>
                <w:b w:val="0"/>
                <w:sz w:val="15"/>
              </w:rPr>
              <w:t>Initial</w:t>
            </w:r>
          </w:p>
        </w:tc>
        <w:tc>
          <w:tcPr>
            <w:tcW w:type="dxa" w:w="7560"/>
            <w:vAlign w:val="center"/>
          </w:tcPr>
          <w:p>
            <w:pPr>
              <w:spacing w:after="0"/>
            </w:pPr>
            <w:r/>
            <w:r>
              <w:rPr>
                <w:rFonts w:ascii="Aptos" w:hAnsi="Aptos"/>
                <w:b w:val="0"/>
                <w:sz w:val="15"/>
              </w:rPr>
              <w:t>20 legal moves; A/B exact set equality.</w:t>
            </w:r>
          </w:p>
        </w:tc>
      </w:tr>
      <w:tr>
        <w:trPr>
          <w:cantSplit/>
        </w:trPr>
        <w:tc>
          <w:tcPr>
            <w:tcW w:type="dxa" w:w="2952"/>
            <w:vAlign w:val="center"/>
          </w:tcPr>
          <w:p>
            <w:pPr>
              <w:spacing w:after="0"/>
            </w:pPr>
            <w:r/>
            <w:r>
              <w:rPr>
                <w:rFonts w:ascii="Aptos" w:hAnsi="Aptos"/>
                <w:b w:val="0"/>
                <w:sz w:val="15"/>
              </w:rPr>
              <w:t>Clear castling</w:t>
            </w:r>
          </w:p>
        </w:tc>
        <w:tc>
          <w:tcPr>
            <w:tcW w:type="dxa" w:w="7560"/>
            <w:vAlign w:val="center"/>
          </w:tcPr>
          <w:p>
            <w:pPr>
              <w:spacing w:after="0"/>
            </w:pPr>
            <w:r/>
            <w:r>
              <w:rPr>
                <w:rFonts w:ascii="Aptos" w:hAnsi="Aptos"/>
                <w:b w:val="0"/>
                <w:sz w:val="15"/>
              </w:rPr>
              <w:t>Both e1-g1 and e1-c1 legal.</w:t>
            </w:r>
          </w:p>
        </w:tc>
      </w:tr>
      <w:tr>
        <w:trPr>
          <w:cantSplit/>
        </w:trPr>
        <w:tc>
          <w:tcPr>
            <w:tcW w:type="dxa" w:w="2952"/>
            <w:vAlign w:val="center"/>
          </w:tcPr>
          <w:p>
            <w:pPr>
              <w:spacing w:after="0"/>
            </w:pPr>
            <w:r/>
            <w:r>
              <w:rPr>
                <w:rFonts w:ascii="Aptos" w:hAnsi="Aptos"/>
                <w:b w:val="0"/>
                <w:sz w:val="15"/>
              </w:rPr>
              <w:t>Through/into check</w:t>
            </w:r>
          </w:p>
        </w:tc>
        <w:tc>
          <w:tcPr>
            <w:tcW w:type="dxa" w:w="7560"/>
            <w:vAlign w:val="center"/>
          </w:tcPr>
          <w:p>
            <w:pPr>
              <w:spacing w:after="0"/>
            </w:pPr>
            <w:r/>
            <w:r>
              <w:rPr>
                <w:rFonts w:ascii="Aptos" w:hAnsi="Aptos"/>
                <w:b w:val="0"/>
                <w:sz w:val="15"/>
              </w:rPr>
              <w:t>Kingside castle rejected when f1/g1 respectively is attacked.</w:t>
            </w:r>
          </w:p>
        </w:tc>
      </w:tr>
      <w:tr>
        <w:trPr>
          <w:cantSplit/>
        </w:trPr>
        <w:tc>
          <w:tcPr>
            <w:tcW w:type="dxa" w:w="2952"/>
            <w:vAlign w:val="center"/>
          </w:tcPr>
          <w:p>
            <w:pPr>
              <w:spacing w:after="0"/>
            </w:pPr>
            <w:r/>
            <w:r>
              <w:rPr>
                <w:rFonts w:ascii="Aptos" w:hAnsi="Aptos"/>
                <w:b w:val="0"/>
                <w:sz w:val="15"/>
              </w:rPr>
              <w:t>Legal EP</w:t>
            </w:r>
          </w:p>
        </w:tc>
        <w:tc>
          <w:tcPr>
            <w:tcW w:type="dxa" w:w="7560"/>
            <w:vAlign w:val="center"/>
          </w:tcPr>
          <w:p>
            <w:pPr>
              <w:spacing w:after="0"/>
            </w:pPr>
            <w:r/>
            <w:r>
              <w:rPr>
                <w:rFonts w:ascii="Aptos" w:hAnsi="Aptos"/>
                <w:b w:val="0"/>
                <w:sz w:val="15"/>
              </w:rPr>
              <w:t>e5xd6 generated; effective EP remains d6.</w:t>
            </w:r>
          </w:p>
        </w:tc>
      </w:tr>
      <w:tr>
        <w:trPr>
          <w:cantSplit/>
        </w:trPr>
        <w:tc>
          <w:tcPr>
            <w:tcW w:type="dxa" w:w="2952"/>
            <w:vAlign w:val="center"/>
          </w:tcPr>
          <w:p>
            <w:pPr>
              <w:spacing w:after="0"/>
            </w:pPr>
            <w:r/>
            <w:r>
              <w:rPr>
                <w:rFonts w:ascii="Aptos" w:hAnsi="Aptos"/>
                <w:b w:val="0"/>
                <w:sz w:val="15"/>
              </w:rPr>
              <w:t>Pinned EP</w:t>
            </w:r>
          </w:p>
        </w:tc>
        <w:tc>
          <w:tcPr>
            <w:tcW w:type="dxa" w:w="7560"/>
            <w:vAlign w:val="center"/>
          </w:tcPr>
          <w:p>
            <w:pPr>
              <w:spacing w:after="0"/>
            </w:pPr>
            <w:r/>
            <w:r>
              <w:rPr>
                <w:rFonts w:ascii="Aptos" w:hAnsi="Aptos"/>
                <w:b w:val="0"/>
                <w:sz w:val="15"/>
              </w:rPr>
              <w:t>e5xd6 rejected; nominal d6 canonicalizes to null.</w:t>
            </w:r>
          </w:p>
        </w:tc>
      </w:tr>
      <w:tr>
        <w:trPr>
          <w:cantSplit/>
        </w:trPr>
        <w:tc>
          <w:tcPr>
            <w:tcW w:type="dxa" w:w="2952"/>
            <w:vAlign w:val="center"/>
          </w:tcPr>
          <w:p>
            <w:pPr>
              <w:spacing w:after="0"/>
            </w:pPr>
            <w:r/>
            <w:r>
              <w:rPr>
                <w:rFonts w:ascii="Aptos" w:hAnsi="Aptos"/>
                <w:b w:val="0"/>
                <w:sz w:val="15"/>
              </w:rPr>
              <w:t>Promotions</w:t>
            </w:r>
          </w:p>
        </w:tc>
        <w:tc>
          <w:tcPr>
            <w:tcW w:type="dxa" w:w="7560"/>
            <w:vAlign w:val="center"/>
          </w:tcPr>
          <w:p>
            <w:pPr>
              <w:spacing w:after="0"/>
            </w:pPr>
            <w:r/>
            <w:r>
              <w:rPr>
                <w:rFonts w:ascii="Aptos" w:hAnsi="Aptos"/>
                <w:b w:val="0"/>
                <w:sz w:val="15"/>
              </w:rPr>
              <w:t>Four a7-a8 choices; capture-promotion control has eight a7 promotion moves.</w:t>
            </w:r>
          </w:p>
        </w:tc>
      </w:tr>
      <w:tr>
        <w:trPr>
          <w:cantSplit/>
        </w:trPr>
        <w:tc>
          <w:tcPr>
            <w:tcW w:type="dxa" w:w="2952"/>
            <w:vAlign w:val="center"/>
          </w:tcPr>
          <w:p>
            <w:pPr>
              <w:spacing w:after="0"/>
            </w:pPr>
            <w:r/>
            <w:r>
              <w:rPr>
                <w:rFonts w:ascii="Aptos" w:hAnsi="Aptos"/>
                <w:b w:val="0"/>
                <w:sz w:val="15"/>
              </w:rPr>
              <w:t>Mate / stalemate</w:t>
            </w:r>
          </w:p>
        </w:tc>
        <w:tc>
          <w:tcPr>
            <w:tcW w:type="dxa" w:w="7560"/>
            <w:vAlign w:val="center"/>
          </w:tcPr>
          <w:p>
            <w:pPr>
              <w:spacing w:after="0"/>
            </w:pPr>
            <w:r/>
            <w:r>
              <w:rPr>
                <w:rFonts w:ascii="Aptos" w:hAnsi="Aptos"/>
                <w:b w:val="0"/>
                <w:sz w:val="15"/>
              </w:rPr>
              <w:t>Both zero-move cases distinguished by check status.</w:t>
            </w:r>
          </w:p>
        </w:tc>
      </w:tr>
      <w:tr>
        <w:trPr>
          <w:cantSplit/>
        </w:trPr>
        <w:tc>
          <w:tcPr>
            <w:tcW w:type="dxa" w:w="2952"/>
            <w:vAlign w:val="center"/>
          </w:tcPr>
          <w:p>
            <w:pPr>
              <w:spacing w:after="0"/>
            </w:pPr>
            <w:r/>
            <w:r>
              <w:rPr>
                <w:rFonts w:ascii="Aptos" w:hAnsi="Aptos"/>
                <w:b w:val="0"/>
                <w:sz w:val="15"/>
              </w:rPr>
              <w:t>Rook rights</w:t>
            </w:r>
          </w:p>
        </w:tc>
        <w:tc>
          <w:tcPr>
            <w:tcW w:type="dxa" w:w="7560"/>
            <w:vAlign w:val="center"/>
          </w:tcPr>
          <w:p>
            <w:pPr>
              <w:spacing w:after="0"/>
            </w:pPr>
            <w:r/>
            <w:r>
              <w:rPr>
                <w:rFonts w:ascii="Aptos" w:hAnsi="Aptos"/>
                <w:b w:val="0"/>
                <w:sz w:val="15"/>
              </w:rPr>
              <w:t>h1-h2 -&gt; Qkq; a1xa8 -&gt; Kk.</w:t>
            </w:r>
          </w:p>
        </w:tc>
      </w:tr>
      <w:tr>
        <w:trPr>
          <w:cantSplit/>
        </w:trPr>
        <w:tc>
          <w:tcPr>
            <w:tcW w:type="dxa" w:w="2952"/>
            <w:vAlign w:val="center"/>
          </w:tcPr>
          <w:p>
            <w:pPr>
              <w:spacing w:after="0"/>
            </w:pPr>
            <w:r/>
            <w:r>
              <w:rPr>
                <w:rFonts w:ascii="Aptos" w:hAnsi="Aptos"/>
                <w:b w:val="0"/>
                <w:sz w:val="15"/>
              </w:rPr>
              <w:t>Canonical state</w:t>
            </w:r>
          </w:p>
        </w:tc>
        <w:tc>
          <w:tcPr>
            <w:tcW w:type="dxa" w:w="7560"/>
            <w:vAlign w:val="center"/>
          </w:tcPr>
          <w:p>
            <w:pPr>
              <w:spacing w:after="0"/>
            </w:pPr>
            <w:r/>
            <w:r>
              <w:rPr>
                <w:rFonts w:ascii="Aptos" w:hAnsi="Aptos"/>
                <w:b w:val="0"/>
                <w:sz w:val="15"/>
              </w:rPr>
              <w:t>Independent serializers equal on accepted controls.</w:t>
            </w:r>
          </w:p>
        </w:tc>
      </w:tr>
      <w:tr>
        <w:trPr>
          <w:cantSplit/>
        </w:trPr>
        <w:tc>
          <w:tcPr>
            <w:tcW w:type="dxa" w:w="2952"/>
            <w:vAlign w:val="center"/>
          </w:tcPr>
          <w:p>
            <w:pPr>
              <w:spacing w:after="0"/>
            </w:pPr>
            <w:r/>
            <w:r>
              <w:rPr>
                <w:rFonts w:ascii="Aptos" w:hAnsi="Aptos"/>
                <w:b w:val="0"/>
                <w:sz w:val="15"/>
              </w:rPr>
              <w:t>Gate ledger</w:t>
            </w:r>
          </w:p>
        </w:tc>
        <w:tc>
          <w:tcPr>
            <w:tcW w:type="dxa" w:w="7560"/>
            <w:vAlign w:val="center"/>
          </w:tcPr>
          <w:p>
            <w:pPr>
              <w:spacing w:after="0"/>
            </w:pPr>
            <w:r/>
            <w:r>
              <w:rPr>
                <w:rFonts w:ascii="Aptos" w:hAnsi="Aptos"/>
                <w:b w:val="0"/>
                <w:sz w:val="15"/>
              </w:rPr>
              <w:t>FAIL=0.</w:t>
            </w:r>
          </w:p>
        </w:tc>
      </w:tr>
    </w:tbl>
    <w:p>
      <w:pPr>
        <w:spacing w:after="0"/>
      </w:pPr>
    </w:p>
    <w:p>
      <w:r>
        <w:t>Important boundary: the G12 producer/verifier sources are new artifacts written in G12. The original G11 source bundle was not byte-recovered in this session, so G12 does not claim source identity with G11. It relies on G11’s frozen broad zero-mismatch evidence as inherited evidence and creates a new self-contained forward artifact chain.</w:t>
      </w:r>
    </w:p>
    <w:p>
      <w:pPr>
        <w:pStyle w:val="Heading1"/>
      </w:pPr>
      <w:r>
        <w:t>5. G12.2 — final-rule reference portfolio design</w:t>
      </w:r>
    </w:p>
    <w:p>
      <w:r>
        <w:t>After the v2 gate passed, G12 selected a deliberately small but semantically varied portfolio. The point was not to inflate piece count; it was to create independently replayable anchors that exercise final-state semantics and prove where restricted board-only truth does and does not survive history decoration.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D9EAF7"/>
          </w:tcPr>
          <w:p>
            <w:pPr>
              <w:spacing w:after="0"/>
            </w:pPr>
            <w:r/>
            <w:r>
              <w:rPr>
                <w:rFonts w:ascii="Aptos" w:hAnsi="Aptos"/>
                <w:b/>
                <w:sz w:val="15"/>
              </w:rPr>
              <w:t>Arena / control</w:t>
            </w:r>
          </w:p>
        </w:tc>
        <w:tc>
          <w:tcPr>
            <w:tcW w:type="dxa" w:w="4896"/>
            <w:vAlign w:val="center"/>
            <w:shd w:fill="D9EAF7"/>
          </w:tcPr>
          <w:p>
            <w:pPr>
              <w:spacing w:after="0"/>
            </w:pPr>
            <w:r/>
            <w:r>
              <w:rPr>
                <w:rFonts w:ascii="Aptos" w:hAnsi="Aptos"/>
                <w:b/>
                <w:sz w:val="15"/>
              </w:rPr>
              <w:t>Role</w:t>
            </w:r>
          </w:p>
        </w:tc>
        <w:tc>
          <w:tcPr>
            <w:tcW w:type="dxa" w:w="3024"/>
            <w:vAlign w:val="center"/>
            <w:shd w:fill="D9EAF7"/>
          </w:tcPr>
          <w:p>
            <w:pPr>
              <w:spacing w:after="0"/>
            </w:pPr>
            <w:r/>
            <w:r>
              <w:rPr>
                <w:rFonts w:ascii="Aptos" w:hAnsi="Aptos"/>
                <w:b/>
                <w:sz w:val="15"/>
              </w:rPr>
              <w:t>Declared metadata / boundary</w:t>
            </w:r>
          </w:p>
        </w:tc>
      </w:tr>
      <w:tr>
        <w:trPr>
          <w:cantSplit/>
        </w:trPr>
        <w:tc>
          <w:tcPr>
            <w:tcW w:type="dxa" w:w="2592"/>
            <w:vAlign w:val="center"/>
          </w:tcPr>
          <w:p>
            <w:pPr>
              <w:spacing w:after="0"/>
            </w:pPr>
            <w:r/>
            <w:r>
              <w:rPr>
                <w:rFonts w:ascii="Aptos" w:hAnsi="Aptos"/>
                <w:b w:val="0"/>
                <w:sz w:val="15"/>
              </w:rPr>
              <w:t>KQK</w:t>
            </w:r>
          </w:p>
        </w:tc>
        <w:tc>
          <w:tcPr>
            <w:tcW w:type="dxa" w:w="4896"/>
            <w:vAlign w:val="center"/>
          </w:tcPr>
          <w:p>
            <w:pPr>
              <w:spacing w:after="0"/>
            </w:pPr>
            <w:r/>
            <w:r>
              <w:rPr>
                <w:rFonts w:ascii="Aptos" w:hAnsi="Aptos"/>
                <w:b w:val="0"/>
                <w:sz w:val="15"/>
              </w:rPr>
              <w:t>Fast mating reference; captures, check/mate/stalemate; history-safety by bounded rank.</w:t>
            </w:r>
          </w:p>
        </w:tc>
        <w:tc>
          <w:tcPr>
            <w:tcW w:type="dxa" w:w="3024"/>
            <w:vAlign w:val="center"/>
          </w:tcPr>
          <w:p>
            <w:pPr>
              <w:spacing w:after="0"/>
            </w:pPr>
            <w:r/>
            <w:r>
              <w:rPr>
                <w:rFonts w:ascii="Aptos" w:hAnsi="Aptos"/>
                <w:b w:val="0"/>
                <w:sz w:val="15"/>
              </w:rPr>
              <w:t>No castling/EP; halfmove=0; current rep count=1.</w:t>
            </w:r>
          </w:p>
        </w:tc>
      </w:tr>
      <w:tr>
        <w:trPr>
          <w:cantSplit/>
        </w:trPr>
        <w:tc>
          <w:tcPr>
            <w:tcW w:type="dxa" w:w="2592"/>
            <w:vAlign w:val="center"/>
          </w:tcPr>
          <w:p>
            <w:pPr>
              <w:spacing w:after="0"/>
            </w:pPr>
            <w:r/>
            <w:r>
              <w:rPr>
                <w:rFonts w:ascii="Aptos" w:hAnsi="Aptos"/>
                <w:b w:val="0"/>
                <w:sz w:val="15"/>
              </w:rPr>
              <w:t>KRK</w:t>
            </w:r>
          </w:p>
        </w:tc>
        <w:tc>
          <w:tcPr>
            <w:tcW w:type="dxa" w:w="4896"/>
            <w:vAlign w:val="center"/>
          </w:tcPr>
          <w:p>
            <w:pPr>
              <w:spacing w:after="0"/>
            </w:pPr>
            <w:r/>
            <w:r>
              <w:rPr>
                <w:rFonts w:ascii="Aptos" w:hAnsi="Aptos"/>
                <w:b w:val="0"/>
                <w:sz w:val="15"/>
              </w:rPr>
              <w:t>Second slider reference with different geometry and capture/stalemate structure.</w:t>
            </w:r>
          </w:p>
        </w:tc>
        <w:tc>
          <w:tcPr>
            <w:tcW w:type="dxa" w:w="3024"/>
            <w:vAlign w:val="center"/>
          </w:tcPr>
          <w:p>
            <w:pPr>
              <w:spacing w:after="0"/>
            </w:pPr>
            <w:r/>
            <w:r>
              <w:rPr>
                <w:rFonts w:ascii="Aptos" w:hAnsi="Aptos"/>
                <w:b w:val="0"/>
                <w:sz w:val="15"/>
              </w:rPr>
              <w:t>Same clean metadata.</w:t>
            </w:r>
          </w:p>
        </w:tc>
      </w:tr>
      <w:tr>
        <w:trPr>
          <w:cantSplit/>
        </w:trPr>
        <w:tc>
          <w:tcPr>
            <w:tcW w:type="dxa" w:w="2592"/>
            <w:vAlign w:val="center"/>
          </w:tcPr>
          <w:p>
            <w:pPr>
              <w:spacing w:after="0"/>
            </w:pPr>
            <w:r/>
            <w:r>
              <w:rPr>
                <w:rFonts w:ascii="Aptos" w:hAnsi="Aptos"/>
                <w:b w:val="0"/>
                <w:sz w:val="15"/>
              </w:rPr>
              <w:t>a-file KPK</w:t>
            </w:r>
          </w:p>
        </w:tc>
        <w:tc>
          <w:tcPr>
            <w:tcW w:type="dxa" w:w="4896"/>
            <w:vAlign w:val="center"/>
          </w:tcPr>
          <w:p>
            <w:pPr>
              <w:spacing w:after="0"/>
            </w:pPr>
            <w:r/>
            <w:r>
              <w:rPr>
                <w:rFonts w:ascii="Aptos" w:hAnsi="Aptos"/>
                <w:b w:val="0"/>
                <w:sz w:val="15"/>
              </w:rPr>
              <w:t>Pawn move, double push, capture, four promotions into exact Q/R children; B/N promotion dead exits.</w:t>
            </w:r>
          </w:p>
        </w:tc>
        <w:tc>
          <w:tcPr>
            <w:tcW w:type="dxa" w:w="3024"/>
            <w:vAlign w:val="center"/>
          </w:tcPr>
          <w:p>
            <w:pPr>
              <w:spacing w:after="0"/>
            </w:pPr>
            <w:r/>
            <w:r>
              <w:rPr>
                <w:rFonts w:ascii="Aptos" w:hAnsi="Aptos"/>
                <w:b w:val="0"/>
                <w:sz w:val="15"/>
              </w:rPr>
              <w:t>Same clean metadata; promotion continues semantically.</w:t>
            </w:r>
          </w:p>
        </w:tc>
      </w:tr>
      <w:tr>
        <w:trPr>
          <w:cantSplit/>
        </w:trPr>
        <w:tc>
          <w:tcPr>
            <w:tcW w:type="dxa" w:w="2592"/>
            <w:vAlign w:val="center"/>
          </w:tcPr>
          <w:p>
            <w:pPr>
              <w:spacing w:after="0"/>
            </w:pPr>
            <w:r/>
            <w:r>
              <w:rPr>
                <w:rFonts w:ascii="Aptos" w:hAnsi="Aptos"/>
                <w:b w:val="0"/>
                <w:sz w:val="15"/>
              </w:rPr>
              <w:t>K+2 same-colour bishops vs K</w:t>
            </w:r>
          </w:p>
        </w:tc>
        <w:tc>
          <w:tcPr>
            <w:tcW w:type="dxa" w:w="4896"/>
            <w:vAlign w:val="center"/>
          </w:tcPr>
          <w:p>
            <w:pPr>
              <w:spacing w:after="0"/>
            </w:pPr>
            <w:r/>
            <w:r>
              <w:rPr>
                <w:rFonts w:ascii="Aptos" w:hAnsi="Aptos"/>
                <w:b w:val="0"/>
                <w:sz w:val="15"/>
              </w:rPr>
              <w:t>Nontrivial exact DEAD classification via no-mate reachability, not material helper.</w:t>
            </w:r>
          </w:p>
        </w:tc>
        <w:tc>
          <w:tcPr>
            <w:tcW w:type="dxa" w:w="3024"/>
            <w:vAlign w:val="center"/>
          </w:tcPr>
          <w:p>
            <w:pPr>
              <w:spacing w:after="0"/>
            </w:pPr>
            <w:r/>
            <w:r>
              <w:rPr>
                <w:rFonts w:ascii="Aptos" w:hAnsi="Aptos"/>
                <w:b w:val="0"/>
                <w:sz w:val="15"/>
              </w:rPr>
              <w:t>Both turns; unordered same-colour bishop pair.</w:t>
            </w:r>
          </w:p>
        </w:tc>
      </w:tr>
      <w:tr>
        <w:trPr>
          <w:cantSplit/>
        </w:trPr>
        <w:tc>
          <w:tcPr>
            <w:tcW w:type="dxa" w:w="2592"/>
            <w:vAlign w:val="center"/>
          </w:tcPr>
          <w:p>
            <w:pPr>
              <w:spacing w:after="0"/>
            </w:pPr>
            <w:r/>
            <w:r>
              <w:rPr>
                <w:rFonts w:ascii="Aptos" w:hAnsi="Aptos"/>
                <w:b w:val="0"/>
                <w:sz w:val="15"/>
              </w:rPr>
              <w:t>History-decorated KQK controls</w:t>
            </w:r>
          </w:p>
        </w:tc>
        <w:tc>
          <w:tcPr>
            <w:tcW w:type="dxa" w:w="4896"/>
            <w:vAlign w:val="center"/>
          </w:tcPr>
          <w:p>
            <w:pPr>
              <w:spacing w:after="0"/>
            </w:pPr>
            <w:r/>
            <w:r>
              <w:rPr>
                <w:rFonts w:ascii="Aptos" w:hAnsi="Aptos"/>
                <w:b w:val="0"/>
                <w:sz w:val="15"/>
              </w:rPr>
              <w:t>Show repetition/50/75 metadata can change W/D truth for the identical board.</w:t>
            </w:r>
          </w:p>
        </w:tc>
        <w:tc>
          <w:tcPr>
            <w:tcW w:type="dxa" w:w="3024"/>
            <w:vAlign w:val="center"/>
          </w:tcPr>
          <w:p>
            <w:pPr>
              <w:spacing w:after="0"/>
            </w:pPr>
            <w:r/>
            <w:r>
              <w:rPr>
                <w:rFonts w:ascii="Aptos" w:hAnsi="Aptos"/>
                <w:b w:val="0"/>
                <w:sz w:val="15"/>
              </w:rPr>
              <w:t>ARENA_ADMISSIBLE history examples; not claimed START_REACHABLE.</w:t>
            </w:r>
          </w:p>
        </w:tc>
      </w:tr>
      <w:tr>
        <w:trPr>
          <w:cantSplit/>
        </w:trPr>
        <w:tc>
          <w:tcPr>
            <w:tcW w:type="dxa" w:w="2592"/>
            <w:vAlign w:val="center"/>
          </w:tcPr>
          <w:p>
            <w:pPr>
              <w:spacing w:after="0"/>
            </w:pPr>
            <w:r/>
            <w:r>
              <w:rPr>
                <w:rFonts w:ascii="Aptos" w:hAnsi="Aptos"/>
                <w:b w:val="0"/>
                <w:sz w:val="15"/>
              </w:rPr>
              <w:t>Special-right corpus</w:t>
            </w:r>
          </w:p>
        </w:tc>
        <w:tc>
          <w:tcPr>
            <w:tcW w:type="dxa" w:w="4896"/>
            <w:vAlign w:val="center"/>
          </w:tcPr>
          <w:p>
            <w:pPr>
              <w:spacing w:after="0"/>
            </w:pPr>
            <w:r/>
            <w:r>
              <w:rPr>
                <w:rFonts w:ascii="Aptos" w:hAnsi="Aptos"/>
                <w:b w:val="0"/>
                <w:sz w:val="15"/>
              </w:rPr>
              <w:t>Castling, effective EP, rights loss and promotion transition checks.</w:t>
            </w:r>
          </w:p>
        </w:tc>
        <w:tc>
          <w:tcPr>
            <w:tcW w:type="dxa" w:w="3024"/>
            <w:vAlign w:val="center"/>
          </w:tcPr>
          <w:p>
            <w:pPr>
              <w:spacing w:after="0"/>
            </w:pPr>
            <w:r/>
            <w:r>
              <w:rPr>
                <w:rFonts w:ascii="Aptos" w:hAnsi="Aptos"/>
                <w:b w:val="0"/>
                <w:sz w:val="15"/>
              </w:rPr>
              <w:t>Conformance/certificate controls rather than full W/D tables.</w:t>
            </w:r>
          </w:p>
        </w:tc>
      </w:tr>
    </w:tbl>
    <w:p>
      <w:pPr>
        <w:spacing w:after="0"/>
      </w:pPr>
    </w:p>
    <w:p>
      <w:pPr>
        <w:pStyle w:val="Heading1"/>
      </w:pPr>
      <w:r>
        <w:t>6. Exact solver, certificate and verifier architecture</w:t>
      </w:r>
    </w:p>
    <w:p>
      <w:pPr>
        <w:pStyle w:val="Heading2"/>
      </w:pPr>
      <w:r>
        <w:t>6.1 Producer</w:t>
      </w:r>
    </w:p>
    <w:p>
      <w:r>
        <w:t>The accepted producer builds each finite graph once, then computes the White-win attractor with priority-ordered retrograde propagation. Black checkmate states are rank 0. A White-to-move state is winning when at least one successor is winning; its rank is one plus the minimum winning child rank. A Black-to-move state is winning for White only when every legal successor is winning for White; its rank is one plus the maximum child rank. Captures into certified dead lower material remain drawing exits and therefore correctly block an all-successor White-win classification.</w:t>
      </w:r>
    </w:p>
    <w:p>
      <w:pPr>
        <w:pStyle w:val="Heading2"/>
      </w:pPr>
      <w:r>
        <w:t>6.2 Frozen certificates</w:t>
      </w:r>
    </w:p>
    <w:p>
      <w:r>
        <w:t>Each table emits a compact raw-index certificate: 8-byte magic, array length, then valid flag, White-win flag and exact rank for every encoding. This is intentionally simple so later proof-store and raw-truth stages can ingest it without reverse engineering a producer-specific object model.</w:t>
      </w:r>
    </w:p>
    <w:p>
      <w:pPr>
        <w:pStyle w:val="Heading2"/>
      </w:pPr>
      <w:r>
        <w:t>6.3 Standalone target-centric replay</w:t>
      </w:r>
    </w:p>
    <w:p>
      <w:r>
        <w:t>A separate C++20 verifier loads the three certificates, regenerates legal moves with the target-centric Engine-B path, and checks every Bellman equation and every winning rank. It also independently repeats the same-colour-bishop mate scan. The verifier contains no producer Engine-A source-centric attack/move implementation. Both programs were authored in the same research programme, so this is structural software independence, not organizational independence; G15 still owns trusted-core hardening.</w:t>
      </w:r>
    </w:p>
    <w:p>
      <w:pPr>
        <w:pStyle w:val="Heading1"/>
      </w:pPr>
      <w:r>
        <w:t>7. Exact quantitative results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40"/>
            <w:vAlign w:val="center"/>
            <w:shd w:fill="D9EAF7"/>
          </w:tcPr>
          <w:p>
            <w:pPr>
              <w:spacing w:after="0"/>
            </w:pPr>
            <w:r/>
            <w:r>
              <w:rPr>
                <w:rFonts w:ascii="Aptos" w:hAnsi="Aptos"/>
                <w:b/>
                <w:sz w:val="14"/>
              </w:rPr>
              <w:t>Arena</w:t>
            </w:r>
          </w:p>
        </w:tc>
        <w:tc>
          <w:tcPr>
            <w:tcW w:type="dxa" w:w="1440"/>
            <w:vAlign w:val="center"/>
            <w:shd w:fill="D9EAF7"/>
          </w:tcPr>
          <w:p>
            <w:pPr>
              <w:spacing w:after="0"/>
            </w:pPr>
            <w:r/>
            <w:r>
              <w:rPr>
                <w:rFonts w:ascii="Aptos" w:hAnsi="Aptos"/>
                <w:b/>
                <w:sz w:val="14"/>
              </w:rPr>
              <w:t>Valid</w:t>
            </w:r>
          </w:p>
        </w:tc>
        <w:tc>
          <w:tcPr>
            <w:tcW w:type="dxa" w:w="1440"/>
            <w:vAlign w:val="center"/>
            <w:shd w:fill="D9EAF7"/>
          </w:tcPr>
          <w:p>
            <w:pPr>
              <w:spacing w:after="0"/>
            </w:pPr>
            <w:r/>
            <w:r>
              <w:rPr>
                <w:rFonts w:ascii="Aptos" w:hAnsi="Aptos"/>
                <w:b/>
                <w:sz w:val="14"/>
              </w:rPr>
              <w:t>White win</w:t>
            </w:r>
          </w:p>
        </w:tc>
        <w:tc>
          <w:tcPr>
            <w:tcW w:type="dxa" w:w="1368"/>
            <w:vAlign w:val="center"/>
            <w:shd w:fill="D9EAF7"/>
          </w:tcPr>
          <w:p>
            <w:pPr>
              <w:spacing w:after="0"/>
            </w:pPr>
            <w:r/>
            <w:r>
              <w:rPr>
                <w:rFonts w:ascii="Aptos" w:hAnsi="Aptos"/>
                <w:b/>
                <w:sz w:val="14"/>
              </w:rPr>
              <w:t>Draw</w:t>
            </w:r>
          </w:p>
        </w:tc>
        <w:tc>
          <w:tcPr>
            <w:tcW w:type="dxa" w:w="1008"/>
            <w:vAlign w:val="center"/>
            <w:shd w:fill="D9EAF7"/>
          </w:tcPr>
          <w:p>
            <w:pPr>
              <w:spacing w:after="0"/>
            </w:pPr>
            <w:r/>
            <w:r>
              <w:rPr>
                <w:rFonts w:ascii="Aptos" w:hAnsi="Aptos"/>
                <w:b/>
                <w:sz w:val="14"/>
              </w:rPr>
              <w:t>Max rank</w:t>
            </w:r>
          </w:p>
        </w:tc>
        <w:tc>
          <w:tcPr>
            <w:tcW w:type="dxa" w:w="1656"/>
            <w:vAlign w:val="center"/>
            <w:shd w:fill="D9EAF7"/>
          </w:tcPr>
          <w:p>
            <w:pPr>
              <w:spacing w:after="0"/>
            </w:pPr>
            <w:r/>
            <w:r>
              <w:rPr>
                <w:rFonts w:ascii="Aptos" w:hAnsi="Aptos"/>
                <w:b/>
                <w:sz w:val="14"/>
              </w:rPr>
              <w:t>Legal edges</w:t>
            </w:r>
          </w:p>
        </w:tc>
        <w:tc>
          <w:tcPr>
            <w:tcW w:type="dxa" w:w="1872"/>
            <w:vAlign w:val="center"/>
            <w:shd w:fill="D9EAF7"/>
          </w:tcPr>
          <w:p>
            <w:pPr>
              <w:spacing w:after="0"/>
            </w:pPr>
            <w:r/>
            <w:r>
              <w:rPr>
                <w:rFonts w:ascii="Aptos" w:hAnsi="Aptos"/>
                <w:b/>
                <w:sz w:val="14"/>
              </w:rPr>
              <w:t>Verifier mismatches</w:t>
            </w:r>
          </w:p>
        </w:tc>
      </w:tr>
      <w:tr>
        <w:trPr>
          <w:cantSplit/>
        </w:trPr>
        <w:tc>
          <w:tcPr>
            <w:tcW w:type="dxa" w:w="1440"/>
            <w:vAlign w:val="center"/>
          </w:tcPr>
          <w:p>
            <w:pPr>
              <w:spacing w:after="0"/>
            </w:pPr>
            <w:r/>
            <w:r>
              <w:rPr>
                <w:rFonts w:ascii="Aptos" w:hAnsi="Aptos"/>
                <w:b w:val="0"/>
                <w:sz w:val="14"/>
              </w:rPr>
              <w:t>KQK</w:t>
            </w:r>
          </w:p>
        </w:tc>
        <w:tc>
          <w:tcPr>
            <w:tcW w:type="dxa" w:w="1440"/>
            <w:vAlign w:val="center"/>
          </w:tcPr>
          <w:p>
            <w:pPr>
              <w:spacing w:after="0"/>
            </w:pPr>
            <w:r/>
            <w:r>
              <w:rPr>
                <w:rFonts w:ascii="Aptos" w:hAnsi="Aptos"/>
                <w:b w:val="0"/>
                <w:sz w:val="14"/>
              </w:rPr>
              <w:t>368,452</w:t>
            </w:r>
          </w:p>
        </w:tc>
        <w:tc>
          <w:tcPr>
            <w:tcW w:type="dxa" w:w="1440"/>
            <w:vAlign w:val="center"/>
          </w:tcPr>
          <w:p>
            <w:pPr>
              <w:spacing w:after="0"/>
            </w:pPr>
            <w:r/>
            <w:r>
              <w:rPr>
                <w:rFonts w:ascii="Aptos" w:hAnsi="Aptos"/>
                <w:b w:val="0"/>
                <w:sz w:val="14"/>
              </w:rPr>
              <w:t>345,404</w:t>
            </w:r>
          </w:p>
        </w:tc>
        <w:tc>
          <w:tcPr>
            <w:tcW w:type="dxa" w:w="1368"/>
            <w:vAlign w:val="center"/>
          </w:tcPr>
          <w:p>
            <w:pPr>
              <w:spacing w:after="0"/>
            </w:pPr>
            <w:r/>
            <w:r>
              <w:rPr>
                <w:rFonts w:ascii="Aptos" w:hAnsi="Aptos"/>
                <w:b w:val="0"/>
                <w:sz w:val="14"/>
              </w:rPr>
              <w:t>23,048</w:t>
            </w:r>
          </w:p>
        </w:tc>
        <w:tc>
          <w:tcPr>
            <w:tcW w:type="dxa" w:w="1008"/>
            <w:vAlign w:val="center"/>
          </w:tcPr>
          <w:p>
            <w:pPr>
              <w:spacing w:after="0"/>
            </w:pPr>
            <w:r/>
            <w:r>
              <w:rPr>
                <w:rFonts w:ascii="Aptos" w:hAnsi="Aptos"/>
                <w:b w:val="0"/>
                <w:sz w:val="14"/>
              </w:rPr>
              <w:t>20</w:t>
            </w:r>
          </w:p>
        </w:tc>
        <w:tc>
          <w:tcPr>
            <w:tcW w:type="dxa" w:w="1656"/>
            <w:vAlign w:val="center"/>
          </w:tcPr>
          <w:p>
            <w:pPr>
              <w:spacing w:after="0"/>
            </w:pPr>
            <w:r/>
            <w:r>
              <w:rPr>
                <w:rFonts w:ascii="Aptos" w:hAnsi="Aptos"/>
                <w:b w:val="0"/>
                <w:sz w:val="14"/>
              </w:rPr>
              <w:t>4,891,672</w:t>
            </w:r>
          </w:p>
        </w:tc>
        <w:tc>
          <w:tcPr>
            <w:tcW w:type="dxa" w:w="1872"/>
            <w:vAlign w:val="center"/>
          </w:tcPr>
          <w:p>
            <w:pPr>
              <w:spacing w:after="0"/>
            </w:pPr>
            <w:r/>
            <w:r>
              <w:rPr>
                <w:rFonts w:ascii="Aptos" w:hAnsi="Aptos"/>
                <w:b w:val="0"/>
                <w:sz w:val="14"/>
              </w:rPr>
              <w:t>0</w:t>
            </w:r>
          </w:p>
        </w:tc>
      </w:tr>
      <w:tr>
        <w:trPr>
          <w:cantSplit/>
        </w:trPr>
        <w:tc>
          <w:tcPr>
            <w:tcW w:type="dxa" w:w="1440"/>
            <w:vAlign w:val="center"/>
          </w:tcPr>
          <w:p>
            <w:pPr>
              <w:spacing w:after="0"/>
            </w:pPr>
            <w:r/>
            <w:r>
              <w:rPr>
                <w:rFonts w:ascii="Aptos" w:hAnsi="Aptos"/>
                <w:b w:val="0"/>
                <w:sz w:val="14"/>
              </w:rPr>
              <w:t>KRK</w:t>
            </w:r>
          </w:p>
        </w:tc>
        <w:tc>
          <w:tcPr>
            <w:tcW w:type="dxa" w:w="1440"/>
            <w:vAlign w:val="center"/>
          </w:tcPr>
          <w:p>
            <w:pPr>
              <w:spacing w:after="0"/>
            </w:pPr>
            <w:r/>
            <w:r>
              <w:rPr>
                <w:rFonts w:ascii="Aptos" w:hAnsi="Aptos"/>
                <w:b w:val="0"/>
                <w:sz w:val="14"/>
              </w:rPr>
              <w:t>399,112</w:t>
            </w:r>
          </w:p>
        </w:tc>
        <w:tc>
          <w:tcPr>
            <w:tcW w:type="dxa" w:w="1440"/>
            <w:vAlign w:val="center"/>
          </w:tcPr>
          <w:p>
            <w:pPr>
              <w:spacing w:after="0"/>
            </w:pPr>
            <w:r/>
            <w:r>
              <w:rPr>
                <w:rFonts w:ascii="Aptos" w:hAnsi="Aptos"/>
                <w:b w:val="0"/>
                <w:sz w:val="14"/>
              </w:rPr>
              <w:t>376,868</w:t>
            </w:r>
          </w:p>
        </w:tc>
        <w:tc>
          <w:tcPr>
            <w:tcW w:type="dxa" w:w="1368"/>
            <w:vAlign w:val="center"/>
          </w:tcPr>
          <w:p>
            <w:pPr>
              <w:spacing w:after="0"/>
            </w:pPr>
            <w:r/>
            <w:r>
              <w:rPr>
                <w:rFonts w:ascii="Aptos" w:hAnsi="Aptos"/>
                <w:b w:val="0"/>
                <w:sz w:val="14"/>
              </w:rPr>
              <w:t>22,244</w:t>
            </w:r>
          </w:p>
        </w:tc>
        <w:tc>
          <w:tcPr>
            <w:tcW w:type="dxa" w:w="1008"/>
            <w:vAlign w:val="center"/>
          </w:tcPr>
          <w:p>
            <w:pPr>
              <w:spacing w:after="0"/>
            </w:pPr>
            <w:r/>
            <w:r>
              <w:rPr>
                <w:rFonts w:ascii="Aptos" w:hAnsi="Aptos"/>
                <w:b w:val="0"/>
                <w:sz w:val="14"/>
              </w:rPr>
              <w:t>32</w:t>
            </w:r>
          </w:p>
        </w:tc>
        <w:tc>
          <w:tcPr>
            <w:tcW w:type="dxa" w:w="1656"/>
            <w:vAlign w:val="center"/>
          </w:tcPr>
          <w:p>
            <w:pPr>
              <w:spacing w:after="0"/>
            </w:pPr>
            <w:r/>
            <w:r>
              <w:rPr>
                <w:rFonts w:ascii="Aptos" w:hAnsi="Aptos"/>
                <w:b w:val="0"/>
                <w:sz w:val="14"/>
              </w:rPr>
              <w:t>4,469,208</w:t>
            </w:r>
          </w:p>
        </w:tc>
        <w:tc>
          <w:tcPr>
            <w:tcW w:type="dxa" w:w="1872"/>
            <w:vAlign w:val="center"/>
          </w:tcPr>
          <w:p>
            <w:pPr>
              <w:spacing w:after="0"/>
            </w:pPr>
            <w:r/>
            <w:r>
              <w:rPr>
                <w:rFonts w:ascii="Aptos" w:hAnsi="Aptos"/>
                <w:b w:val="0"/>
                <w:sz w:val="14"/>
              </w:rPr>
              <w:t>0</w:t>
            </w:r>
          </w:p>
        </w:tc>
      </w:tr>
      <w:tr>
        <w:trPr>
          <w:cantSplit/>
        </w:trPr>
        <w:tc>
          <w:tcPr>
            <w:tcW w:type="dxa" w:w="1440"/>
            <w:vAlign w:val="center"/>
          </w:tcPr>
          <w:p>
            <w:pPr>
              <w:spacing w:after="0"/>
            </w:pPr>
            <w:r/>
            <w:r>
              <w:rPr>
                <w:rFonts w:ascii="Aptos" w:hAnsi="Aptos"/>
                <w:b w:val="0"/>
                <w:sz w:val="14"/>
              </w:rPr>
              <w:t>a-file KPK</w:t>
            </w:r>
          </w:p>
        </w:tc>
        <w:tc>
          <w:tcPr>
            <w:tcW w:type="dxa" w:w="1440"/>
            <w:vAlign w:val="center"/>
          </w:tcPr>
          <w:p>
            <w:pPr>
              <w:spacing w:after="0"/>
            </w:pPr>
            <w:r/>
            <w:r>
              <w:rPr>
                <w:rFonts w:ascii="Aptos" w:hAnsi="Aptos"/>
                <w:b w:val="0"/>
                <w:sz w:val="14"/>
              </w:rPr>
              <w:t>41,619</w:t>
            </w:r>
          </w:p>
        </w:tc>
        <w:tc>
          <w:tcPr>
            <w:tcW w:type="dxa" w:w="1440"/>
            <w:vAlign w:val="center"/>
          </w:tcPr>
          <w:p>
            <w:pPr>
              <w:spacing w:after="0"/>
            </w:pPr>
            <w:r/>
            <w:r>
              <w:rPr>
                <w:rFonts w:ascii="Aptos" w:hAnsi="Aptos"/>
                <w:b w:val="0"/>
                <w:sz w:val="14"/>
              </w:rPr>
              <w:t>27,430</w:t>
            </w:r>
          </w:p>
        </w:tc>
        <w:tc>
          <w:tcPr>
            <w:tcW w:type="dxa" w:w="1368"/>
            <w:vAlign w:val="center"/>
          </w:tcPr>
          <w:p>
            <w:pPr>
              <w:spacing w:after="0"/>
            </w:pPr>
            <w:r/>
            <w:r>
              <w:rPr>
                <w:rFonts w:ascii="Aptos" w:hAnsi="Aptos"/>
                <w:b w:val="0"/>
                <w:sz w:val="14"/>
              </w:rPr>
              <w:t>14,189</w:t>
            </w:r>
          </w:p>
        </w:tc>
        <w:tc>
          <w:tcPr>
            <w:tcW w:type="dxa" w:w="1008"/>
            <w:vAlign w:val="center"/>
          </w:tcPr>
          <w:p>
            <w:pPr>
              <w:spacing w:after="0"/>
            </w:pPr>
            <w:r/>
            <w:r>
              <w:rPr>
                <w:rFonts w:ascii="Aptos" w:hAnsi="Aptos"/>
                <w:b w:val="0"/>
                <w:sz w:val="14"/>
              </w:rPr>
              <w:t>36</w:t>
            </w:r>
          </w:p>
        </w:tc>
        <w:tc>
          <w:tcPr>
            <w:tcW w:type="dxa" w:w="1656"/>
            <w:vAlign w:val="center"/>
          </w:tcPr>
          <w:p>
            <w:pPr>
              <w:spacing w:after="0"/>
            </w:pPr>
            <w:r/>
            <w:r>
              <w:rPr>
                <w:rFonts w:ascii="Aptos" w:hAnsi="Aptos"/>
                <w:b w:val="0"/>
                <w:sz w:val="14"/>
              </w:rPr>
              <w:t>285,758</w:t>
            </w:r>
          </w:p>
        </w:tc>
        <w:tc>
          <w:tcPr>
            <w:tcW w:type="dxa" w:w="1872"/>
            <w:vAlign w:val="center"/>
          </w:tcPr>
          <w:p>
            <w:pPr>
              <w:spacing w:after="0"/>
            </w:pPr>
            <w:r/>
            <w:r>
              <w:rPr>
                <w:rFonts w:ascii="Aptos" w:hAnsi="Aptos"/>
                <w:b w:val="0"/>
                <w:sz w:val="14"/>
              </w:rPr>
              <w:t>0</w:t>
            </w:r>
          </w:p>
        </w:tc>
      </w:tr>
    </w:tbl>
    <w:p>
      <w:pPr>
        <w:spacing w:after="0"/>
      </w:pPr>
    </w:p>
    <w:p>
      <w:r>
        <w:t>The independent verifier replayed 809,183 table states with zero Bellman/rank mismatch. Its independently generated edge counts and FNV graph checksums exactly match the producer for all three tables. A fresh-directory rerun reproduced seven principal output artifacts byte-for-byte.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vAlign w:val="center"/>
            <w:shd w:fill="D9EAF7"/>
          </w:tcPr>
          <w:p>
            <w:pPr>
              <w:spacing w:after="0"/>
            </w:pPr>
            <w:r/>
            <w:r>
              <w:rPr>
                <w:rFonts w:ascii="Aptos" w:hAnsi="Aptos"/>
                <w:b/>
                <w:sz w:val="16"/>
              </w:rPr>
              <w:t>Arena</w:t>
            </w:r>
          </w:p>
        </w:tc>
        <w:tc>
          <w:tcPr>
            <w:tcW w:type="dxa" w:w="3600"/>
            <w:vAlign w:val="center"/>
            <w:shd w:fill="D9EAF7"/>
          </w:tcPr>
          <w:p>
            <w:pPr>
              <w:spacing w:after="0"/>
            </w:pPr>
            <w:r/>
            <w:r>
              <w:rPr>
                <w:rFonts w:ascii="Aptos" w:hAnsi="Aptos"/>
                <w:b/>
                <w:sz w:val="16"/>
              </w:rPr>
              <w:t>Truth FNV64</w:t>
            </w:r>
          </w:p>
        </w:tc>
        <w:tc>
          <w:tcPr>
            <w:tcW w:type="dxa" w:w="3600"/>
            <w:vAlign w:val="center"/>
            <w:shd w:fill="D9EAF7"/>
          </w:tcPr>
          <w:p>
            <w:pPr>
              <w:spacing w:after="0"/>
            </w:pPr>
            <w:r/>
            <w:r>
              <w:rPr>
                <w:rFonts w:ascii="Aptos" w:hAnsi="Aptos"/>
                <w:b/>
                <w:sz w:val="16"/>
              </w:rPr>
              <w:t>Edge FNV64 A/B</w:t>
            </w:r>
          </w:p>
        </w:tc>
      </w:tr>
      <w:tr>
        <w:trPr>
          <w:cantSplit/>
        </w:trPr>
        <w:tc>
          <w:tcPr>
            <w:tcW w:type="dxa" w:w="1728"/>
            <w:vAlign w:val="center"/>
          </w:tcPr>
          <w:p>
            <w:pPr>
              <w:spacing w:after="0"/>
            </w:pPr>
            <w:r/>
            <w:r>
              <w:rPr>
                <w:rFonts w:ascii="Aptos" w:hAnsi="Aptos"/>
                <w:b w:val="0"/>
                <w:sz w:val="16"/>
              </w:rPr>
              <w:t>KQK</w:t>
            </w:r>
          </w:p>
        </w:tc>
        <w:tc>
          <w:tcPr>
            <w:tcW w:type="dxa" w:w="3600"/>
            <w:vAlign w:val="center"/>
          </w:tcPr>
          <w:p>
            <w:pPr>
              <w:spacing w:after="0"/>
            </w:pPr>
            <w:r/>
            <w:r>
              <w:rPr>
                <w:rFonts w:ascii="Aptos" w:hAnsi="Aptos"/>
                <w:b w:val="0"/>
                <w:sz w:val="16"/>
              </w:rPr>
              <w:t>d0b275b8cb22e29d</w:t>
            </w:r>
          </w:p>
        </w:tc>
        <w:tc>
          <w:tcPr>
            <w:tcW w:type="dxa" w:w="3600"/>
            <w:vAlign w:val="center"/>
          </w:tcPr>
          <w:p>
            <w:pPr>
              <w:spacing w:after="0"/>
            </w:pPr>
            <w:r/>
            <w:r>
              <w:rPr>
                <w:rFonts w:ascii="Aptos" w:hAnsi="Aptos"/>
                <w:b w:val="0"/>
                <w:sz w:val="16"/>
              </w:rPr>
              <w:t>52d331cd50ac23e9</w:t>
            </w:r>
          </w:p>
        </w:tc>
      </w:tr>
      <w:tr>
        <w:trPr>
          <w:cantSplit/>
        </w:trPr>
        <w:tc>
          <w:tcPr>
            <w:tcW w:type="dxa" w:w="1728"/>
            <w:vAlign w:val="center"/>
          </w:tcPr>
          <w:p>
            <w:pPr>
              <w:spacing w:after="0"/>
            </w:pPr>
            <w:r/>
            <w:r>
              <w:rPr>
                <w:rFonts w:ascii="Aptos" w:hAnsi="Aptos"/>
                <w:b w:val="0"/>
                <w:sz w:val="16"/>
              </w:rPr>
              <w:t>KRK</w:t>
            </w:r>
          </w:p>
        </w:tc>
        <w:tc>
          <w:tcPr>
            <w:tcW w:type="dxa" w:w="3600"/>
            <w:vAlign w:val="center"/>
          </w:tcPr>
          <w:p>
            <w:pPr>
              <w:spacing w:after="0"/>
            </w:pPr>
            <w:r/>
            <w:r>
              <w:rPr>
                <w:rFonts w:ascii="Aptos" w:hAnsi="Aptos"/>
                <w:b w:val="0"/>
                <w:sz w:val="16"/>
              </w:rPr>
              <w:t>2b2148e736f682c1</w:t>
            </w:r>
          </w:p>
        </w:tc>
        <w:tc>
          <w:tcPr>
            <w:tcW w:type="dxa" w:w="3600"/>
            <w:vAlign w:val="center"/>
          </w:tcPr>
          <w:p>
            <w:pPr>
              <w:spacing w:after="0"/>
            </w:pPr>
            <w:r/>
            <w:r>
              <w:rPr>
                <w:rFonts w:ascii="Aptos" w:hAnsi="Aptos"/>
                <w:b w:val="0"/>
                <w:sz w:val="16"/>
              </w:rPr>
              <w:t>0b1b0d9d0d047838</w:t>
            </w:r>
          </w:p>
        </w:tc>
      </w:tr>
      <w:tr>
        <w:trPr>
          <w:cantSplit/>
        </w:trPr>
        <w:tc>
          <w:tcPr>
            <w:tcW w:type="dxa" w:w="1728"/>
            <w:vAlign w:val="center"/>
          </w:tcPr>
          <w:p>
            <w:pPr>
              <w:spacing w:after="0"/>
            </w:pPr>
            <w:r/>
            <w:r>
              <w:rPr>
                <w:rFonts w:ascii="Aptos" w:hAnsi="Aptos"/>
                <w:b w:val="0"/>
                <w:sz w:val="16"/>
              </w:rPr>
              <w:t>KPK</w:t>
            </w:r>
          </w:p>
        </w:tc>
        <w:tc>
          <w:tcPr>
            <w:tcW w:type="dxa" w:w="3600"/>
            <w:vAlign w:val="center"/>
          </w:tcPr>
          <w:p>
            <w:pPr>
              <w:spacing w:after="0"/>
            </w:pPr>
            <w:r/>
            <w:r>
              <w:rPr>
                <w:rFonts w:ascii="Aptos" w:hAnsi="Aptos"/>
                <w:b w:val="0"/>
                <w:sz w:val="16"/>
              </w:rPr>
              <w:t>5096d7ac7945bdc8</w:t>
            </w:r>
          </w:p>
        </w:tc>
        <w:tc>
          <w:tcPr>
            <w:tcW w:type="dxa" w:w="3600"/>
            <w:vAlign w:val="center"/>
          </w:tcPr>
          <w:p>
            <w:pPr>
              <w:spacing w:after="0"/>
            </w:pPr>
            <w:r/>
            <w:r>
              <w:rPr>
                <w:rFonts w:ascii="Aptos" w:hAnsi="Aptos"/>
                <w:b w:val="0"/>
                <w:sz w:val="16"/>
              </w:rPr>
              <w:t>0d85f51438a4ddd7</w:t>
            </w:r>
          </w:p>
        </w:tc>
      </w:tr>
    </w:tbl>
    <w:p>
      <w:pPr>
        <w:spacing w:after="0"/>
      </w:pPr>
    </w:p>
    <w:p>
      <w:pPr>
        <w:pStyle w:val="Heading1"/>
      </w:pPr>
      <w:r>
        <w:t>8. Why the clean-root tables are final-rule truths, not merely old-style board tables</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EEF5FB"/>
          </w:tcPr>
          <w:p>
            <w:pPr>
              <w:spacing w:after="40"/>
            </w:pPr>
            <w:r/>
            <w:r>
              <w:rPr>
                <w:b/>
                <w:sz w:val="20"/>
              </w:rPr>
              <w:t>G12.CLEAN-RANK-SAFETY</w:t>
            </w:r>
          </w:p>
          <w:p>
            <w:pPr>
              <w:spacing w:after="0"/>
            </w:pPr>
            <w:r>
              <w:rPr>
                <w:sz w:val="18"/>
              </w:rPr>
              <w:t>For a clean root with halfmove_clock=0 and current repetition count 1, if the certified White-winning strategy strictly decreases an exact attractor rank and the maximum winning rank is below 100 plies, then neither threefold repetition nor the 50/75-move rules can preempt the certified mate. Strict rank decrease forbids a repeated full repetition key; the path is too short to reach a 50-move claim threshold. This is a reusable sufficient condition, not a claim about arbitrary history-decorated copies of the same board.</w:t>
            </w:r>
          </w:p>
        </w:tc>
      </w:tr>
    </w:tbl>
    <w:p>
      <w:pPr>
        <w:spacing w:after="0"/>
      </w:pPr>
    </w:p>
    <w:p>
      <w:r>
        <w:t>All three accepted clean-root arenas satisfy this condition: maximum ranks are 20, 32 and 36 plies respectively. On White winning states, White chooses a lower-rank child; on Black turns every legal child is winning and has rank at most the parent rank minus one. Therefore rank decreases on every ply against every Black reply. KPK pawn moves only reset the halfmove clock further. Promotions continue into the exact Q/R tables; bishop/knight promotion exits are exact dead draws, not automatic wins.</w:t>
      </w:r>
    </w:p>
    <w:p>
      <w:pPr>
        <w:pStyle w:val="Heading1"/>
      </w:pPr>
      <w:r>
        <w:t>9. Historical KPK regression without rewriting history</w:t>
      </w:r>
    </w:p>
    <w:p>
      <w:r>
        <w:t>The a-file KPK table was chosen in part because an older exact G7 dependency provides a meaningful checksum. After file reflection, G12 reproduces the continuation-aware G7 result exactly: 41,619 states = 27,430 White wins + 14,189 draws. G7 also recorded 29,520 / 12,099 when promotion alone was treated as an immediate White-winning terminal. G12 does not call that historical number erroneous; it remains exact under its declared promotion-terminal diagnostic model. The G12 final-rule anchor uses semantic continuation through promoted material and therefore matches the continuation-aware split.</w:t>
      </w:r>
    </w:p>
    <w:p>
      <w:pPr>
        <w:pStyle w:val="Heading1"/>
      </w:pPr>
      <w:r>
        <w:t>10. History-sensitive exact controls: identical board, different truth</w:t>
      </w:r>
    </w:p>
    <w:p>
      <w:r>
        <w:t>G12 deliberately constructs history-decorated controls to falsify any temptation to reuse board-only truth as full-state truth. These are arena-admissible state tests; no claim is made that every seeded repetition map is reachable from the standard initial position.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656"/>
            <w:vAlign w:val="center"/>
            <w:shd w:fill="D9EAF7"/>
          </w:tcPr>
          <w:p>
            <w:pPr>
              <w:spacing w:after="0"/>
            </w:pPr>
            <w:r/>
            <w:r>
              <w:rPr>
                <w:rFonts w:ascii="Aptos" w:hAnsi="Aptos"/>
                <w:b/>
                <w:sz w:val="14"/>
              </w:rPr>
              <w:t>Control</w:t>
            </w:r>
          </w:p>
        </w:tc>
        <w:tc>
          <w:tcPr>
            <w:tcW w:type="dxa" w:w="3600"/>
            <w:vAlign w:val="center"/>
            <w:shd w:fill="D9EAF7"/>
          </w:tcPr>
          <w:p>
            <w:pPr>
              <w:spacing w:after="0"/>
            </w:pPr>
            <w:r/>
            <w:r>
              <w:rPr>
                <w:rFonts w:ascii="Aptos" w:hAnsi="Aptos"/>
                <w:b/>
                <w:sz w:val="14"/>
              </w:rPr>
              <w:t>Clean board truth</w:t>
            </w:r>
          </w:p>
        </w:tc>
        <w:tc>
          <w:tcPr>
            <w:tcW w:type="dxa" w:w="2592"/>
            <w:vAlign w:val="center"/>
            <w:shd w:fill="D9EAF7"/>
          </w:tcPr>
          <w:p>
            <w:pPr>
              <w:spacing w:after="0"/>
            </w:pPr>
            <w:r/>
            <w:r>
              <w:rPr>
                <w:rFonts w:ascii="Aptos" w:hAnsi="Aptos"/>
                <w:b/>
                <w:sz w:val="14"/>
              </w:rPr>
              <w:t>History decoration</w:t>
            </w:r>
          </w:p>
        </w:tc>
        <w:tc>
          <w:tcPr>
            <w:tcW w:type="dxa" w:w="3240"/>
            <w:vAlign w:val="center"/>
            <w:shd w:fill="D9EAF7"/>
          </w:tcPr>
          <w:p>
            <w:pPr>
              <w:spacing w:after="0"/>
            </w:pPr>
            <w:r/>
            <w:r>
              <w:rPr>
                <w:rFonts w:ascii="Aptos" w:hAnsi="Aptos"/>
                <w:b/>
                <w:sz w:val="14"/>
              </w:rPr>
              <w:t>Exact full-rule consequence</w:t>
            </w:r>
          </w:p>
        </w:tc>
      </w:tr>
      <w:tr>
        <w:trPr>
          <w:cantSplit/>
        </w:trPr>
        <w:tc>
          <w:tcPr>
            <w:tcW w:type="dxa" w:w="1656"/>
            <w:vAlign w:val="center"/>
          </w:tcPr>
          <w:p>
            <w:pPr>
              <w:spacing w:after="0"/>
            </w:pPr>
            <w:r/>
            <w:r>
              <w:rPr>
                <w:rFonts w:ascii="Aptos" w:hAnsi="Aptos"/>
                <w:b w:val="0"/>
                <w:sz w:val="14"/>
              </w:rPr>
              <w:t>Threefold now</w:t>
            </w:r>
          </w:p>
        </w:tc>
        <w:tc>
          <w:tcPr>
            <w:tcW w:type="dxa" w:w="3600"/>
            <w:vAlign w:val="center"/>
          </w:tcPr>
          <w:p>
            <w:pPr>
              <w:spacing w:after="0"/>
            </w:pPr>
            <w:r/>
            <w:r>
              <w:rPr>
                <w:rFonts w:ascii="Aptos" w:hAnsi="Aptos"/>
                <w:b w:val="0"/>
                <w:sz w:val="14"/>
              </w:rPr>
              <w:t>8/8/8/8/8/8/8/QK1k4 b - - 0 1</w:t>
            </w:r>
          </w:p>
        </w:tc>
        <w:tc>
          <w:tcPr>
            <w:tcW w:type="dxa" w:w="2592"/>
            <w:vAlign w:val="center"/>
          </w:tcPr>
          <w:p>
            <w:pPr>
              <w:spacing w:after="0"/>
            </w:pPr>
            <w:r/>
            <w:r>
              <w:rPr>
                <w:rFonts w:ascii="Aptos" w:hAnsi="Aptos"/>
                <w:b w:val="0"/>
                <w:sz w:val="14"/>
              </w:rPr>
              <w:t>Black to move; current REP count = 3</w:t>
            </w:r>
          </w:p>
        </w:tc>
        <w:tc>
          <w:tcPr>
            <w:tcW w:type="dxa" w:w="3240"/>
            <w:vAlign w:val="center"/>
          </w:tcPr>
          <w:p>
            <w:pPr>
              <w:spacing w:after="0"/>
            </w:pPr>
            <w:r/>
            <w:r>
              <w:rPr>
                <w:rFonts w:ascii="Aptos" w:hAnsi="Aptos"/>
                <w:b w:val="0"/>
                <w:sz w:val="14"/>
              </w:rPr>
              <w:t>Black has CLAIM_3_NOW; DRAW instead of forced White win.</w:t>
            </w:r>
          </w:p>
        </w:tc>
      </w:tr>
      <w:tr>
        <w:trPr>
          <w:cantSplit/>
        </w:trPr>
        <w:tc>
          <w:tcPr>
            <w:tcW w:type="dxa" w:w="1656"/>
            <w:vAlign w:val="center"/>
          </w:tcPr>
          <w:p>
            <w:pPr>
              <w:spacing w:after="0"/>
            </w:pPr>
            <w:r/>
            <w:r>
              <w:rPr>
                <w:rFonts w:ascii="Aptos" w:hAnsi="Aptos"/>
                <w:b w:val="0"/>
                <w:sz w:val="14"/>
              </w:rPr>
              <w:t>50-move now</w:t>
            </w:r>
          </w:p>
        </w:tc>
        <w:tc>
          <w:tcPr>
            <w:tcW w:type="dxa" w:w="3600"/>
            <w:vAlign w:val="center"/>
          </w:tcPr>
          <w:p>
            <w:pPr>
              <w:spacing w:after="0"/>
            </w:pPr>
            <w:r/>
            <w:r>
              <w:rPr>
                <w:rFonts w:ascii="Aptos" w:hAnsi="Aptos"/>
                <w:b w:val="0"/>
                <w:sz w:val="14"/>
              </w:rPr>
              <w:t>8/8/8/8/8/8/8/QK1k4 b - - 0 1</w:t>
            </w:r>
          </w:p>
        </w:tc>
        <w:tc>
          <w:tcPr>
            <w:tcW w:type="dxa" w:w="2592"/>
            <w:vAlign w:val="center"/>
          </w:tcPr>
          <w:p>
            <w:pPr>
              <w:spacing w:after="0"/>
            </w:pPr>
            <w:r/>
            <w:r>
              <w:rPr>
                <w:rFonts w:ascii="Aptos" w:hAnsi="Aptos"/>
                <w:b w:val="0"/>
                <w:sz w:val="14"/>
              </w:rPr>
              <w:t>Black to move; halfmove=100</w:t>
            </w:r>
          </w:p>
        </w:tc>
        <w:tc>
          <w:tcPr>
            <w:tcW w:type="dxa" w:w="3240"/>
            <w:vAlign w:val="center"/>
          </w:tcPr>
          <w:p>
            <w:pPr>
              <w:spacing w:after="0"/>
            </w:pPr>
            <w:r/>
            <w:r>
              <w:rPr>
                <w:rFonts w:ascii="Aptos" w:hAnsi="Aptos"/>
                <w:b w:val="0"/>
                <w:sz w:val="14"/>
              </w:rPr>
              <w:t>Black has CLAIM_50_NOW; DRAW.</w:t>
            </w:r>
          </w:p>
        </w:tc>
      </w:tr>
      <w:tr>
        <w:trPr>
          <w:cantSplit/>
        </w:trPr>
        <w:tc>
          <w:tcPr>
            <w:tcW w:type="dxa" w:w="1656"/>
            <w:vAlign w:val="center"/>
          </w:tcPr>
          <w:p>
            <w:pPr>
              <w:spacing w:after="0"/>
            </w:pPr>
            <w:r/>
            <w:r>
              <w:rPr>
                <w:rFonts w:ascii="Aptos" w:hAnsi="Aptos"/>
                <w:b w:val="0"/>
                <w:sz w:val="14"/>
              </w:rPr>
              <w:t>75-move boundary</w:t>
            </w:r>
          </w:p>
        </w:tc>
        <w:tc>
          <w:tcPr>
            <w:tcW w:type="dxa" w:w="3600"/>
            <w:vAlign w:val="center"/>
          </w:tcPr>
          <w:p>
            <w:pPr>
              <w:spacing w:after="0"/>
            </w:pPr>
            <w:r/>
            <w:r>
              <w:rPr>
                <w:rFonts w:ascii="Aptos" w:hAnsi="Aptos"/>
                <w:b w:val="0"/>
                <w:sz w:val="14"/>
              </w:rPr>
              <w:t>8/8/8/8/8/8/8/QK1k4 w - - 0 1</w:t>
            </w:r>
          </w:p>
        </w:tc>
        <w:tc>
          <w:tcPr>
            <w:tcW w:type="dxa" w:w="2592"/>
            <w:vAlign w:val="center"/>
          </w:tcPr>
          <w:p>
            <w:pPr>
              <w:spacing w:after="0"/>
            </w:pPr>
            <w:r/>
            <w:r>
              <w:rPr>
                <w:rFonts w:ascii="Aptos" w:hAnsi="Aptos"/>
                <w:b w:val="0"/>
                <w:sz w:val="14"/>
              </w:rPr>
              <w:t>White to move; halfmove=149; 16 legal moves; clean rank 9</w:t>
            </w:r>
          </w:p>
        </w:tc>
        <w:tc>
          <w:tcPr>
            <w:tcW w:type="dxa" w:w="3240"/>
            <w:vAlign w:val="center"/>
          </w:tcPr>
          <w:p>
            <w:pPr>
              <w:spacing w:after="0"/>
            </w:pPr>
            <w:r/>
            <w:r>
              <w:rPr>
                <w:rFonts w:ascii="Aptos" w:hAnsi="Aptos"/>
                <w:b w:val="0"/>
                <w:sz w:val="14"/>
              </w:rPr>
              <w:t>No mate in one; every move is a draw by higher terminal or automatic 75-move rule; root DRAW.</w:t>
            </w:r>
          </w:p>
        </w:tc>
      </w:tr>
      <w:tr>
        <w:trPr>
          <w:cantSplit/>
        </w:trPr>
        <w:tc>
          <w:tcPr>
            <w:tcW w:type="dxa" w:w="1656"/>
            <w:vAlign w:val="center"/>
          </w:tcPr>
          <w:p>
            <w:pPr>
              <w:spacing w:after="0"/>
            </w:pPr>
            <w:r/>
            <w:r>
              <w:rPr>
                <w:rFonts w:ascii="Aptos" w:hAnsi="Aptos"/>
                <w:b w:val="0"/>
                <w:sz w:val="14"/>
              </w:rPr>
              <w:t>Intended claims</w:t>
            </w:r>
          </w:p>
        </w:tc>
        <w:tc>
          <w:tcPr>
            <w:tcW w:type="dxa" w:w="3600"/>
            <w:vAlign w:val="center"/>
          </w:tcPr>
          <w:p>
            <w:pPr>
              <w:spacing w:after="0"/>
            </w:pPr>
            <w:r/>
            <w:r>
              <w:rPr>
                <w:rFonts w:ascii="Aptos" w:hAnsi="Aptos"/>
                <w:b w:val="0"/>
                <w:sz w:val="14"/>
              </w:rPr>
              <w:t>same KQK control</w:t>
            </w:r>
          </w:p>
        </w:tc>
        <w:tc>
          <w:tcPr>
            <w:tcW w:type="dxa" w:w="2592"/>
            <w:vAlign w:val="center"/>
          </w:tcPr>
          <w:p>
            <w:pPr>
              <w:spacing w:after="0"/>
            </w:pPr>
            <w:r/>
            <w:r>
              <w:rPr>
                <w:rFonts w:ascii="Aptos" w:hAnsi="Aptos"/>
                <w:b w:val="0"/>
                <w:sz w:val="14"/>
              </w:rPr>
              <w:t>a1a2 with target count 2 / halfmove 99</w:t>
            </w:r>
          </w:p>
        </w:tc>
        <w:tc>
          <w:tcPr>
            <w:tcW w:type="dxa" w:w="3240"/>
            <w:vAlign w:val="center"/>
          </w:tcPr>
          <w:p>
            <w:pPr>
              <w:spacing w:after="0"/>
            </w:pPr>
            <w:r/>
            <w:r>
              <w:rPr>
                <w:rFonts w:ascii="Aptos" w:hAnsi="Aptos"/>
                <w:b w:val="0"/>
                <w:sz w:val="14"/>
              </w:rPr>
              <w:t>Threefold-by-move and 50-by-move claims both available.</w:t>
            </w:r>
          </w:p>
        </w:tc>
      </w:tr>
      <w:tr>
        <w:trPr>
          <w:cantSplit/>
        </w:trPr>
        <w:tc>
          <w:tcPr>
            <w:tcW w:type="dxa" w:w="1656"/>
            <w:vAlign w:val="center"/>
          </w:tcPr>
          <w:p>
            <w:pPr>
              <w:spacing w:after="0"/>
            </w:pPr>
            <w:r/>
            <w:r>
              <w:rPr>
                <w:rFonts w:ascii="Aptos" w:hAnsi="Aptos"/>
                <w:b w:val="0"/>
                <w:sz w:val="14"/>
              </w:rPr>
              <w:t>Fivefold</w:t>
            </w:r>
          </w:p>
        </w:tc>
        <w:tc>
          <w:tcPr>
            <w:tcW w:type="dxa" w:w="3600"/>
            <w:vAlign w:val="center"/>
          </w:tcPr>
          <w:p>
            <w:pPr>
              <w:spacing w:after="0"/>
            </w:pPr>
            <w:r/>
            <w:r>
              <w:rPr>
                <w:rFonts w:ascii="Aptos" w:hAnsi="Aptos"/>
                <w:b w:val="0"/>
                <w:sz w:val="14"/>
              </w:rPr>
              <w:t>same KQK control</w:t>
            </w:r>
          </w:p>
        </w:tc>
        <w:tc>
          <w:tcPr>
            <w:tcW w:type="dxa" w:w="2592"/>
            <w:vAlign w:val="center"/>
          </w:tcPr>
          <w:p>
            <w:pPr>
              <w:spacing w:after="0"/>
            </w:pPr>
            <w:r/>
            <w:r>
              <w:rPr>
                <w:rFonts w:ascii="Aptos" w:hAnsi="Aptos"/>
                <w:b w:val="0"/>
                <w:sz w:val="14"/>
              </w:rPr>
              <w:t>a1a2 with target prior count 4</w:t>
            </w:r>
          </w:p>
        </w:tc>
        <w:tc>
          <w:tcPr>
            <w:tcW w:type="dxa" w:w="3240"/>
            <w:vAlign w:val="center"/>
          </w:tcPr>
          <w:p>
            <w:pPr>
              <w:spacing w:after="0"/>
            </w:pPr>
            <w:r/>
            <w:r>
              <w:rPr>
                <w:rFonts w:ascii="Aptos" w:hAnsi="Aptos"/>
                <w:b w:val="0"/>
                <w:sz w:val="14"/>
              </w:rPr>
              <w:t>Successor count 5; automatic DRAW_FIVEFOLD.</w:t>
            </w:r>
          </w:p>
        </w:tc>
      </w:tr>
      <w:tr>
        <w:trPr>
          <w:cantSplit/>
        </w:trPr>
        <w:tc>
          <w:tcPr>
            <w:tcW w:type="dxa" w:w="1656"/>
            <w:vAlign w:val="center"/>
          </w:tcPr>
          <w:p>
            <w:pPr>
              <w:spacing w:after="0"/>
            </w:pPr>
            <w:r/>
            <w:r>
              <w:rPr>
                <w:rFonts w:ascii="Aptos" w:hAnsi="Aptos"/>
                <w:b w:val="0"/>
                <w:sz w:val="14"/>
              </w:rPr>
              <w:t>Mate at 150</w:t>
            </w:r>
          </w:p>
        </w:tc>
        <w:tc>
          <w:tcPr>
            <w:tcW w:type="dxa" w:w="3600"/>
            <w:vAlign w:val="center"/>
          </w:tcPr>
          <w:p>
            <w:pPr>
              <w:spacing w:after="0"/>
            </w:pPr>
            <w:r/>
            <w:r>
              <w:rPr>
                <w:rFonts w:ascii="Aptos" w:hAnsi="Aptos"/>
                <w:b w:val="0"/>
                <w:sz w:val="14"/>
              </w:rPr>
              <w:t>7k/5Q2/7K/8/8/8/8/8 w - - 149 1</w:t>
            </w:r>
          </w:p>
        </w:tc>
        <w:tc>
          <w:tcPr>
            <w:tcW w:type="dxa" w:w="2592"/>
            <w:vAlign w:val="center"/>
          </w:tcPr>
          <w:p>
            <w:pPr>
              <w:spacing w:after="0"/>
            </w:pPr>
            <w:r/>
            <w:r>
              <w:rPr>
                <w:rFonts w:ascii="Aptos" w:hAnsi="Aptos"/>
                <w:b w:val="0"/>
                <w:sz w:val="14"/>
              </w:rPr>
              <w:t>f7g7</w:t>
            </w:r>
          </w:p>
        </w:tc>
        <w:tc>
          <w:tcPr>
            <w:tcW w:type="dxa" w:w="3240"/>
            <w:vAlign w:val="center"/>
          </w:tcPr>
          <w:p>
            <w:pPr>
              <w:spacing w:after="0"/>
            </w:pPr>
            <w:r/>
            <w:r>
              <w:rPr>
                <w:rFonts w:ascii="Aptos" w:hAnsi="Aptos"/>
                <w:b w:val="0"/>
                <w:sz w:val="14"/>
              </w:rPr>
              <w:t>Successor halfmove=150 but move is checkmate; CHECKMATE wins by precedence.</w:t>
            </w:r>
          </w:p>
        </w:tc>
      </w:tr>
    </w:tbl>
    <w:p>
      <w:pPr>
        <w:spacing w:after="0"/>
      </w:pPr>
    </w:p>
    <w:tbl>
      <w:tblPr>
        <w:tblStyle w:val="TableGrid"/>
        <w:tblW w:type="auto" w:w="0"/>
        <w:tblLook w:firstColumn="1" w:firstRow="1" w:lastColumn="0" w:lastRow="0" w:noHBand="0" w:noVBand="1" w:val="04A0"/>
      </w:tblPr>
      <w:tblGrid>
        <w:gridCol w:w="10166"/>
      </w:tblGrid>
      <w:tr>
        <w:trPr>
          <w:tblHeader w:val="true"/>
          <w:cantSplit/>
        </w:trPr>
        <w:tc>
          <w:tcPr>
            <w:tcW w:type="dxa" w:w="10166"/>
            <w:shd w:fill="FFF2CC"/>
          </w:tcPr>
          <w:p>
            <w:pPr>
              <w:spacing w:after="40"/>
            </w:pPr>
            <w:r/>
            <w:r>
              <w:rPr>
                <w:b/>
                <w:sz w:val="20"/>
              </w:rPr>
              <w:t>KEY NEGATIVE RESULT</w:t>
            </w:r>
          </w:p>
          <w:p>
            <w:pPr>
              <w:spacing w:after="0"/>
            </w:pPr>
            <w:r>
              <w:rPr>
                <w:sz w:val="18"/>
              </w:rPr>
              <w:t>Board-only W/D identity is definitively unsafe under the final rules. G12 contains explicit states whose board placement is a certified clean KQK White win but whose legal history metadata gives Black an immediate draw claim or forces an automatic draw. This supports, rather than weakens, the G10 state model.</w:t>
            </w:r>
          </w:p>
        </w:tc>
      </w:tr>
    </w:tbl>
    <w:p>
      <w:pPr>
        <w:spacing w:after="0"/>
      </w:pPr>
    </w:p>
    <w:p>
      <w:pPr>
        <w:pStyle w:val="Heading1"/>
      </w:pPr>
      <w:r>
        <w:t>11. Exact DEAD certification: same-colour K+2B vs K</w:t>
      </w:r>
    </w:p>
    <w:p>
      <w:r>
        <w:t>G12’s dead-position obligation is met with a family that cannot be discharged merely by calling a library “insufficient material” helper. The arena contains White king, Black king and two indistinguishable White bishops constrained to the same colour complex. Both turns are represented.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240"/>
            <w:vAlign w:val="center"/>
            <w:shd w:fill="D9EAF7"/>
          </w:tcPr>
          <w:p>
            <w:pPr>
              <w:spacing w:after="0"/>
            </w:pPr>
            <w:r/>
            <w:r>
              <w:rPr>
                <w:rFonts w:ascii="Aptos" w:hAnsi="Aptos"/>
                <w:b/>
                <w:sz w:val="15"/>
              </w:rPr>
              <w:t>Quantity</w:t>
            </w:r>
          </w:p>
        </w:tc>
        <w:tc>
          <w:tcPr>
            <w:tcW w:type="dxa" w:w="3240"/>
            <w:vAlign w:val="center"/>
            <w:shd w:fill="D9EAF7"/>
          </w:tcPr>
          <w:p>
            <w:pPr>
              <w:spacing w:after="0"/>
            </w:pPr>
            <w:r/>
            <w:r>
              <w:rPr>
                <w:rFonts w:ascii="Aptos" w:hAnsi="Aptos"/>
                <w:b/>
                <w:sz w:val="15"/>
              </w:rPr>
              <w:t>Producer</w:t>
            </w:r>
          </w:p>
        </w:tc>
        <w:tc>
          <w:tcPr>
            <w:tcW w:type="dxa" w:w="3240"/>
            <w:vAlign w:val="center"/>
            <w:shd w:fill="D9EAF7"/>
          </w:tcPr>
          <w:p>
            <w:pPr>
              <w:spacing w:after="0"/>
            </w:pPr>
            <w:r/>
            <w:r>
              <w:rPr>
                <w:rFonts w:ascii="Aptos" w:hAnsi="Aptos"/>
                <w:b/>
                <w:sz w:val="15"/>
              </w:rPr>
              <w:t>Independent verifier</w:t>
            </w:r>
          </w:p>
        </w:tc>
      </w:tr>
      <w:tr>
        <w:trPr>
          <w:cantSplit/>
        </w:trPr>
        <w:tc>
          <w:tcPr>
            <w:tcW w:type="dxa" w:w="3240"/>
            <w:vAlign w:val="center"/>
          </w:tcPr>
          <w:p>
            <w:pPr>
              <w:spacing w:after="0"/>
            </w:pPr>
            <w:r/>
            <w:r>
              <w:rPr>
                <w:rFonts w:ascii="Aptos" w:hAnsi="Aptos"/>
                <w:b w:val="0"/>
                <w:sz w:val="15"/>
              </w:rPr>
              <w:t>Arena-admissible states</w:t>
            </w:r>
          </w:p>
        </w:tc>
        <w:tc>
          <w:tcPr>
            <w:tcW w:type="dxa" w:w="3240"/>
            <w:vAlign w:val="center"/>
          </w:tcPr>
          <w:p>
            <w:pPr>
              <w:spacing w:after="0"/>
            </w:pPr>
            <w:r/>
            <w:r>
              <w:rPr>
                <w:rFonts w:ascii="Aptos" w:hAnsi="Aptos"/>
                <w:b w:val="0"/>
                <w:sz w:val="15"/>
              </w:rPr>
              <w:t>5,938,848</w:t>
            </w:r>
          </w:p>
        </w:tc>
        <w:tc>
          <w:tcPr>
            <w:tcW w:type="dxa" w:w="3240"/>
            <w:vAlign w:val="center"/>
          </w:tcPr>
          <w:p>
            <w:pPr>
              <w:spacing w:after="0"/>
            </w:pPr>
            <w:r/>
            <w:r>
              <w:rPr>
                <w:rFonts w:ascii="Aptos" w:hAnsi="Aptos"/>
                <w:b w:val="0"/>
                <w:sz w:val="15"/>
              </w:rPr>
              <w:t>5,938,848</w:t>
            </w:r>
          </w:p>
        </w:tc>
      </w:tr>
      <w:tr>
        <w:trPr>
          <w:cantSplit/>
        </w:trPr>
        <w:tc>
          <w:tcPr>
            <w:tcW w:type="dxa" w:w="3240"/>
            <w:vAlign w:val="center"/>
          </w:tcPr>
          <w:p>
            <w:pPr>
              <w:spacing w:after="0"/>
            </w:pPr>
            <w:r/>
            <w:r>
              <w:rPr>
                <w:rFonts w:ascii="Aptos" w:hAnsi="Aptos"/>
                <w:b w:val="0"/>
                <w:sz w:val="15"/>
              </w:rPr>
              <w:t>Black-to-move checked states</w:t>
            </w:r>
          </w:p>
        </w:tc>
        <w:tc>
          <w:tcPr>
            <w:tcW w:type="dxa" w:w="3240"/>
            <w:vAlign w:val="center"/>
          </w:tcPr>
          <w:p>
            <w:pPr>
              <w:spacing w:after="0"/>
            </w:pPr>
            <w:r/>
            <w:r>
              <w:rPr>
                <w:rFonts w:ascii="Aptos" w:hAnsi="Aptos"/>
                <w:b w:val="0"/>
                <w:sz w:val="15"/>
              </w:rPr>
              <w:t>783,048</w:t>
            </w:r>
          </w:p>
        </w:tc>
        <w:tc>
          <w:tcPr>
            <w:tcW w:type="dxa" w:w="3240"/>
            <w:vAlign w:val="center"/>
          </w:tcPr>
          <w:p>
            <w:pPr>
              <w:spacing w:after="0"/>
            </w:pPr>
            <w:r/>
            <w:r>
              <w:rPr>
                <w:rFonts w:ascii="Aptos" w:hAnsi="Aptos"/>
                <w:b w:val="0"/>
                <w:sz w:val="15"/>
              </w:rPr>
              <w:t>783,048</w:t>
            </w:r>
          </w:p>
        </w:tc>
      </w:tr>
      <w:tr>
        <w:trPr>
          <w:cantSplit/>
        </w:trPr>
        <w:tc>
          <w:tcPr>
            <w:tcW w:type="dxa" w:w="3240"/>
            <w:vAlign w:val="center"/>
          </w:tcPr>
          <w:p>
            <w:pPr>
              <w:spacing w:after="0"/>
            </w:pPr>
            <w:r/>
            <w:r>
              <w:rPr>
                <w:rFonts w:ascii="Aptos" w:hAnsi="Aptos"/>
                <w:b w:val="0"/>
                <w:sz w:val="15"/>
              </w:rPr>
              <w:t>Checked-state evasion edges</w:t>
            </w:r>
          </w:p>
        </w:tc>
        <w:tc>
          <w:tcPr>
            <w:tcW w:type="dxa" w:w="3240"/>
            <w:vAlign w:val="center"/>
          </w:tcPr>
          <w:p>
            <w:pPr>
              <w:spacing w:after="0"/>
            </w:pPr>
            <w:r/>
            <w:r>
              <w:rPr>
                <w:rFonts w:ascii="Aptos" w:hAnsi="Aptos"/>
                <w:b w:val="0"/>
                <w:sz w:val="15"/>
              </w:rPr>
              <w:t>3,715,916</w:t>
            </w:r>
          </w:p>
        </w:tc>
        <w:tc>
          <w:tcPr>
            <w:tcW w:type="dxa" w:w="3240"/>
            <w:vAlign w:val="center"/>
          </w:tcPr>
          <w:p>
            <w:pPr>
              <w:spacing w:after="0"/>
            </w:pPr>
            <w:r/>
            <w:r>
              <w:rPr>
                <w:rFonts w:ascii="Aptos" w:hAnsi="Aptos"/>
                <w:b w:val="0"/>
                <w:sz w:val="15"/>
              </w:rPr>
              <w:t>3,715,916</w:t>
            </w:r>
          </w:p>
        </w:tc>
      </w:tr>
      <w:tr>
        <w:trPr>
          <w:cantSplit/>
        </w:trPr>
        <w:tc>
          <w:tcPr>
            <w:tcW w:type="dxa" w:w="3240"/>
            <w:vAlign w:val="center"/>
          </w:tcPr>
          <w:p>
            <w:pPr>
              <w:spacing w:after="0"/>
            </w:pPr>
            <w:r/>
            <w:r>
              <w:rPr>
                <w:rFonts w:ascii="Aptos" w:hAnsi="Aptos"/>
                <w:b w:val="0"/>
                <w:sz w:val="15"/>
              </w:rPr>
              <w:t>Bishop-capture evasion edges</w:t>
            </w:r>
          </w:p>
        </w:tc>
        <w:tc>
          <w:tcPr>
            <w:tcW w:type="dxa" w:w="3240"/>
            <w:vAlign w:val="center"/>
          </w:tcPr>
          <w:p>
            <w:pPr>
              <w:spacing w:after="0"/>
            </w:pPr>
            <w:r/>
            <w:r>
              <w:rPr>
                <w:rFonts w:ascii="Aptos" w:hAnsi="Aptos"/>
                <w:b w:val="0"/>
                <w:sz w:val="15"/>
              </w:rPr>
              <w:t>217,432</w:t>
            </w:r>
          </w:p>
        </w:tc>
        <w:tc>
          <w:tcPr>
            <w:tcW w:type="dxa" w:w="3240"/>
            <w:vAlign w:val="center"/>
          </w:tcPr>
          <w:p>
            <w:pPr>
              <w:spacing w:after="0"/>
            </w:pPr>
            <w:r/>
            <w:r>
              <w:rPr>
                <w:rFonts w:ascii="Aptos" w:hAnsi="Aptos"/>
                <w:b w:val="0"/>
                <w:sz w:val="15"/>
              </w:rPr>
              <w:t>217,432</w:t>
            </w:r>
          </w:p>
        </w:tc>
      </w:tr>
      <w:tr>
        <w:trPr>
          <w:cantSplit/>
        </w:trPr>
        <w:tc>
          <w:tcPr>
            <w:tcW w:type="dxa" w:w="3240"/>
            <w:vAlign w:val="center"/>
          </w:tcPr>
          <w:p>
            <w:pPr>
              <w:spacing w:after="0"/>
            </w:pPr>
            <w:r/>
            <w:r>
              <w:rPr>
                <w:rFonts w:ascii="Aptos" w:hAnsi="Aptos"/>
                <w:b w:val="0"/>
                <w:sz w:val="15"/>
              </w:rPr>
              <w:t>Checkmates</w:t>
            </w:r>
          </w:p>
        </w:tc>
        <w:tc>
          <w:tcPr>
            <w:tcW w:type="dxa" w:w="3240"/>
            <w:vAlign w:val="center"/>
          </w:tcPr>
          <w:p>
            <w:pPr>
              <w:spacing w:after="0"/>
            </w:pPr>
            <w:r/>
            <w:r>
              <w:rPr>
                <w:rFonts w:ascii="Aptos" w:hAnsi="Aptos"/>
                <w:b w:val="0"/>
                <w:sz w:val="15"/>
              </w:rPr>
              <w:t>0</w:t>
            </w:r>
          </w:p>
        </w:tc>
        <w:tc>
          <w:tcPr>
            <w:tcW w:type="dxa" w:w="3240"/>
            <w:vAlign w:val="center"/>
          </w:tcPr>
          <w:p>
            <w:pPr>
              <w:spacing w:after="0"/>
            </w:pPr>
            <w:r/>
            <w:r>
              <w:rPr>
                <w:rFonts w:ascii="Aptos" w:hAnsi="Aptos"/>
                <w:b w:val="0"/>
                <w:sz w:val="15"/>
              </w:rPr>
              <w:t>0</w:t>
            </w:r>
          </w:p>
        </w:tc>
      </w:tr>
      <w:tr>
        <w:trPr>
          <w:cantSplit/>
        </w:trPr>
        <w:tc>
          <w:tcPr>
            <w:tcW w:type="dxa" w:w="3240"/>
            <w:vAlign w:val="center"/>
          </w:tcPr>
          <w:p>
            <w:pPr>
              <w:spacing w:after="0"/>
            </w:pPr>
            <w:r/>
            <w:r>
              <w:rPr>
                <w:rFonts w:ascii="Aptos" w:hAnsi="Aptos"/>
                <w:b w:val="0"/>
                <w:sz w:val="15"/>
              </w:rPr>
              <w:t>Audit FNV64</w:t>
            </w:r>
          </w:p>
        </w:tc>
        <w:tc>
          <w:tcPr>
            <w:tcW w:type="dxa" w:w="3240"/>
            <w:vAlign w:val="center"/>
          </w:tcPr>
          <w:p>
            <w:pPr>
              <w:spacing w:after="0"/>
            </w:pPr>
            <w:r/>
            <w:r>
              <w:rPr>
                <w:rFonts w:ascii="Aptos" w:hAnsi="Aptos"/>
                <w:b w:val="0"/>
                <w:sz w:val="15"/>
              </w:rPr>
              <w:t>632a491855434b4b</w:t>
            </w:r>
          </w:p>
        </w:tc>
        <w:tc>
          <w:tcPr>
            <w:tcW w:type="dxa" w:w="3240"/>
            <w:vAlign w:val="center"/>
          </w:tcPr>
          <w:p>
            <w:pPr>
              <w:spacing w:after="0"/>
            </w:pPr>
            <w:r/>
            <w:r>
              <w:rPr>
                <w:rFonts w:ascii="Aptos" w:hAnsi="Aptos"/>
                <w:b w:val="0"/>
                <w:sz w:val="15"/>
              </w:rPr>
              <w:t>632a491855434b4b</w:t>
            </w:r>
          </w:p>
        </w:tc>
      </w:tr>
    </w:tbl>
    <w:p>
      <w:pPr>
        <w:spacing w:after="0"/>
      </w:pPr>
    </w:p>
    <w:p>
      <w:pPr>
        <w:pStyle w:val="Heading2"/>
      </w:pPr>
      <w:r>
        <w:t>11.1 Deadness proof object</w:t>
      </w:r>
    </w:p>
    <w:p>
      <w:pPr>
        <w:pStyle w:val="ListNumber"/>
        <w:spacing w:after="40"/>
      </w:pPr>
      <w:r>
        <w:t>Exhaustively enumerate every locally legal same-colour K+2B vs K placement with Black to move that is in check. Both independent attack/move paths find zero checkmate positions.</w:t>
      </w:r>
    </w:p>
    <w:p>
      <w:pPr>
        <w:pStyle w:val="ListNumber"/>
        <w:spacing w:after="40"/>
      </w:pPr>
      <w:r>
        <w:t>White bishops can never change colour complex under a legal bishop move. Therefore every non-capture continuation with two bishops remains inside the enumerated no-mate family.</w:t>
      </w:r>
    </w:p>
    <w:p>
      <w:pPr>
        <w:pStyle w:val="ListNumber"/>
        <w:spacing w:after="40"/>
      </w:pPr>
      <w:r>
        <w:t>If Black captures a bishop, material reduces to K+B vs K; if both bishops eventually disappear, it reduces to K vs K. Those are exact dead dependencies.</w:t>
      </w:r>
    </w:p>
    <w:p>
      <w:pPr>
        <w:pStyle w:val="ListNumber"/>
        <w:spacing w:after="40"/>
      </w:pPr>
      <w:r>
        <w:t>Black has only a king. Legal king separation means Black cannot checkmate White in this material family.</w:t>
      </w:r>
    </w:p>
    <w:p>
      <w:pPr>
        <w:pStyle w:val="ListNumber"/>
        <w:spacing w:after="40"/>
      </w:pPr>
      <w:r>
        <w:t>Thus no legal continuation from any state in the declared family can reach checkmate by either player. Every state is DEAD by the extensional G10 definition.</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EEF5FB"/>
          </w:tcPr>
          <w:p>
            <w:pPr>
              <w:spacing w:after="40"/>
            </w:pPr>
            <w:r/>
            <w:r>
              <w:rPr>
                <w:b/>
                <w:sz w:val="20"/>
              </w:rPr>
              <w:t>G12.DEAD-CLOSURE</w:t>
            </w:r>
          </w:p>
          <w:p>
            <w:pPr>
              <w:spacing w:after="0"/>
            </w:pPr>
            <w:r>
              <w:rPr>
                <w:sz w:val="18"/>
              </w:rPr>
              <w:t>Reusable pattern: prove a material/topology family is closed except for exits into already-certified DEAD dependencies; exhaustively prove the closed family contains no checkmate terminal; conclude every state in the family is DEAD. This is exact reachability-to-mate reasoning, not a material heuristic.</w:t>
            </w:r>
          </w:p>
        </w:tc>
      </w:tr>
    </w:tbl>
    <w:p>
      <w:pPr>
        <w:spacing w:after="0"/>
      </w:pPr>
    </w:p>
    <w:p>
      <w:pPr>
        <w:pStyle w:val="Heading1"/>
      </w:pPr>
      <w:r>
        <w:t>12. Proof and verification status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vAlign w:val="center"/>
            <w:shd w:fill="D9EAF7"/>
          </w:tcPr>
          <w:p>
            <w:pPr>
              <w:spacing w:after="0"/>
            </w:pPr>
            <w:r/>
            <w:r>
              <w:rPr>
                <w:rFonts w:ascii="Aptos" w:hAnsi="Aptos"/>
                <w:b/>
                <w:sz w:val="15"/>
              </w:rPr>
              <w:t>Claim</w:t>
            </w:r>
          </w:p>
        </w:tc>
        <w:tc>
          <w:tcPr>
            <w:tcW w:type="dxa" w:w="3456"/>
            <w:vAlign w:val="center"/>
            <w:shd w:fill="D9EAF7"/>
          </w:tcPr>
          <w:p>
            <w:pPr>
              <w:spacing w:after="0"/>
            </w:pPr>
            <w:r/>
            <w:r>
              <w:rPr>
                <w:rFonts w:ascii="Aptos" w:hAnsi="Aptos"/>
                <w:b/>
                <w:sz w:val="15"/>
              </w:rPr>
              <w:t>Status</w:t>
            </w:r>
          </w:p>
        </w:tc>
        <w:tc>
          <w:tcPr>
            <w:tcW w:type="dxa" w:w="3888"/>
            <w:vAlign w:val="center"/>
            <w:shd w:fill="D9EAF7"/>
          </w:tcPr>
          <w:p>
            <w:pPr>
              <w:spacing w:after="0"/>
            </w:pPr>
            <w:r/>
            <w:r>
              <w:rPr>
                <w:rFonts w:ascii="Aptos" w:hAnsi="Aptos"/>
                <w:b/>
                <w:sz w:val="15"/>
              </w:rPr>
              <w:t>Boundary</w:t>
            </w:r>
          </w:p>
        </w:tc>
      </w:tr>
      <w:tr>
        <w:trPr>
          <w:cantSplit/>
        </w:trPr>
        <w:tc>
          <w:tcPr>
            <w:tcW w:type="dxa" w:w="3024"/>
            <w:vAlign w:val="center"/>
          </w:tcPr>
          <w:p>
            <w:pPr>
              <w:spacing w:after="0"/>
            </w:pPr>
            <w:r/>
            <w:r>
              <w:rPr>
                <w:rFonts w:ascii="Aptos" w:hAnsi="Aptos"/>
                <w:b w:val="0"/>
                <w:sz w:val="15"/>
              </w:rPr>
              <w:t>G10 semantic rules used by G12</w:t>
            </w:r>
          </w:p>
        </w:tc>
        <w:tc>
          <w:tcPr>
            <w:tcW w:type="dxa" w:w="3456"/>
            <w:vAlign w:val="center"/>
          </w:tcPr>
          <w:p>
            <w:pPr>
              <w:spacing w:after="0"/>
            </w:pPr>
            <w:r/>
            <w:r>
              <w:rPr>
                <w:rFonts w:ascii="Aptos" w:hAnsi="Aptos"/>
                <w:b w:val="0"/>
                <w:sz w:val="15"/>
              </w:rPr>
              <w:t>Inherited frozen contract</w:t>
            </w:r>
          </w:p>
        </w:tc>
        <w:tc>
          <w:tcPr>
            <w:tcW w:type="dxa" w:w="3888"/>
            <w:vAlign w:val="center"/>
          </w:tcPr>
          <w:p>
            <w:pPr>
              <w:spacing w:after="0"/>
            </w:pPr>
            <w:r/>
            <w:r>
              <w:rPr>
                <w:rFonts w:ascii="Aptos" w:hAnsi="Aptos"/>
                <w:b w:val="0"/>
                <w:sz w:val="15"/>
              </w:rPr>
              <w:t>Not re-derived; unchanged from G10/G11.</w:t>
            </w:r>
          </w:p>
        </w:tc>
      </w:tr>
      <w:tr>
        <w:trPr>
          <w:cantSplit/>
        </w:trPr>
        <w:tc>
          <w:tcPr>
            <w:tcW w:type="dxa" w:w="3024"/>
            <w:vAlign w:val="center"/>
          </w:tcPr>
          <w:p>
            <w:pPr>
              <w:spacing w:after="0"/>
            </w:pPr>
            <w:r/>
            <w:r>
              <w:rPr>
                <w:rFonts w:ascii="Aptos" w:hAnsi="Aptos"/>
                <w:b w:val="0"/>
                <w:sz w:val="15"/>
              </w:rPr>
              <w:t>Original G10 byte/vector replay</w:t>
            </w:r>
          </w:p>
        </w:tc>
        <w:tc>
          <w:tcPr>
            <w:tcW w:type="dxa" w:w="3456"/>
            <w:vAlign w:val="center"/>
          </w:tcPr>
          <w:p>
            <w:pPr>
              <w:spacing w:after="0"/>
            </w:pPr>
            <w:r/>
            <w:r>
              <w:rPr>
                <w:rFonts w:ascii="Aptos" w:hAnsi="Aptos"/>
                <w:b w:val="0"/>
                <w:sz w:val="15"/>
              </w:rPr>
              <w:t>FAILED / historically unresolved</w:t>
            </w:r>
          </w:p>
        </w:tc>
        <w:tc>
          <w:tcPr>
            <w:tcW w:type="dxa" w:w="3888"/>
            <w:vAlign w:val="center"/>
          </w:tcPr>
          <w:p>
            <w:pPr>
              <w:spacing w:after="0"/>
            </w:pPr>
            <w:r/>
            <w:r>
              <w:rPr>
                <w:rFonts w:ascii="Aptos" w:hAnsi="Aptos"/>
                <w:b w:val="0"/>
                <w:sz w:val="15"/>
              </w:rPr>
              <w:t>Payload absent; no reconstruction claim.</w:t>
            </w:r>
          </w:p>
        </w:tc>
      </w:tr>
      <w:tr>
        <w:trPr>
          <w:cantSplit/>
        </w:trPr>
        <w:tc>
          <w:tcPr>
            <w:tcW w:type="dxa" w:w="3024"/>
            <w:vAlign w:val="center"/>
          </w:tcPr>
          <w:p>
            <w:pPr>
              <w:spacing w:after="0"/>
            </w:pPr>
            <w:r/>
            <w:r>
              <w:rPr>
                <w:rFonts w:ascii="Aptos" w:hAnsi="Aptos"/>
                <w:b w:val="0"/>
                <w:sz w:val="15"/>
              </w:rPr>
              <w:t>G12 v2 canonical profile</w:t>
            </w:r>
          </w:p>
        </w:tc>
        <w:tc>
          <w:tcPr>
            <w:tcW w:type="dxa" w:w="3456"/>
            <w:vAlign w:val="center"/>
          </w:tcPr>
          <w:p>
            <w:pPr>
              <w:spacing w:after="0"/>
            </w:pPr>
            <w:r/>
            <w:r>
              <w:rPr>
                <w:rFonts w:ascii="Aptos" w:hAnsi="Aptos"/>
                <w:b w:val="0"/>
                <w:sz w:val="15"/>
              </w:rPr>
              <w:t>Frozen deterministic artifact</w:t>
            </w:r>
          </w:p>
        </w:tc>
        <w:tc>
          <w:tcPr>
            <w:tcW w:type="dxa" w:w="3888"/>
            <w:vAlign w:val="center"/>
          </w:tcPr>
          <w:p>
            <w:pPr>
              <w:spacing w:after="0"/>
            </w:pPr>
            <w:r/>
            <w:r>
              <w:rPr>
                <w:rFonts w:ascii="Aptos" w:hAnsi="Aptos"/>
                <w:b w:val="0"/>
                <w:sz w:val="15"/>
              </w:rPr>
              <w:t>New forward identity profile.</w:t>
            </w:r>
          </w:p>
        </w:tc>
      </w:tr>
      <w:tr>
        <w:trPr>
          <w:cantSplit/>
        </w:trPr>
        <w:tc>
          <w:tcPr>
            <w:tcW w:type="dxa" w:w="3024"/>
            <w:vAlign w:val="center"/>
          </w:tcPr>
          <w:p>
            <w:pPr>
              <w:spacing w:after="0"/>
            </w:pPr>
            <w:r/>
            <w:r>
              <w:rPr>
                <w:rFonts w:ascii="Aptos" w:hAnsi="Aptos"/>
                <w:b w:val="0"/>
                <w:sz w:val="15"/>
              </w:rPr>
              <w:t>Special-move/state conformance</w:t>
            </w:r>
          </w:p>
        </w:tc>
        <w:tc>
          <w:tcPr>
            <w:tcW w:type="dxa" w:w="3456"/>
            <w:vAlign w:val="center"/>
          </w:tcPr>
          <w:p>
            <w:pPr>
              <w:spacing w:after="0"/>
            </w:pPr>
            <w:r/>
            <w:r>
              <w:rPr>
                <w:rFonts w:ascii="Aptos" w:hAnsi="Aptos"/>
                <w:b w:val="0"/>
                <w:sz w:val="15"/>
              </w:rPr>
              <w:t>Deterministic A/B conformance PASS</w:t>
            </w:r>
          </w:p>
        </w:tc>
        <w:tc>
          <w:tcPr>
            <w:tcW w:type="dxa" w:w="3888"/>
            <w:vAlign w:val="center"/>
          </w:tcPr>
          <w:p>
            <w:pPr>
              <w:spacing w:after="0"/>
            </w:pPr>
            <w:r/>
            <w:r>
              <w:rPr>
                <w:rFonts w:ascii="Aptos" w:hAnsi="Aptos"/>
                <w:b w:val="0"/>
                <w:sz w:val="15"/>
              </w:rPr>
              <w:t>New v2 corpus plus inherited G11 broad evidence.</w:t>
            </w:r>
          </w:p>
        </w:tc>
      </w:tr>
      <w:tr>
        <w:trPr>
          <w:cantSplit/>
        </w:trPr>
        <w:tc>
          <w:tcPr>
            <w:tcW w:type="dxa" w:w="3024"/>
            <w:vAlign w:val="center"/>
          </w:tcPr>
          <w:p>
            <w:pPr>
              <w:spacing w:after="0"/>
            </w:pPr>
            <w:r/>
            <w:r>
              <w:rPr>
                <w:rFonts w:ascii="Aptos" w:hAnsi="Aptos"/>
                <w:b w:val="0"/>
                <w:sz w:val="15"/>
              </w:rPr>
              <w:t>KQK/KRK/KPK W/D</w:t>
            </w:r>
          </w:p>
        </w:tc>
        <w:tc>
          <w:tcPr>
            <w:tcW w:type="dxa" w:w="3456"/>
            <w:vAlign w:val="center"/>
          </w:tcPr>
          <w:p>
            <w:pPr>
              <w:spacing w:after="0"/>
            </w:pPr>
            <w:r/>
            <w:r>
              <w:rPr>
                <w:rFonts w:ascii="Aptos" w:hAnsi="Aptos"/>
                <w:b w:val="0"/>
                <w:sz w:val="15"/>
              </w:rPr>
              <w:t>Computer-assisted exact finite-arena theorem</w:t>
            </w:r>
          </w:p>
        </w:tc>
        <w:tc>
          <w:tcPr>
            <w:tcW w:type="dxa" w:w="3888"/>
            <w:vAlign w:val="center"/>
          </w:tcPr>
          <w:p>
            <w:pPr>
              <w:spacing w:after="0"/>
            </w:pPr>
            <w:r/>
            <w:r>
              <w:rPr>
                <w:rFonts w:ascii="Aptos" w:hAnsi="Aptos"/>
                <w:b w:val="0"/>
                <w:sz w:val="15"/>
              </w:rPr>
              <w:t>Clean-metadata roots; not arbitrary histories.</w:t>
            </w:r>
          </w:p>
        </w:tc>
      </w:tr>
      <w:tr>
        <w:trPr>
          <w:cantSplit/>
        </w:trPr>
        <w:tc>
          <w:tcPr>
            <w:tcW w:type="dxa" w:w="3024"/>
            <w:vAlign w:val="center"/>
          </w:tcPr>
          <w:p>
            <w:pPr>
              <w:spacing w:after="0"/>
            </w:pPr>
            <w:r/>
            <w:r>
              <w:rPr>
                <w:rFonts w:ascii="Aptos" w:hAnsi="Aptos"/>
                <w:b w:val="0"/>
                <w:sz w:val="15"/>
              </w:rPr>
              <w:t>Certificate replay</w:t>
            </w:r>
          </w:p>
        </w:tc>
        <w:tc>
          <w:tcPr>
            <w:tcW w:type="dxa" w:w="3456"/>
            <w:vAlign w:val="center"/>
          </w:tcPr>
          <w:p>
            <w:pPr>
              <w:spacing w:after="0"/>
            </w:pPr>
            <w:r/>
            <w:r>
              <w:rPr>
                <w:rFonts w:ascii="Aptos" w:hAnsi="Aptos"/>
                <w:b w:val="0"/>
                <w:sz w:val="15"/>
              </w:rPr>
              <w:t>Independent structural verifier PASS</w:t>
            </w:r>
          </w:p>
        </w:tc>
        <w:tc>
          <w:tcPr>
            <w:tcW w:type="dxa" w:w="3888"/>
            <w:vAlign w:val="center"/>
          </w:tcPr>
          <w:p>
            <w:pPr>
              <w:spacing w:after="0"/>
            </w:pPr>
            <w:r/>
            <w:r>
              <w:rPr>
                <w:rFonts w:ascii="Aptos" w:hAnsi="Aptos"/>
                <w:b w:val="0"/>
                <w:sz w:val="15"/>
              </w:rPr>
              <w:t>Same-session authorship; formal TCB hardening deferred G15.</w:t>
            </w:r>
          </w:p>
        </w:tc>
      </w:tr>
      <w:tr>
        <w:trPr>
          <w:cantSplit/>
        </w:trPr>
        <w:tc>
          <w:tcPr>
            <w:tcW w:type="dxa" w:w="3024"/>
            <w:vAlign w:val="center"/>
          </w:tcPr>
          <w:p>
            <w:pPr>
              <w:spacing w:after="0"/>
            </w:pPr>
            <w:r/>
            <w:r>
              <w:rPr>
                <w:rFonts w:ascii="Aptos" w:hAnsi="Aptos"/>
                <w:b w:val="0"/>
                <w:sz w:val="15"/>
              </w:rPr>
              <w:t>Same-colour KBB DEAD</w:t>
            </w:r>
          </w:p>
        </w:tc>
        <w:tc>
          <w:tcPr>
            <w:tcW w:type="dxa" w:w="3456"/>
            <w:vAlign w:val="center"/>
          </w:tcPr>
          <w:p>
            <w:pPr>
              <w:spacing w:after="0"/>
            </w:pPr>
            <w:r/>
            <w:r>
              <w:rPr>
                <w:rFonts w:ascii="Aptos" w:hAnsi="Aptos"/>
                <w:b w:val="0"/>
                <w:sz w:val="15"/>
              </w:rPr>
              <w:t>Exact finite theorem: exhaustive zero-mate + invariant closure</w:t>
            </w:r>
          </w:p>
        </w:tc>
        <w:tc>
          <w:tcPr>
            <w:tcW w:type="dxa" w:w="3888"/>
            <w:vAlign w:val="center"/>
          </w:tcPr>
          <w:p>
            <w:pPr>
              <w:spacing w:after="0"/>
            </w:pPr>
            <w:r/>
            <w:r>
              <w:rPr>
                <w:rFonts w:ascii="Aptos" w:hAnsi="Aptos"/>
                <w:b w:val="0"/>
                <w:sz w:val="15"/>
              </w:rPr>
              <w:t>Declared arena only.</w:t>
            </w:r>
          </w:p>
        </w:tc>
      </w:tr>
      <w:tr>
        <w:trPr>
          <w:cantSplit/>
        </w:trPr>
        <w:tc>
          <w:tcPr>
            <w:tcW w:type="dxa" w:w="3024"/>
            <w:vAlign w:val="center"/>
          </w:tcPr>
          <w:p>
            <w:pPr>
              <w:spacing w:after="0"/>
            </w:pPr>
            <w:r/>
            <w:r>
              <w:rPr>
                <w:rFonts w:ascii="Aptos" w:hAnsi="Aptos"/>
                <w:b w:val="0"/>
                <w:sz w:val="15"/>
              </w:rPr>
              <w:t>History decorated examples</w:t>
            </w:r>
          </w:p>
        </w:tc>
        <w:tc>
          <w:tcPr>
            <w:tcW w:type="dxa" w:w="3456"/>
            <w:vAlign w:val="center"/>
          </w:tcPr>
          <w:p>
            <w:pPr>
              <w:spacing w:after="0"/>
            </w:pPr>
            <w:r/>
            <w:r>
              <w:rPr>
                <w:rFonts w:ascii="Aptos" w:hAnsi="Aptos"/>
                <w:b w:val="0"/>
                <w:sz w:val="15"/>
              </w:rPr>
              <w:t>Exact local full-rule outcomes/actions</w:t>
            </w:r>
          </w:p>
        </w:tc>
        <w:tc>
          <w:tcPr>
            <w:tcW w:type="dxa" w:w="3888"/>
            <w:vAlign w:val="center"/>
          </w:tcPr>
          <w:p>
            <w:pPr>
              <w:spacing w:after="0"/>
            </w:pPr>
            <w:r/>
            <w:r>
              <w:rPr>
                <w:rFonts w:ascii="Aptos" w:hAnsi="Aptos"/>
                <w:b w:val="0"/>
                <w:sz w:val="15"/>
              </w:rPr>
              <w:t>ARENA_ADMISSIBLE; not START_REACHABLE.</w:t>
            </w:r>
          </w:p>
        </w:tc>
      </w:tr>
      <w:tr>
        <w:trPr>
          <w:cantSplit/>
        </w:trPr>
        <w:tc>
          <w:tcPr>
            <w:tcW w:type="dxa" w:w="3024"/>
            <w:vAlign w:val="center"/>
          </w:tcPr>
          <w:p>
            <w:pPr>
              <w:spacing w:after="0"/>
            </w:pPr>
            <w:r/>
            <w:r>
              <w:rPr>
                <w:rFonts w:ascii="Aptos" w:hAnsi="Aptos"/>
                <w:b w:val="0"/>
                <w:sz w:val="15"/>
              </w:rPr>
              <w:t>Initial-position theorem</w:t>
            </w:r>
          </w:p>
        </w:tc>
        <w:tc>
          <w:tcPr>
            <w:tcW w:type="dxa" w:w="3456"/>
            <w:vAlign w:val="center"/>
          </w:tcPr>
          <w:p>
            <w:pPr>
              <w:spacing w:after="0"/>
            </w:pPr>
            <w:r/>
            <w:r>
              <w:rPr>
                <w:rFonts w:ascii="Aptos" w:hAnsi="Aptos"/>
                <w:b w:val="0"/>
                <w:sz w:val="15"/>
              </w:rPr>
              <w:t>NOT ESTABLISHED</w:t>
            </w:r>
          </w:p>
        </w:tc>
        <w:tc>
          <w:tcPr>
            <w:tcW w:type="dxa" w:w="3888"/>
            <w:vAlign w:val="center"/>
          </w:tcPr>
          <w:p>
            <w:pPr>
              <w:spacing w:after="0"/>
            </w:pPr>
            <w:r/>
            <w:r>
              <w:rPr>
                <w:rFonts w:ascii="Aptos" w:hAnsi="Aptos"/>
                <w:b w:val="0"/>
                <w:sz w:val="15"/>
              </w:rPr>
              <w:t>No G12 result connects these arenas to the standard initial state.</w:t>
            </w:r>
          </w:p>
        </w:tc>
      </w:tr>
    </w:tbl>
    <w:p>
      <w:pPr>
        <w:spacing w:after="0"/>
      </w:pPr>
    </w:p>
    <w:p>
      <w:pPr>
        <w:pStyle w:val="Heading1"/>
      </w:pPr>
      <w:r>
        <w:t>13. Corrections, supersessions, negative results and discarded provisional outputs</w:t>
      </w:r>
    </w:p>
    <w:p>
      <w:pPr>
        <w:pStyle w:val="ListBullet"/>
        <w:spacing w:after="40"/>
      </w:pPr>
      <w:r>
        <w:t>Original G10 machine artifacts: unrecoverable. This is preserved as a historical provenance exception; G12 does not fabricate a cryptographic chain.</w:t>
      </w:r>
    </w:p>
    <w:p>
      <w:pPr>
        <w:pStyle w:val="ListBullet"/>
        <w:spacing w:after="40"/>
      </w:pPr>
      <w:r>
        <w:t>G11 historical verdict: remains HOLD against the original G10 replay gate. The new G12 forward contract supersedes the missing artifact profile only; it does not rewrite G11 history.</w:t>
      </w:r>
    </w:p>
    <w:p>
      <w:pPr>
        <w:pStyle w:val="ListBullet"/>
        <w:spacing w:after="40"/>
      </w:pPr>
      <w:r>
        <w:t>Early provisional rank computation: an initial in-place relaxation pass reached the same W/D sets but emitted inflated order-dependent rank maxima (KQK 44, KRK 50, KPK 50). Those rank figures were discarded before freeze. Priority-ordered retrograde produced 20/32/36 and the independent verifier checks every rank equation with zero mismatch.</w:t>
      </w:r>
    </w:p>
    <w:p>
      <w:pPr>
        <w:pStyle w:val="ListBullet"/>
        <w:spacing w:after="40"/>
      </w:pPr>
      <w:r>
        <w:t>A pre-acceptance conformance assertion encoded the Qkq castling-right bit mask as decimal 10 instead of the correct 14. The conformance run caught the assertion failure; the harness was corrected before any accepted ledger or certificate was frozen.</w:t>
      </w:r>
    </w:p>
    <w:p>
      <w:pPr>
        <w:pStyle w:val="ListBullet"/>
        <w:spacing w:after="40"/>
      </w:pPr>
      <w:r>
        <w:t>The KBB audit initially used an ambiguous “legal_edges” label for checked-state evasions. It was renamed to “checked_state_evasion_edges” before freeze; no chess result changed.</w:t>
      </w:r>
    </w:p>
    <w:p>
      <w:pPr>
        <w:pStyle w:val="ListBullet"/>
        <w:spacing w:after="40"/>
      </w:pPr>
      <w:r>
        <w:t>Historical promotion-terminal KPK 29,520/12,099 is not superseded as a historical restricted-model result. G12’s continuation-aware 27,430/14,189 is the final-rule clean-root anchor.</w:t>
      </w:r>
    </w:p>
    <w:p>
      <w:pPr>
        <w:pStyle w:val="Heading1"/>
      </w:pPr>
      <w:r>
        <w:t>14. New reusable capabilities and proof operations created by G12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vAlign w:val="center"/>
            <w:shd w:fill="D9EAF7"/>
          </w:tcPr>
          <w:p>
            <w:pPr>
              <w:spacing w:after="0"/>
            </w:pPr>
            <w:r/>
            <w:r>
              <w:rPr>
                <w:rFonts w:ascii="Aptos" w:hAnsi="Aptos"/>
                <w:b/>
                <w:sz w:val="14"/>
              </w:rPr>
              <w:t>Object / capability</w:t>
            </w:r>
          </w:p>
        </w:tc>
        <w:tc>
          <w:tcPr>
            <w:tcW w:type="dxa" w:w="5040"/>
            <w:vAlign w:val="center"/>
            <w:shd w:fill="D9EAF7"/>
          </w:tcPr>
          <w:p>
            <w:pPr>
              <w:spacing w:after="0"/>
            </w:pPr>
            <w:r/>
            <w:r>
              <w:rPr>
                <w:rFonts w:ascii="Aptos" w:hAnsi="Aptos"/>
                <w:b/>
                <w:sz w:val="14"/>
              </w:rPr>
              <w:t>What is new</w:t>
            </w:r>
          </w:p>
        </w:tc>
        <w:tc>
          <w:tcPr>
            <w:tcW w:type="dxa" w:w="2880"/>
            <w:vAlign w:val="center"/>
            <w:shd w:fill="D9EAF7"/>
          </w:tcPr>
          <w:p>
            <w:pPr>
              <w:spacing w:after="0"/>
            </w:pPr>
            <w:r/>
            <w:r>
              <w:rPr>
                <w:rFonts w:ascii="Aptos" w:hAnsi="Aptos"/>
                <w:b/>
                <w:sz w:val="14"/>
              </w:rPr>
              <w:t>Likely downstream use</w:t>
            </w:r>
          </w:p>
        </w:tc>
      </w:tr>
      <w:tr>
        <w:trPr>
          <w:cantSplit/>
        </w:trPr>
        <w:tc>
          <w:tcPr>
            <w:tcW w:type="dxa" w:w="2376"/>
            <w:vAlign w:val="center"/>
          </w:tcPr>
          <w:p>
            <w:pPr>
              <w:spacing w:after="0"/>
            </w:pPr>
            <w:r/>
            <w:r>
              <w:rPr>
                <w:rFonts w:ascii="Aptos" w:hAnsi="Aptos"/>
                <w:b w:val="0"/>
                <w:sz w:val="14"/>
              </w:rPr>
              <w:t>G12.STATE.SERIAL.v2</w:t>
            </w:r>
          </w:p>
        </w:tc>
        <w:tc>
          <w:tcPr>
            <w:tcW w:type="dxa" w:w="5040"/>
            <w:vAlign w:val="center"/>
          </w:tcPr>
          <w:p>
            <w:pPr>
              <w:spacing w:after="0"/>
            </w:pPr>
            <w:r/>
            <w:r>
              <w:rPr>
                <w:rFonts w:ascii="Aptos" w:hAnsi="Aptos"/>
                <w:b w:val="0"/>
                <w:sz w:val="14"/>
              </w:rPr>
              <w:t>Self-contained forward canonical raw-byte profile after the G10 artifact-chain break.</w:t>
            </w:r>
          </w:p>
        </w:tc>
        <w:tc>
          <w:tcPr>
            <w:tcW w:type="dxa" w:w="2880"/>
            <w:vAlign w:val="center"/>
          </w:tcPr>
          <w:p>
            <w:pPr>
              <w:spacing w:after="0"/>
            </w:pPr>
            <w:r/>
            <w:r>
              <w:rPr>
                <w:rFonts w:ascii="Aptos" w:hAnsi="Aptos"/>
                <w:b w:val="0"/>
                <w:sz w:val="14"/>
              </w:rPr>
              <w:t>G13 manifests/checkpoints; G14 proof-store identities; G20 history scaling.</w:t>
            </w:r>
          </w:p>
        </w:tc>
      </w:tr>
      <w:tr>
        <w:trPr>
          <w:cantSplit/>
        </w:trPr>
        <w:tc>
          <w:tcPr>
            <w:tcW w:type="dxa" w:w="2376"/>
            <w:vAlign w:val="center"/>
          </w:tcPr>
          <w:p>
            <w:pPr>
              <w:spacing w:after="0"/>
            </w:pPr>
            <w:r/>
            <w:r>
              <w:rPr>
                <w:rFonts w:ascii="Aptos" w:hAnsi="Aptos"/>
                <w:b w:val="0"/>
                <w:sz w:val="14"/>
              </w:rPr>
              <w:t>G12.CLEAN-RANK-SAFETY</w:t>
            </w:r>
          </w:p>
        </w:tc>
        <w:tc>
          <w:tcPr>
            <w:tcW w:type="dxa" w:w="5040"/>
            <w:vAlign w:val="center"/>
          </w:tcPr>
          <w:p>
            <w:pPr>
              <w:spacing w:after="0"/>
            </w:pPr>
            <w:r/>
            <w:r>
              <w:rPr>
                <w:rFonts w:ascii="Aptos" w:hAnsi="Aptos"/>
                <w:b w:val="0"/>
                <w:sz w:val="14"/>
              </w:rPr>
              <w:t>Bounded strictly decreasing exact rank proves clean-root wins cannot be preempted by repetition or move-count draws.</w:t>
            </w:r>
          </w:p>
        </w:tc>
        <w:tc>
          <w:tcPr>
            <w:tcW w:type="dxa" w:w="2880"/>
            <w:vAlign w:val="center"/>
          </w:tcPr>
          <w:p>
            <w:pPr>
              <w:spacing w:after="0"/>
            </w:pPr>
            <w:r/>
            <w:r>
              <w:rPr>
                <w:rFonts w:ascii="Aptos" w:hAnsi="Aptos"/>
                <w:b w:val="0"/>
                <w:sz w:val="14"/>
              </w:rPr>
              <w:t>Certifying board-table anchors under final rules without exploding history state where the sufficient condition applies.</w:t>
            </w:r>
          </w:p>
        </w:tc>
      </w:tr>
      <w:tr>
        <w:trPr>
          <w:cantSplit/>
        </w:trPr>
        <w:tc>
          <w:tcPr>
            <w:tcW w:type="dxa" w:w="2376"/>
            <w:vAlign w:val="center"/>
          </w:tcPr>
          <w:p>
            <w:pPr>
              <w:spacing w:after="0"/>
            </w:pPr>
            <w:r/>
            <w:r>
              <w:rPr>
                <w:rFonts w:ascii="Aptos" w:hAnsi="Aptos"/>
                <w:b w:val="0"/>
                <w:sz w:val="14"/>
              </w:rPr>
              <w:t>G12.DEAD-CLOSURE</w:t>
            </w:r>
          </w:p>
        </w:tc>
        <w:tc>
          <w:tcPr>
            <w:tcW w:type="dxa" w:w="5040"/>
            <w:vAlign w:val="center"/>
          </w:tcPr>
          <w:p>
            <w:pPr>
              <w:spacing w:after="0"/>
            </w:pPr>
            <w:r/>
            <w:r>
              <w:rPr>
                <w:rFonts w:ascii="Aptos" w:hAnsi="Aptos"/>
                <w:b w:val="0"/>
                <w:sz w:val="14"/>
              </w:rPr>
              <w:t>Zero-mate exhaustive scan + closure into dead dependencies yields exact DEAD families.</w:t>
            </w:r>
          </w:p>
        </w:tc>
        <w:tc>
          <w:tcPr>
            <w:tcW w:type="dxa" w:w="2880"/>
            <w:vAlign w:val="center"/>
          </w:tcPr>
          <w:p>
            <w:pPr>
              <w:spacing w:after="0"/>
            </w:pPr>
            <w:r/>
            <w:r>
              <w:rPr>
                <w:rFonts w:ascii="Aptos" w:hAnsi="Aptos"/>
                <w:b w:val="0"/>
                <w:sz w:val="14"/>
              </w:rPr>
              <w:t>General small/material deadness certification and later raw-truth dependencies.</w:t>
            </w:r>
          </w:p>
        </w:tc>
      </w:tr>
      <w:tr>
        <w:trPr>
          <w:cantSplit/>
        </w:trPr>
        <w:tc>
          <w:tcPr>
            <w:tcW w:type="dxa" w:w="2376"/>
            <w:vAlign w:val="center"/>
          </w:tcPr>
          <w:p>
            <w:pPr>
              <w:spacing w:after="0"/>
            </w:pPr>
            <w:r/>
            <w:r>
              <w:rPr>
                <w:rFonts w:ascii="Aptos" w:hAnsi="Aptos"/>
                <w:b w:val="0"/>
                <w:sz w:val="14"/>
              </w:rPr>
              <w:t>Raw valid/win/rank certificate v2</w:t>
            </w:r>
          </w:p>
        </w:tc>
        <w:tc>
          <w:tcPr>
            <w:tcW w:type="dxa" w:w="5040"/>
            <w:vAlign w:val="center"/>
          </w:tcPr>
          <w:p>
            <w:pPr>
              <w:spacing w:after="0"/>
            </w:pPr>
            <w:r/>
            <w:r>
              <w:rPr>
                <w:rFonts w:ascii="Aptos" w:hAnsi="Aptos"/>
                <w:b w:val="0"/>
                <w:sz w:val="14"/>
              </w:rPr>
              <w:t>Simple content-addressable table certificate with standalone Bellman replay.</w:t>
            </w:r>
          </w:p>
        </w:tc>
        <w:tc>
          <w:tcPr>
            <w:tcW w:type="dxa" w:w="2880"/>
            <w:vAlign w:val="center"/>
          </w:tcPr>
          <w:p>
            <w:pPr>
              <w:spacing w:after="0"/>
            </w:pPr>
            <w:r/>
            <w:r>
              <w:rPr>
                <w:rFonts w:ascii="Aptos" w:hAnsi="Aptos"/>
                <w:b w:val="0"/>
                <w:sz w:val="14"/>
              </w:rPr>
              <w:t>G14 store schema and G18 raw exact-truth carrier.</w:t>
            </w:r>
          </w:p>
        </w:tc>
      </w:tr>
      <w:tr>
        <w:trPr>
          <w:cantSplit/>
        </w:trPr>
        <w:tc>
          <w:tcPr>
            <w:tcW w:type="dxa" w:w="2376"/>
            <w:vAlign w:val="center"/>
          </w:tcPr>
          <w:p>
            <w:pPr>
              <w:spacing w:after="0"/>
            </w:pPr>
            <w:r/>
            <w:r>
              <w:rPr>
                <w:rFonts w:ascii="Aptos" w:hAnsi="Aptos"/>
                <w:b w:val="0"/>
                <w:sz w:val="14"/>
              </w:rPr>
              <w:t>History truth-flip controls</w:t>
            </w:r>
          </w:p>
        </w:tc>
        <w:tc>
          <w:tcPr>
            <w:tcW w:type="dxa" w:w="5040"/>
            <w:vAlign w:val="center"/>
          </w:tcPr>
          <w:p>
            <w:pPr>
              <w:spacing w:after="0"/>
            </w:pPr>
            <w:r/>
            <w:r>
              <w:rPr>
                <w:rFonts w:ascii="Aptos" w:hAnsi="Aptos"/>
                <w:b w:val="0"/>
                <w:sz w:val="14"/>
              </w:rPr>
              <w:t>Concrete exact examples where identical boards differ by repetition/halfmove metadata.</w:t>
            </w:r>
          </w:p>
        </w:tc>
        <w:tc>
          <w:tcPr>
            <w:tcW w:type="dxa" w:w="2880"/>
            <w:vAlign w:val="center"/>
          </w:tcPr>
          <w:p>
            <w:pPr>
              <w:spacing w:after="0"/>
            </w:pPr>
            <w:r/>
            <w:r>
              <w:rPr>
                <w:rFonts w:ascii="Aptos" w:hAnsi="Aptos"/>
                <w:b w:val="0"/>
                <w:sz w:val="14"/>
              </w:rPr>
              <w:t>G20 regression anchors and verifier anti-shortcut tests.</w:t>
            </w:r>
          </w:p>
        </w:tc>
      </w:tr>
      <w:tr>
        <w:trPr>
          <w:cantSplit/>
        </w:trPr>
        <w:tc>
          <w:tcPr>
            <w:tcW w:type="dxa" w:w="2376"/>
            <w:vAlign w:val="center"/>
          </w:tcPr>
          <w:p>
            <w:pPr>
              <w:spacing w:after="0"/>
            </w:pPr>
            <w:r/>
            <w:r>
              <w:rPr>
                <w:rFonts w:ascii="Aptos" w:hAnsi="Aptos"/>
                <w:b w:val="0"/>
                <w:sz w:val="14"/>
              </w:rPr>
              <w:t>Fresh-process deterministic suite</w:t>
            </w:r>
          </w:p>
        </w:tc>
        <w:tc>
          <w:tcPr>
            <w:tcW w:type="dxa" w:w="5040"/>
            <w:vAlign w:val="center"/>
          </w:tcPr>
          <w:p>
            <w:pPr>
              <w:spacing w:after="0"/>
            </w:pPr>
            <w:r/>
            <w:r>
              <w:rPr>
                <w:rFonts w:ascii="Aptos" w:hAnsi="Aptos"/>
                <w:b w:val="0"/>
                <w:sz w:val="14"/>
              </w:rPr>
              <w:t>Producer + verifier + checksum manifest + byte-identical rerun.</w:t>
            </w:r>
          </w:p>
        </w:tc>
        <w:tc>
          <w:tcPr>
            <w:tcW w:type="dxa" w:w="2880"/>
            <w:vAlign w:val="center"/>
          </w:tcPr>
          <w:p>
            <w:pPr>
              <w:spacing w:after="0"/>
            </w:pPr>
            <w:r/>
            <w:r>
              <w:rPr>
                <w:rFonts w:ascii="Aptos" w:hAnsi="Aptos"/>
                <w:b w:val="0"/>
                <w:sz w:val="14"/>
              </w:rPr>
              <w:t>G13 distributed/checkpoint acceptance baseline.</w:t>
            </w:r>
          </w:p>
        </w:tc>
      </w:tr>
    </w:tbl>
    <w:p>
      <w:pPr>
        <w:spacing w:after="0"/>
      </w:pPr>
    </w:p>
    <w:p>
      <w:pPr>
        <w:pStyle w:val="Heading1"/>
      </w:pPr>
      <w:r>
        <w:t>15. Implications for the G9 roadmap</w:t>
      </w:r>
    </w:p>
    <w:p>
      <w:r>
        <w:t>G12 meets its natural advance criterion under the exact failure branch authorized by G11. The original G10 artifact chain is not repaired; instead, the project now has a new explicit forward canonical profile plus independently replayed final-rule anchors. This is sufficient to move forward without silently skipping the provenance failure.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952"/>
            <w:vAlign w:val="center"/>
            <w:shd w:fill="D9EAF7"/>
          </w:tcPr>
          <w:p>
            <w:pPr>
              <w:spacing w:after="0"/>
            </w:pPr>
            <w:r/>
            <w:r>
              <w:rPr>
                <w:rFonts w:ascii="Aptos" w:hAnsi="Aptos"/>
                <w:b/>
                <w:sz w:val="15"/>
              </w:rPr>
              <w:t>Roadmap stage</w:t>
            </w:r>
          </w:p>
        </w:tc>
        <w:tc>
          <w:tcPr>
            <w:tcW w:type="dxa" w:w="7488"/>
            <w:vAlign w:val="center"/>
            <w:shd w:fill="D9EAF7"/>
          </w:tcPr>
          <w:p>
            <w:pPr>
              <w:spacing w:after="0"/>
            </w:pPr>
            <w:r/>
            <w:r>
              <w:rPr>
                <w:rFonts w:ascii="Aptos" w:hAnsi="Aptos"/>
                <w:b/>
                <w:sz w:val="15"/>
              </w:rPr>
              <w:t>G12 close implication</w:t>
            </w:r>
          </w:p>
        </w:tc>
      </w:tr>
      <w:tr>
        <w:trPr>
          <w:cantSplit/>
        </w:trPr>
        <w:tc>
          <w:tcPr>
            <w:tcW w:type="dxa" w:w="2952"/>
            <w:vAlign w:val="center"/>
          </w:tcPr>
          <w:p>
            <w:pPr>
              <w:spacing w:after="0"/>
            </w:pPr>
            <w:r/>
            <w:r>
              <w:rPr>
                <w:rFonts w:ascii="Aptos" w:hAnsi="Aptos"/>
                <w:b w:val="0"/>
                <w:sz w:val="15"/>
              </w:rPr>
              <w:t>G13 distributed/checkpointed compute</w:t>
            </w:r>
          </w:p>
        </w:tc>
        <w:tc>
          <w:tcPr>
            <w:tcW w:type="dxa" w:w="7488"/>
            <w:vAlign w:val="center"/>
          </w:tcPr>
          <w:p>
            <w:pPr>
              <w:spacing w:after="0"/>
            </w:pPr>
            <w:r/>
            <w:r>
              <w:rPr>
                <w:rFonts w:ascii="Aptos" w:hAnsi="Aptos"/>
                <w:b w:val="0"/>
                <w:sz w:val="15"/>
              </w:rPr>
              <w:t>Sequential next programme. It can now use the G12 frozen suite as its deterministic kill/restart regression baseline.</w:t>
            </w:r>
          </w:p>
        </w:tc>
      </w:tr>
      <w:tr>
        <w:trPr>
          <w:cantSplit/>
        </w:trPr>
        <w:tc>
          <w:tcPr>
            <w:tcW w:type="dxa" w:w="2952"/>
            <w:vAlign w:val="center"/>
          </w:tcPr>
          <w:p>
            <w:pPr>
              <w:spacing w:after="0"/>
            </w:pPr>
            <w:r/>
            <w:r>
              <w:rPr>
                <w:rFonts w:ascii="Aptos" w:hAnsi="Aptos"/>
                <w:b w:val="0"/>
                <w:sz w:val="15"/>
              </w:rPr>
              <w:t>G14 proof store</w:t>
            </w:r>
          </w:p>
        </w:tc>
        <w:tc>
          <w:tcPr>
            <w:tcW w:type="dxa" w:w="7488"/>
            <w:vAlign w:val="center"/>
          </w:tcPr>
          <w:p>
            <w:pPr>
              <w:spacing w:after="0"/>
            </w:pPr>
            <w:r/>
            <w:r>
              <w:rPr>
                <w:rFonts w:ascii="Aptos" w:hAnsi="Aptos"/>
                <w:b w:val="0"/>
                <w:sz w:val="15"/>
              </w:rPr>
              <w:t>Must preserve both the historical broken G10 identity references and the new G12 forward profile; never alias them as the same byte contract.</w:t>
            </w:r>
          </w:p>
        </w:tc>
      </w:tr>
      <w:tr>
        <w:trPr>
          <w:cantSplit/>
        </w:trPr>
        <w:tc>
          <w:tcPr>
            <w:tcW w:type="dxa" w:w="2952"/>
            <w:vAlign w:val="center"/>
          </w:tcPr>
          <w:p>
            <w:pPr>
              <w:spacing w:after="0"/>
            </w:pPr>
            <w:r/>
            <w:r>
              <w:rPr>
                <w:rFonts w:ascii="Aptos" w:hAnsi="Aptos"/>
                <w:b w:val="0"/>
                <w:sz w:val="15"/>
              </w:rPr>
              <w:t>G15 verifier hardening</w:t>
            </w:r>
          </w:p>
        </w:tc>
        <w:tc>
          <w:tcPr>
            <w:tcW w:type="dxa" w:w="7488"/>
            <w:vAlign w:val="center"/>
          </w:tcPr>
          <w:p>
            <w:pPr>
              <w:spacing w:after="0"/>
            </w:pPr>
            <w:r/>
            <w:r>
              <w:rPr>
                <w:rFonts w:ascii="Aptos" w:hAnsi="Aptos"/>
                <w:b w:val="0"/>
                <w:sz w:val="15"/>
              </w:rPr>
              <w:t>Still required. G12 verifier is structurally distinct but same-session authored.</w:t>
            </w:r>
          </w:p>
        </w:tc>
      </w:tr>
      <w:tr>
        <w:trPr>
          <w:cantSplit/>
        </w:trPr>
        <w:tc>
          <w:tcPr>
            <w:tcW w:type="dxa" w:w="2952"/>
            <w:vAlign w:val="center"/>
          </w:tcPr>
          <w:p>
            <w:pPr>
              <w:spacing w:after="0"/>
            </w:pPr>
            <w:r/>
            <w:r>
              <w:rPr>
                <w:rFonts w:ascii="Aptos" w:hAnsi="Aptos"/>
                <w:b w:val="0"/>
                <w:sz w:val="15"/>
              </w:rPr>
              <w:t>G16-G22 scale/breadth</w:t>
            </w:r>
          </w:p>
        </w:tc>
        <w:tc>
          <w:tcPr>
            <w:tcW w:type="dxa" w:w="7488"/>
            <w:vAlign w:val="center"/>
          </w:tcPr>
          <w:p>
            <w:pPr>
              <w:spacing w:after="0"/>
            </w:pPr>
            <w:r/>
            <w:r>
              <w:rPr>
                <w:rFonts w:ascii="Aptos" w:hAnsi="Aptos"/>
                <w:b w:val="0"/>
                <w:sz w:val="15"/>
              </w:rPr>
              <w:t>Now have final-rule small anchors and a reusable raw certificate format; scaling must retain v2 identity and full-rule boundaries.</w:t>
            </w:r>
          </w:p>
        </w:tc>
      </w:tr>
      <w:tr>
        <w:trPr>
          <w:cantSplit/>
        </w:trPr>
        <w:tc>
          <w:tcPr>
            <w:tcW w:type="dxa" w:w="2952"/>
            <w:vAlign w:val="center"/>
          </w:tcPr>
          <w:p>
            <w:pPr>
              <w:spacing w:after="0"/>
            </w:pPr>
            <w:r/>
            <w:r>
              <w:rPr>
                <w:rFonts w:ascii="Aptos" w:hAnsi="Aptos"/>
                <w:b w:val="0"/>
                <w:sz w:val="15"/>
              </w:rPr>
              <w:t>G20 history scaling</w:t>
            </w:r>
          </w:p>
        </w:tc>
        <w:tc>
          <w:tcPr>
            <w:tcW w:type="dxa" w:w="7488"/>
            <w:vAlign w:val="center"/>
          </w:tcPr>
          <w:p>
            <w:pPr>
              <w:spacing w:after="0"/>
            </w:pPr>
            <w:r/>
            <w:r>
              <w:rPr>
                <w:rFonts w:ascii="Aptos" w:hAnsi="Aptos"/>
                <w:b w:val="0"/>
                <w:sz w:val="15"/>
              </w:rPr>
              <w:t>G12 gives exact truth-flip and intended-claim controls; large history-state economics remain open.</w:t>
            </w:r>
          </w:p>
        </w:tc>
      </w:tr>
      <w:tr>
        <w:trPr>
          <w:cantSplit/>
        </w:trPr>
        <w:tc>
          <w:tcPr>
            <w:tcW w:type="dxa" w:w="2952"/>
            <w:vAlign w:val="center"/>
          </w:tcPr>
          <w:p>
            <w:pPr>
              <w:spacing w:after="0"/>
            </w:pPr>
            <w:r/>
            <w:r>
              <w:rPr>
                <w:rFonts w:ascii="Aptos" w:hAnsi="Aptos"/>
                <w:b w:val="0"/>
                <w:sz w:val="15"/>
              </w:rPr>
              <w:t>G35 initial-position connection</w:t>
            </w:r>
          </w:p>
        </w:tc>
        <w:tc>
          <w:tcPr>
            <w:tcW w:type="dxa" w:w="7488"/>
            <w:vAlign w:val="center"/>
          </w:tcPr>
          <w:p>
            <w:pPr>
              <w:spacing w:after="0"/>
            </w:pPr>
            <w:r/>
            <w:r>
              <w:rPr>
                <w:rFonts w:ascii="Aptos" w:hAnsi="Aptos"/>
                <w:b w:val="0"/>
                <w:sz w:val="15"/>
              </w:rPr>
              <w:t>Still untouched. ARENA_ADMISSIBLE anchors do not constitute reachability from the initial position.</w:t>
            </w:r>
          </w:p>
        </w:tc>
      </w:tr>
    </w:tbl>
    <w:p>
      <w:pPr>
        <w:spacing w:after="0"/>
      </w:pPr>
    </w:p>
    <w:p>
      <w:pPr>
        <w:pStyle w:val="Heading1"/>
      </w:pPr>
      <w:r>
        <w:t>16. Current position at G12 close</w:t>
      </w:r>
    </w:p>
    <w:tbl>
      <w:tblPr>
        <w:tblStyle w:val="TableGrid"/>
        <w:tblW w:type="auto" w:w="0"/>
        <w:tblLook w:firstColumn="1" w:firstRow="1" w:lastColumn="0" w:lastRow="0" w:noHBand="0" w:noVBand="1" w:val="04A0"/>
      </w:tblPr>
      <w:tblGrid>
        <w:gridCol w:w="10166"/>
      </w:tblGrid>
      <w:tr>
        <w:trPr>
          <w:tblHeader w:val="true"/>
          <w:cantSplit/>
        </w:trPr>
        <w:tc>
          <w:tcPr>
            <w:tcW w:type="dxa" w:w="10166"/>
            <w:shd w:fill="EEF5FB"/>
          </w:tcPr>
          <w:p>
            <w:pPr>
              <w:spacing w:after="40"/>
            </w:pPr>
            <w:r/>
            <w:r>
              <w:rPr>
                <w:b/>
                <w:sz w:val="20"/>
              </w:rPr>
              <w:t>FROZEN CLOSE POSITION</w:t>
            </w:r>
          </w:p>
          <w:p>
            <w:pPr>
              <w:spacing w:after="0"/>
            </w:pPr>
            <w:r>
              <w:rPr>
                <w:sz w:val="18"/>
              </w:rPr>
              <w:t>The foundation now contains: frozen final chess semantics; strong independent move/state conformance evidence; an explicit new canonical artifact chain after the old byte payload became unrecoverable; exact final-rule clean-root KQK/KRK/KPK anchors; history-state counterexamples that enforce full identity; a nontrivial exact dead-position theorem; standalone certificate replay; and deterministic reproduction. It still does not contain distributed exact computation, durable proof storage, a formally minimized trusted verifier core, large history-aware arenas, or any certified connection from the standard initial position.</w:t>
            </w:r>
          </w:p>
        </w:tc>
      </w:tr>
    </w:tbl>
    <w:p>
      <w:pPr>
        <w:spacing w:after="0"/>
      </w:pPr>
    </w:p>
    <w:p>
      <w:r>
        <w:t>No new “road to 100%” percentage is frozen in G12. Increasing a handful of exact small arenas is a foundation-quality improvement, not a meaningful solved-state fraction of chess.</w:t>
      </w:r>
    </w:p>
    <w:p>
      <w:pPr>
        <w:pStyle w:val="Heading1"/>
      </w:pPr>
      <w:r>
        <w:t>17. Successor Contract — G13</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vAlign w:val="center"/>
            <w:shd w:fill="D9EAF7"/>
          </w:tcPr>
          <w:p>
            <w:pPr>
              <w:spacing w:after="0"/>
            </w:pPr>
            <w:r/>
            <w:r>
              <w:rPr>
                <w:rFonts w:ascii="Aptos" w:hAnsi="Aptos"/>
                <w:b/>
                <w:sz w:val="14"/>
              </w:rPr>
              <w:t>Successor item</w:t>
            </w:r>
          </w:p>
        </w:tc>
        <w:tc>
          <w:tcPr>
            <w:tcW w:type="dxa" w:w="8136"/>
            <w:vAlign w:val="center"/>
            <w:shd w:fill="D9EAF7"/>
          </w:tcPr>
          <w:p>
            <w:pPr>
              <w:spacing w:after="0"/>
            </w:pPr>
            <w:r/>
            <w:r>
              <w:rPr>
                <w:rFonts w:ascii="Aptos" w:hAnsi="Aptos"/>
                <w:b/>
                <w:sz w:val="14"/>
              </w:rPr>
              <w:t>Frozen instruction</w:t>
            </w:r>
          </w:p>
        </w:tc>
      </w:tr>
      <w:tr>
        <w:trPr>
          <w:cantSplit/>
        </w:trPr>
        <w:tc>
          <w:tcPr>
            <w:tcW w:type="dxa" w:w="2376"/>
            <w:vAlign w:val="center"/>
          </w:tcPr>
          <w:p>
            <w:pPr>
              <w:spacing w:after="0"/>
            </w:pPr>
            <w:r/>
            <w:r>
              <w:rPr>
                <w:rFonts w:ascii="Aptos" w:hAnsi="Aptos"/>
                <w:b w:val="0"/>
                <w:sz w:val="14"/>
              </w:rPr>
              <w:t>Programme number</w:t>
            </w:r>
          </w:p>
        </w:tc>
        <w:tc>
          <w:tcPr>
            <w:tcW w:type="dxa" w:w="8136"/>
            <w:vAlign w:val="center"/>
          </w:tcPr>
          <w:p>
            <w:pPr>
              <w:spacing w:after="0"/>
            </w:pPr>
            <w:r/>
            <w:r>
              <w:rPr>
                <w:rFonts w:ascii="Aptos" w:hAnsi="Aptos"/>
                <w:b w:val="0"/>
                <w:sz w:val="14"/>
              </w:rPr>
              <w:t>G13 — Distributed and Checkpointed Exact-Compute Platform.</w:t>
            </w:r>
          </w:p>
        </w:tc>
      </w:tr>
      <w:tr>
        <w:trPr>
          <w:cantSplit/>
        </w:trPr>
        <w:tc>
          <w:tcPr>
            <w:tcW w:type="dxa" w:w="2376"/>
            <w:vAlign w:val="center"/>
          </w:tcPr>
          <w:p>
            <w:pPr>
              <w:spacing w:after="0"/>
            </w:pPr>
            <w:r/>
            <w:r>
              <w:rPr>
                <w:rFonts w:ascii="Aptos" w:hAnsi="Aptos"/>
                <w:b w:val="0"/>
                <w:sz w:val="14"/>
              </w:rPr>
              <w:t>Immediate mission</w:t>
            </w:r>
          </w:p>
        </w:tc>
        <w:tc>
          <w:tcPr>
            <w:tcW w:type="dxa" w:w="8136"/>
            <w:vAlign w:val="center"/>
          </w:tcPr>
          <w:p>
            <w:pPr>
              <w:spacing w:after="0"/>
            </w:pPr>
            <w:r/>
            <w:r>
              <w:rPr>
                <w:rFonts w:ascii="Aptos" w:hAnsi="Aptos"/>
                <w:b w:val="0"/>
                <w:sz w:val="14"/>
              </w:rPr>
              <w:t>Make exact solving resumable, deterministic and multi-machine before larger state growth makes one-session runs fragile.</w:t>
            </w:r>
          </w:p>
        </w:tc>
      </w:tr>
      <w:tr>
        <w:trPr>
          <w:cantSplit/>
        </w:trPr>
        <w:tc>
          <w:tcPr>
            <w:tcW w:type="dxa" w:w="2376"/>
            <w:vAlign w:val="center"/>
          </w:tcPr>
          <w:p>
            <w:pPr>
              <w:spacing w:after="0"/>
            </w:pPr>
            <w:r/>
            <w:r>
              <w:rPr>
                <w:rFonts w:ascii="Aptos" w:hAnsi="Aptos"/>
                <w:b w:val="0"/>
                <w:sz w:val="14"/>
              </w:rPr>
              <w:t>Roadmap questions</w:t>
            </w:r>
          </w:p>
        </w:tc>
        <w:tc>
          <w:tcPr>
            <w:tcW w:type="dxa" w:w="8136"/>
            <w:vAlign w:val="center"/>
          </w:tcPr>
          <w:p>
            <w:pPr>
              <w:spacing w:after="0"/>
            </w:pPr>
            <w:r/>
            <w:r>
              <w:rPr>
                <w:rFonts w:ascii="Aptos" w:hAnsi="Aptos"/>
                <w:b w:val="0"/>
                <w:sz w:val="14"/>
              </w:rPr>
              <w:t>Partition material/signature jobs without semantic drift; define checkpoints, retries, work ownership and deterministic merge; reproduce complete runs from immutable manifests.</w:t>
            </w:r>
          </w:p>
        </w:tc>
      </w:tr>
      <w:tr>
        <w:trPr>
          <w:cantSplit/>
        </w:trPr>
        <w:tc>
          <w:tcPr>
            <w:tcW w:type="dxa" w:w="2376"/>
            <w:vAlign w:val="center"/>
          </w:tcPr>
          <w:p>
            <w:pPr>
              <w:spacing w:after="0"/>
            </w:pPr>
            <w:r/>
            <w:r>
              <w:rPr>
                <w:rFonts w:ascii="Aptos" w:hAnsi="Aptos"/>
                <w:b w:val="0"/>
                <w:sz w:val="14"/>
              </w:rPr>
              <w:t>Required inherited semantics</w:t>
            </w:r>
          </w:p>
        </w:tc>
        <w:tc>
          <w:tcPr>
            <w:tcW w:type="dxa" w:w="8136"/>
            <w:vAlign w:val="center"/>
          </w:tcPr>
          <w:p>
            <w:pPr>
              <w:spacing w:after="0"/>
            </w:pPr>
            <w:r/>
            <w:r>
              <w:rPr>
                <w:rFonts w:ascii="Aptos" w:hAnsi="Aptos"/>
                <w:b w:val="0"/>
                <w:sz w:val="14"/>
              </w:rPr>
              <w:t>G10.RULES.v1.0 remains chess-rule authority. G12.STATE.SERIAL.v2 is the forward canonical artifact profile unless a later explicitly versioned contract supersedes it.</w:t>
            </w:r>
          </w:p>
        </w:tc>
      </w:tr>
      <w:tr>
        <w:trPr>
          <w:cantSplit/>
        </w:trPr>
        <w:tc>
          <w:tcPr>
            <w:tcW w:type="dxa" w:w="2376"/>
            <w:vAlign w:val="center"/>
          </w:tcPr>
          <w:p>
            <w:pPr>
              <w:spacing w:after="0"/>
            </w:pPr>
            <w:r/>
            <w:r>
              <w:rPr>
                <w:rFonts w:ascii="Aptos" w:hAnsi="Aptos"/>
                <w:b w:val="0"/>
                <w:sz w:val="14"/>
              </w:rPr>
              <w:t>Required machine dependency</w:t>
            </w:r>
          </w:p>
        </w:tc>
        <w:tc>
          <w:tcPr>
            <w:tcW w:type="dxa" w:w="8136"/>
            <w:vAlign w:val="center"/>
          </w:tcPr>
          <w:p>
            <w:pPr>
              <w:spacing w:after="0"/>
            </w:pPr>
            <w:r/>
            <w:r>
              <w:rPr>
                <w:rFonts w:ascii="Aptos" w:hAnsi="Aptos"/>
                <w:b w:val="0"/>
                <w:sz w:val="14"/>
              </w:rPr>
              <w:t>G12_Final_Rules_Reference_Bundle.zip — SHA-256 7641e0f8a4e621efb90b75cd3ce99b44e96c07a2f3541114611126a076d5695c.</w:t>
            </w:r>
          </w:p>
        </w:tc>
      </w:tr>
      <w:tr>
        <w:trPr>
          <w:cantSplit/>
        </w:trPr>
        <w:tc>
          <w:tcPr>
            <w:tcW w:type="dxa" w:w="2376"/>
            <w:vAlign w:val="center"/>
          </w:tcPr>
          <w:p>
            <w:pPr>
              <w:spacing w:after="0"/>
            </w:pPr>
            <w:r/>
            <w:r>
              <w:rPr>
                <w:rFonts w:ascii="Aptos" w:hAnsi="Aptos"/>
                <w:b w:val="0"/>
                <w:sz w:val="14"/>
              </w:rPr>
              <w:t>Mandatory acceptance baseline</w:t>
            </w:r>
          </w:p>
        </w:tc>
        <w:tc>
          <w:tcPr>
            <w:tcW w:type="dxa" w:w="8136"/>
            <w:vAlign w:val="center"/>
          </w:tcPr>
          <w:p>
            <w:pPr>
              <w:spacing w:after="0"/>
            </w:pPr>
            <w:r/>
            <w:r>
              <w:rPr>
                <w:rFonts w:ascii="Aptos" w:hAnsi="Aptos"/>
                <w:b w:val="0"/>
                <w:sz w:val="14"/>
              </w:rPr>
              <w:t>Run the G12 reference suite through the checkpoint/distributed machinery. Worker kill/restart, repartitioning and retry must reproduce identical truth/certificate hashes and canonical artifacts.</w:t>
            </w:r>
          </w:p>
        </w:tc>
      </w:tr>
      <w:tr>
        <w:trPr>
          <w:cantSplit/>
        </w:trPr>
        <w:tc>
          <w:tcPr>
            <w:tcW w:type="dxa" w:w="2376"/>
            <w:vAlign w:val="center"/>
          </w:tcPr>
          <w:p>
            <w:pPr>
              <w:spacing w:after="0"/>
            </w:pPr>
            <w:r/>
            <w:r>
              <w:rPr>
                <w:rFonts w:ascii="Aptos" w:hAnsi="Aptos"/>
                <w:b w:val="0"/>
                <w:sz w:val="14"/>
              </w:rPr>
              <w:t>Blocking rule</w:t>
            </w:r>
          </w:p>
        </w:tc>
        <w:tc>
          <w:tcPr>
            <w:tcW w:type="dxa" w:w="8136"/>
            <w:vAlign w:val="center"/>
          </w:tcPr>
          <w:p>
            <w:pPr>
              <w:spacing w:after="0"/>
            </w:pPr>
            <w:r/>
            <w:r>
              <w:rPr>
                <w:rFonts w:ascii="Aptos" w:hAnsi="Aptos"/>
                <w:b w:val="0"/>
                <w:sz w:val="14"/>
              </w:rPr>
              <w:t>Stop on nondeterministic merge, hidden global state, non-content-addressed dependency identity, or checkpoint resume that changes any accepted result.</w:t>
            </w:r>
          </w:p>
        </w:tc>
      </w:tr>
      <w:tr>
        <w:trPr>
          <w:cantSplit/>
        </w:trPr>
        <w:tc>
          <w:tcPr>
            <w:tcW w:type="dxa" w:w="2376"/>
            <w:vAlign w:val="center"/>
          </w:tcPr>
          <w:p>
            <w:pPr>
              <w:spacing w:after="0"/>
            </w:pPr>
            <w:r/>
            <w:r>
              <w:rPr>
                <w:rFonts w:ascii="Aptos" w:hAnsi="Aptos"/>
                <w:b w:val="0"/>
                <w:sz w:val="14"/>
              </w:rPr>
              <w:t>Provenance rule</w:t>
            </w:r>
          </w:p>
        </w:tc>
        <w:tc>
          <w:tcPr>
            <w:tcW w:type="dxa" w:w="8136"/>
            <w:vAlign w:val="center"/>
          </w:tcPr>
          <w:p>
            <w:pPr>
              <w:spacing w:after="0"/>
            </w:pPr>
            <w:r/>
            <w:r>
              <w:rPr>
                <w:rFonts w:ascii="Aptos" w:hAnsi="Aptos"/>
                <w:b w:val="0"/>
                <w:sz w:val="14"/>
              </w:rPr>
              <w:t>Do not try to “heal” the missing G10 payload by calling G12 v2 the original G10 bytes. Preserve the break as explicit history.</w:t>
            </w:r>
          </w:p>
        </w:tc>
      </w:tr>
      <w:tr>
        <w:trPr>
          <w:cantSplit/>
        </w:trPr>
        <w:tc>
          <w:tcPr>
            <w:tcW w:type="dxa" w:w="2376"/>
            <w:vAlign w:val="center"/>
          </w:tcPr>
          <w:p>
            <w:pPr>
              <w:spacing w:after="0"/>
            </w:pPr>
            <w:r/>
            <w:r>
              <w:rPr>
                <w:rFonts w:ascii="Aptos" w:hAnsi="Aptos"/>
                <w:b w:val="0"/>
                <w:sz w:val="14"/>
              </w:rPr>
              <w:t>G14 coordination</w:t>
            </w:r>
          </w:p>
        </w:tc>
        <w:tc>
          <w:tcPr>
            <w:tcW w:type="dxa" w:w="8136"/>
            <w:vAlign w:val="center"/>
          </w:tcPr>
          <w:p>
            <w:pPr>
              <w:spacing w:after="0"/>
            </w:pPr>
            <w:r/>
            <w:r>
              <w:rPr>
                <w:rFonts w:ascii="Aptos" w:hAnsi="Aptos"/>
                <w:b w:val="0"/>
                <w:sz w:val="14"/>
              </w:rPr>
              <w:t>Design G13 manifests/checkpoints so G14 can store immutable semantic version, source hash, truth hash, certificate hash and dependency identity without lossy translation.</w:t>
            </w:r>
          </w:p>
        </w:tc>
      </w:tr>
      <w:tr>
        <w:trPr>
          <w:cantSplit/>
        </w:trPr>
        <w:tc>
          <w:tcPr>
            <w:tcW w:type="dxa" w:w="2376"/>
            <w:vAlign w:val="center"/>
          </w:tcPr>
          <w:p>
            <w:pPr>
              <w:spacing w:after="0"/>
            </w:pPr>
            <w:r/>
            <w:r>
              <w:rPr>
                <w:rFonts w:ascii="Aptos" w:hAnsi="Aptos"/>
                <w:b w:val="0"/>
                <w:sz w:val="14"/>
              </w:rPr>
              <w:t>Older artifacts genuinely needed</w:t>
            </w:r>
          </w:p>
        </w:tc>
        <w:tc>
          <w:tcPr>
            <w:tcW w:type="dxa" w:w="8136"/>
            <w:vAlign w:val="center"/>
          </w:tcPr>
          <w:p>
            <w:pPr>
              <w:spacing w:after="0"/>
            </w:pPr>
            <w:r/>
            <w:r>
              <w:rPr>
                <w:rFonts w:ascii="Aptos" w:hAnsi="Aptos"/>
                <w:b w:val="0"/>
                <w:sz w:val="14"/>
              </w:rPr>
              <w:t>None by default. Read the G9 roadmap + this handoff + the G12 machine bundle. Retrieve G7 only if a deliberately chosen G13 scale benchmark requires its exact old payload.</w:t>
            </w:r>
          </w:p>
        </w:tc>
      </w:tr>
      <w:tr>
        <w:trPr>
          <w:cantSplit/>
        </w:trPr>
        <w:tc>
          <w:tcPr>
            <w:tcW w:type="dxa" w:w="2376"/>
            <w:vAlign w:val="center"/>
          </w:tcPr>
          <w:p>
            <w:pPr>
              <w:spacing w:after="0"/>
            </w:pPr>
            <w:r/>
            <w:r>
              <w:rPr>
                <w:rFonts w:ascii="Aptos" w:hAnsi="Aptos"/>
                <w:b w:val="0"/>
                <w:sz w:val="14"/>
              </w:rPr>
              <w:t>Advance condition</w:t>
            </w:r>
          </w:p>
        </w:tc>
        <w:tc>
          <w:tcPr>
            <w:tcW w:type="dxa" w:w="8136"/>
            <w:vAlign w:val="center"/>
          </w:tcPr>
          <w:p>
            <w:pPr>
              <w:spacing w:after="0"/>
            </w:pPr>
            <w:r/>
            <w:r>
              <w:rPr>
                <w:rFonts w:ascii="Aptos" w:hAnsi="Aptos"/>
                <w:b w:val="0"/>
                <w:sz w:val="14"/>
              </w:rPr>
              <w:t>Content-addressed manifests, checkpoint format, deterministic scheduler and retry/recovery protocol exist; a reference distributed run survives worker kill/restart with identical truth/certificate hashes.</w:t>
            </w:r>
          </w:p>
        </w:tc>
      </w:tr>
      <w:tr>
        <w:trPr>
          <w:cantSplit/>
        </w:trPr>
        <w:tc>
          <w:tcPr>
            <w:tcW w:type="dxa" w:w="2376"/>
            <w:vAlign w:val="center"/>
          </w:tcPr>
          <w:p>
            <w:pPr>
              <w:spacing w:after="0"/>
            </w:pPr>
            <w:r/>
            <w:r>
              <w:rPr>
                <w:rFonts w:ascii="Aptos" w:hAnsi="Aptos"/>
                <w:b w:val="0"/>
                <w:sz w:val="14"/>
              </w:rPr>
              <w:t>What G13 unlocks</w:t>
            </w:r>
          </w:p>
        </w:tc>
        <w:tc>
          <w:tcPr>
            <w:tcW w:type="dxa" w:w="8136"/>
            <w:vAlign w:val="center"/>
          </w:tcPr>
          <w:p>
            <w:pPr>
              <w:spacing w:after="0"/>
            </w:pPr>
            <w:r/>
            <w:r>
              <w:rPr>
                <w:rFonts w:ascii="Aptos" w:hAnsi="Aptos"/>
                <w:b w:val="0"/>
                <w:sz w:val="14"/>
              </w:rPr>
              <w:t>G17 onward directly; in the dependency spine it supports durable compute/proof-store closure before G15 and scale/breadth.</w:t>
            </w:r>
          </w:p>
        </w:tc>
      </w:tr>
    </w:tbl>
    <w:p>
      <w:pPr>
        <w:spacing w:after="0"/>
      </w:pPr>
    </w:p>
    <w:p>
      <w:pPr>
        <w:pStyle w:val="Heading1"/>
      </w:pPr>
      <w:r>
        <w:t>18. Frozen G12 artifact inventory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240"/>
            <w:vAlign w:val="center"/>
            <w:shd w:fill="D9EAF7"/>
          </w:tcPr>
          <w:p>
            <w:pPr>
              <w:spacing w:after="0"/>
            </w:pPr>
            <w:r/>
            <w:r>
              <w:rPr>
                <w:rFonts w:ascii="Aptos" w:hAnsi="Aptos"/>
                <w:b/>
                <w:sz w:val="13"/>
              </w:rPr>
              <w:t>Artifact</w:t>
            </w:r>
          </w:p>
        </w:tc>
        <w:tc>
          <w:tcPr>
            <w:tcW w:type="dxa" w:w="4104"/>
            <w:vAlign w:val="center"/>
            <w:shd w:fill="D9EAF7"/>
          </w:tcPr>
          <w:p>
            <w:pPr>
              <w:spacing w:after="0"/>
            </w:pPr>
            <w:r/>
            <w:r>
              <w:rPr>
                <w:rFonts w:ascii="Aptos" w:hAnsi="Aptos"/>
                <w:b/>
                <w:sz w:val="13"/>
              </w:rPr>
              <w:t>SHA-256</w:t>
            </w:r>
          </w:p>
        </w:tc>
        <w:tc>
          <w:tcPr>
            <w:tcW w:type="dxa" w:w="3240"/>
            <w:vAlign w:val="center"/>
            <w:shd w:fill="D9EAF7"/>
          </w:tcPr>
          <w:p>
            <w:pPr>
              <w:spacing w:after="0"/>
            </w:pPr>
            <w:r/>
            <w:r>
              <w:rPr>
                <w:rFonts w:ascii="Aptos" w:hAnsi="Aptos"/>
                <w:b/>
                <w:sz w:val="13"/>
              </w:rPr>
              <w:t>Role</w:t>
            </w:r>
          </w:p>
        </w:tc>
      </w:tr>
      <w:tr>
        <w:trPr>
          <w:cantSplit/>
        </w:trPr>
        <w:tc>
          <w:tcPr>
            <w:tcW w:type="dxa" w:w="3240"/>
            <w:vAlign w:val="center"/>
          </w:tcPr>
          <w:p>
            <w:pPr>
              <w:spacing w:after="0"/>
            </w:pPr>
            <w:r/>
            <w:r>
              <w:rPr>
                <w:rFonts w:ascii="Aptos" w:hAnsi="Aptos"/>
                <w:b w:val="0"/>
                <w:sz w:val="13"/>
              </w:rPr>
              <w:t>G12_Superseding_State_Contract_v2.json</w:t>
            </w:r>
          </w:p>
        </w:tc>
        <w:tc>
          <w:tcPr>
            <w:tcW w:type="dxa" w:w="4104"/>
            <w:vAlign w:val="center"/>
          </w:tcPr>
          <w:p>
            <w:pPr>
              <w:spacing w:after="0"/>
            </w:pPr>
            <w:r/>
            <w:r>
              <w:rPr>
                <w:rFonts w:ascii="Aptos" w:hAnsi="Aptos"/>
                <w:b w:val="0"/>
                <w:sz w:val="13"/>
              </w:rPr>
              <w:t>73ef6660d98c1aa072feb8a04764b26cf4c69b9d545abdb2f4d8f105965d06a8</w:t>
            </w:r>
          </w:p>
        </w:tc>
        <w:tc>
          <w:tcPr>
            <w:tcW w:type="dxa" w:w="3240"/>
            <w:vAlign w:val="center"/>
          </w:tcPr>
          <w:p>
            <w:pPr>
              <w:spacing w:after="0"/>
            </w:pPr>
            <w:r/>
            <w:r>
              <w:rPr>
                <w:rFonts w:ascii="Aptos" w:hAnsi="Aptos"/>
                <w:b w:val="0"/>
                <w:sz w:val="13"/>
              </w:rPr>
              <w:t>Superseding v2 canonical serialization/state artifact profile.</w:t>
            </w:r>
          </w:p>
        </w:tc>
      </w:tr>
      <w:tr>
        <w:trPr>
          <w:cantSplit/>
        </w:trPr>
        <w:tc>
          <w:tcPr>
            <w:tcW w:type="dxa" w:w="3240"/>
            <w:vAlign w:val="center"/>
          </w:tcPr>
          <w:p>
            <w:pPr>
              <w:spacing w:after="0"/>
            </w:pPr>
            <w:r/>
            <w:r>
              <w:rPr>
                <w:rFonts w:ascii="Aptos" w:hAnsi="Aptos"/>
                <w:b w:val="0"/>
                <w:sz w:val="13"/>
              </w:rPr>
              <w:t>G12_Conformance_Vectors_v2.json</w:t>
            </w:r>
          </w:p>
        </w:tc>
        <w:tc>
          <w:tcPr>
            <w:tcW w:type="dxa" w:w="4104"/>
            <w:vAlign w:val="center"/>
          </w:tcPr>
          <w:p>
            <w:pPr>
              <w:spacing w:after="0"/>
            </w:pPr>
            <w:r/>
            <w:r>
              <w:rPr>
                <w:rFonts w:ascii="Aptos" w:hAnsi="Aptos"/>
                <w:b w:val="0"/>
                <w:sz w:val="13"/>
              </w:rPr>
              <w:t>ed972a06e6d855ec47077a90dc81e8c49db6ba1a21562f44cd684a600b6534d8</w:t>
            </w:r>
          </w:p>
        </w:tc>
        <w:tc>
          <w:tcPr>
            <w:tcW w:type="dxa" w:w="3240"/>
            <w:vAlign w:val="center"/>
          </w:tcPr>
          <w:p>
            <w:pPr>
              <w:spacing w:after="0"/>
            </w:pPr>
            <w:r/>
            <w:r>
              <w:rPr>
                <w:rFonts w:ascii="Aptos" w:hAnsi="Aptos"/>
                <w:b w:val="0"/>
                <w:sz w:val="13"/>
              </w:rPr>
              <w:t>New frozen semantic/conformance corpus; not G10 reconstruction.</w:t>
            </w:r>
          </w:p>
        </w:tc>
      </w:tr>
      <w:tr>
        <w:trPr>
          <w:cantSplit/>
        </w:trPr>
        <w:tc>
          <w:tcPr>
            <w:tcW w:type="dxa" w:w="3240"/>
            <w:vAlign w:val="center"/>
          </w:tcPr>
          <w:p>
            <w:pPr>
              <w:spacing w:after="0"/>
            </w:pPr>
            <w:r/>
            <w:r>
              <w:rPr>
                <w:rFonts w:ascii="Aptos" w:hAnsi="Aptos"/>
                <w:b w:val="0"/>
                <w:sz w:val="13"/>
              </w:rPr>
              <w:t>g12_suite.cpp</w:t>
            </w:r>
          </w:p>
        </w:tc>
        <w:tc>
          <w:tcPr>
            <w:tcW w:type="dxa" w:w="4104"/>
            <w:vAlign w:val="center"/>
          </w:tcPr>
          <w:p>
            <w:pPr>
              <w:spacing w:after="0"/>
            </w:pPr>
            <w:r/>
            <w:r>
              <w:rPr>
                <w:rFonts w:ascii="Aptos" w:hAnsi="Aptos"/>
                <w:b w:val="0"/>
                <w:sz w:val="13"/>
              </w:rPr>
              <w:t>d759ccf161637a4b612a48f04f7ecab26b1fcab4204711030fe1c304ac40dfec</w:t>
            </w:r>
          </w:p>
        </w:tc>
        <w:tc>
          <w:tcPr>
            <w:tcW w:type="dxa" w:w="3240"/>
            <w:vAlign w:val="center"/>
          </w:tcPr>
          <w:p>
            <w:pPr>
              <w:spacing w:after="0"/>
            </w:pPr>
            <w:r/>
            <w:r>
              <w:rPr>
                <w:rFonts w:ascii="Aptos" w:hAnsi="Aptos"/>
                <w:b w:val="0"/>
                <w:sz w:val="13"/>
              </w:rPr>
              <w:t>Producer + source-centric reference implementation and v2 controls.</w:t>
            </w:r>
          </w:p>
        </w:tc>
      </w:tr>
      <w:tr>
        <w:trPr>
          <w:cantSplit/>
        </w:trPr>
        <w:tc>
          <w:tcPr>
            <w:tcW w:type="dxa" w:w="3240"/>
            <w:vAlign w:val="center"/>
          </w:tcPr>
          <w:p>
            <w:pPr>
              <w:spacing w:after="0"/>
            </w:pPr>
            <w:r/>
            <w:r>
              <w:rPr>
                <w:rFonts w:ascii="Aptos" w:hAnsi="Aptos"/>
                <w:b w:val="0"/>
                <w:sz w:val="13"/>
              </w:rPr>
              <w:t>g12_verifier.cpp</w:t>
            </w:r>
          </w:p>
        </w:tc>
        <w:tc>
          <w:tcPr>
            <w:tcW w:type="dxa" w:w="4104"/>
            <w:vAlign w:val="center"/>
          </w:tcPr>
          <w:p>
            <w:pPr>
              <w:spacing w:after="0"/>
            </w:pPr>
            <w:r/>
            <w:r>
              <w:rPr>
                <w:rFonts w:ascii="Aptos" w:hAnsi="Aptos"/>
                <w:b w:val="0"/>
                <w:sz w:val="13"/>
              </w:rPr>
              <w:t>99cd9a3466169d558128df49a31416c54e380d10133740cb9c8f44fa00ed34ef</w:t>
            </w:r>
          </w:p>
        </w:tc>
        <w:tc>
          <w:tcPr>
            <w:tcW w:type="dxa" w:w="3240"/>
            <w:vAlign w:val="center"/>
          </w:tcPr>
          <w:p>
            <w:pPr>
              <w:spacing w:after="0"/>
            </w:pPr>
            <w:r/>
            <w:r>
              <w:rPr>
                <w:rFonts w:ascii="Aptos" w:hAnsi="Aptos"/>
                <w:b w:val="0"/>
                <w:sz w:val="13"/>
              </w:rPr>
              <w:t>Standalone target-centric Bellman/deadness verifier.</w:t>
            </w:r>
          </w:p>
        </w:tc>
      </w:tr>
      <w:tr>
        <w:trPr>
          <w:cantSplit/>
        </w:trPr>
        <w:tc>
          <w:tcPr>
            <w:tcW w:type="dxa" w:w="3240"/>
            <w:vAlign w:val="center"/>
          </w:tcPr>
          <w:p>
            <w:pPr>
              <w:spacing w:after="0"/>
            </w:pPr>
            <w:r/>
            <w:r>
              <w:rPr>
                <w:rFonts w:ascii="Aptos" w:hAnsi="Aptos"/>
                <w:b w:val="0"/>
                <w:sz w:val="13"/>
              </w:rPr>
              <w:t>G12_Arena_Ledger.json</w:t>
            </w:r>
          </w:p>
        </w:tc>
        <w:tc>
          <w:tcPr>
            <w:tcW w:type="dxa" w:w="4104"/>
            <w:vAlign w:val="center"/>
          </w:tcPr>
          <w:p>
            <w:pPr>
              <w:spacing w:after="0"/>
            </w:pPr>
            <w:r/>
            <w:r>
              <w:rPr>
                <w:rFonts w:ascii="Aptos" w:hAnsi="Aptos"/>
                <w:b w:val="0"/>
                <w:sz w:val="13"/>
              </w:rPr>
              <w:t>6cd144db4dd8e5416f7dc41e2b29ddc5be76d15aa0350db10b70adf16cc7689d</w:t>
            </w:r>
          </w:p>
        </w:tc>
        <w:tc>
          <w:tcPr>
            <w:tcW w:type="dxa" w:w="3240"/>
            <w:vAlign w:val="center"/>
          </w:tcPr>
          <w:p>
            <w:pPr>
              <w:spacing w:after="0"/>
            </w:pPr>
            <w:r/>
            <w:r>
              <w:rPr>
                <w:rFonts w:ascii="Aptos" w:hAnsi="Aptos"/>
                <w:b w:val="0"/>
                <w:sz w:val="13"/>
              </w:rPr>
              <w:t>Authoritative exact arena counts and producer checksums.</w:t>
            </w:r>
          </w:p>
        </w:tc>
      </w:tr>
      <w:tr>
        <w:trPr>
          <w:cantSplit/>
        </w:trPr>
        <w:tc>
          <w:tcPr>
            <w:tcW w:type="dxa" w:w="3240"/>
            <w:vAlign w:val="center"/>
          </w:tcPr>
          <w:p>
            <w:pPr>
              <w:spacing w:after="0"/>
            </w:pPr>
            <w:r/>
            <w:r>
              <w:rPr>
                <w:rFonts w:ascii="Aptos" w:hAnsi="Aptos"/>
                <w:b w:val="0"/>
                <w:sz w:val="13"/>
              </w:rPr>
              <w:t>G12_Verification_Ledger.json</w:t>
            </w:r>
          </w:p>
        </w:tc>
        <w:tc>
          <w:tcPr>
            <w:tcW w:type="dxa" w:w="4104"/>
            <w:vAlign w:val="center"/>
          </w:tcPr>
          <w:p>
            <w:pPr>
              <w:spacing w:after="0"/>
            </w:pPr>
            <w:r/>
            <w:r>
              <w:rPr>
                <w:rFonts w:ascii="Aptos" w:hAnsi="Aptos"/>
                <w:b w:val="0"/>
                <w:sz w:val="13"/>
              </w:rPr>
              <w:t>792ea0b9a427f9d77a97b50888f8eb7b6c47c9df0fc65b89945b72e5c83b78d4</w:t>
            </w:r>
          </w:p>
        </w:tc>
        <w:tc>
          <w:tcPr>
            <w:tcW w:type="dxa" w:w="3240"/>
            <w:vAlign w:val="center"/>
          </w:tcPr>
          <w:p>
            <w:pPr>
              <w:spacing w:after="0"/>
            </w:pPr>
            <w:r/>
            <w:r>
              <w:rPr>
                <w:rFonts w:ascii="Aptos" w:hAnsi="Aptos"/>
                <w:b w:val="0"/>
                <w:sz w:val="13"/>
              </w:rPr>
              <w:t>Independent replay counts, edge hashes and zero mismatch ledger.</w:t>
            </w:r>
          </w:p>
        </w:tc>
      </w:tr>
      <w:tr>
        <w:trPr>
          <w:cantSplit/>
        </w:trPr>
        <w:tc>
          <w:tcPr>
            <w:tcW w:type="dxa" w:w="3240"/>
            <w:vAlign w:val="center"/>
          </w:tcPr>
          <w:p>
            <w:pPr>
              <w:spacing w:after="0"/>
            </w:pPr>
            <w:r/>
            <w:r>
              <w:rPr>
                <w:rFonts w:ascii="Aptos" w:hAnsi="Aptos"/>
                <w:b w:val="0"/>
                <w:sz w:val="13"/>
              </w:rPr>
              <w:t>G12_History_Rules_Ledger.json</w:t>
            </w:r>
          </w:p>
        </w:tc>
        <w:tc>
          <w:tcPr>
            <w:tcW w:type="dxa" w:w="4104"/>
            <w:vAlign w:val="center"/>
          </w:tcPr>
          <w:p>
            <w:pPr>
              <w:spacing w:after="0"/>
            </w:pPr>
            <w:r/>
            <w:r>
              <w:rPr>
                <w:rFonts w:ascii="Aptos" w:hAnsi="Aptos"/>
                <w:b w:val="0"/>
                <w:sz w:val="13"/>
              </w:rPr>
              <w:t>c8a374bd5237cab0372bd9ad0ddff0a166cebe6c23f82c14a452687f6b7432eb</w:t>
            </w:r>
          </w:p>
        </w:tc>
        <w:tc>
          <w:tcPr>
            <w:tcW w:type="dxa" w:w="3240"/>
            <w:vAlign w:val="center"/>
          </w:tcPr>
          <w:p>
            <w:pPr>
              <w:spacing w:after="0"/>
            </w:pPr>
            <w:r/>
            <w:r>
              <w:rPr>
                <w:rFonts w:ascii="Aptos" w:hAnsi="Aptos"/>
                <w:b w:val="0"/>
                <w:sz w:val="13"/>
              </w:rPr>
              <w:t>History-sensitive claim/automatic-draw and mate-precedence controls.</w:t>
            </w:r>
          </w:p>
        </w:tc>
      </w:tr>
      <w:tr>
        <w:trPr>
          <w:cantSplit/>
        </w:trPr>
        <w:tc>
          <w:tcPr>
            <w:tcW w:type="dxa" w:w="3240"/>
            <w:vAlign w:val="center"/>
          </w:tcPr>
          <w:p>
            <w:pPr>
              <w:spacing w:after="0"/>
            </w:pPr>
            <w:r/>
            <w:r>
              <w:rPr>
                <w:rFonts w:ascii="Aptos" w:hAnsi="Aptos"/>
                <w:b w:val="0"/>
                <w:sz w:val="13"/>
              </w:rPr>
              <w:t>G12_KQK_Certificate_v2.bin</w:t>
            </w:r>
          </w:p>
        </w:tc>
        <w:tc>
          <w:tcPr>
            <w:tcW w:type="dxa" w:w="4104"/>
            <w:vAlign w:val="center"/>
          </w:tcPr>
          <w:p>
            <w:pPr>
              <w:spacing w:after="0"/>
            </w:pPr>
            <w:r/>
            <w:r>
              <w:rPr>
                <w:rFonts w:ascii="Aptos" w:hAnsi="Aptos"/>
                <w:b w:val="0"/>
                <w:sz w:val="13"/>
              </w:rPr>
              <w:t>e01dd995e050542e63d2f7c3f6fe1a9ef05a1ce065d64704e743907f8a0c9127</w:t>
            </w:r>
          </w:p>
        </w:tc>
        <w:tc>
          <w:tcPr>
            <w:tcW w:type="dxa" w:w="3240"/>
            <w:vAlign w:val="center"/>
          </w:tcPr>
          <w:p>
            <w:pPr>
              <w:spacing w:after="0"/>
            </w:pPr>
            <w:r/>
            <w:r>
              <w:rPr>
                <w:rFonts w:ascii="Aptos" w:hAnsi="Aptos"/>
                <w:b w:val="0"/>
                <w:sz w:val="13"/>
              </w:rPr>
              <w:t>KQK valid/win/rank certificate.</w:t>
            </w:r>
          </w:p>
        </w:tc>
      </w:tr>
      <w:tr>
        <w:trPr>
          <w:cantSplit/>
        </w:trPr>
        <w:tc>
          <w:tcPr>
            <w:tcW w:type="dxa" w:w="3240"/>
            <w:vAlign w:val="center"/>
          </w:tcPr>
          <w:p>
            <w:pPr>
              <w:spacing w:after="0"/>
            </w:pPr>
            <w:r/>
            <w:r>
              <w:rPr>
                <w:rFonts w:ascii="Aptos" w:hAnsi="Aptos"/>
                <w:b w:val="0"/>
                <w:sz w:val="13"/>
              </w:rPr>
              <w:t>G12_KRK_Certificate_v2.bin</w:t>
            </w:r>
          </w:p>
        </w:tc>
        <w:tc>
          <w:tcPr>
            <w:tcW w:type="dxa" w:w="4104"/>
            <w:vAlign w:val="center"/>
          </w:tcPr>
          <w:p>
            <w:pPr>
              <w:spacing w:after="0"/>
            </w:pPr>
            <w:r/>
            <w:r>
              <w:rPr>
                <w:rFonts w:ascii="Aptos" w:hAnsi="Aptos"/>
                <w:b w:val="0"/>
                <w:sz w:val="13"/>
              </w:rPr>
              <w:t>badc392dbdd13b96862c4e5859cf50468f65cd65a72f40747d9300ebcc110793</w:t>
            </w:r>
          </w:p>
        </w:tc>
        <w:tc>
          <w:tcPr>
            <w:tcW w:type="dxa" w:w="3240"/>
            <w:vAlign w:val="center"/>
          </w:tcPr>
          <w:p>
            <w:pPr>
              <w:spacing w:after="0"/>
            </w:pPr>
            <w:r/>
            <w:r>
              <w:rPr>
                <w:rFonts w:ascii="Aptos" w:hAnsi="Aptos"/>
                <w:b w:val="0"/>
                <w:sz w:val="13"/>
              </w:rPr>
              <w:t>KRK valid/win/rank certificate.</w:t>
            </w:r>
          </w:p>
        </w:tc>
      </w:tr>
      <w:tr>
        <w:trPr>
          <w:cantSplit/>
        </w:trPr>
        <w:tc>
          <w:tcPr>
            <w:tcW w:type="dxa" w:w="3240"/>
            <w:vAlign w:val="center"/>
          </w:tcPr>
          <w:p>
            <w:pPr>
              <w:spacing w:after="0"/>
            </w:pPr>
            <w:r/>
            <w:r>
              <w:rPr>
                <w:rFonts w:ascii="Aptos" w:hAnsi="Aptos"/>
                <w:b w:val="0"/>
                <w:sz w:val="13"/>
              </w:rPr>
              <w:t>G12_KPK_Certificate_v2.bin</w:t>
            </w:r>
          </w:p>
        </w:tc>
        <w:tc>
          <w:tcPr>
            <w:tcW w:type="dxa" w:w="4104"/>
            <w:vAlign w:val="center"/>
          </w:tcPr>
          <w:p>
            <w:pPr>
              <w:spacing w:after="0"/>
            </w:pPr>
            <w:r/>
            <w:r>
              <w:rPr>
                <w:rFonts w:ascii="Aptos" w:hAnsi="Aptos"/>
                <w:b w:val="0"/>
                <w:sz w:val="13"/>
              </w:rPr>
              <w:t>b515ae01fa2c23669b00d967d9a86d921534874f90d3d53e8bef1f1155359eba</w:t>
            </w:r>
          </w:p>
        </w:tc>
        <w:tc>
          <w:tcPr>
            <w:tcW w:type="dxa" w:w="3240"/>
            <w:vAlign w:val="center"/>
          </w:tcPr>
          <w:p>
            <w:pPr>
              <w:spacing w:after="0"/>
            </w:pPr>
            <w:r/>
            <w:r>
              <w:rPr>
                <w:rFonts w:ascii="Aptos" w:hAnsi="Aptos"/>
                <w:b w:val="0"/>
                <w:sz w:val="13"/>
              </w:rPr>
              <w:t>KPK valid/win/rank certificate.</w:t>
            </w:r>
          </w:p>
        </w:tc>
      </w:tr>
      <w:tr>
        <w:trPr>
          <w:cantSplit/>
        </w:trPr>
        <w:tc>
          <w:tcPr>
            <w:tcW w:type="dxa" w:w="3240"/>
            <w:vAlign w:val="center"/>
          </w:tcPr>
          <w:p>
            <w:pPr>
              <w:spacing w:after="0"/>
            </w:pPr>
            <w:r/>
            <w:r>
              <w:rPr>
                <w:rFonts w:ascii="Aptos" w:hAnsi="Aptos"/>
                <w:b w:val="0"/>
                <w:sz w:val="13"/>
              </w:rPr>
              <w:t>G12_Freeze_Manifest.json</w:t>
            </w:r>
          </w:p>
        </w:tc>
        <w:tc>
          <w:tcPr>
            <w:tcW w:type="dxa" w:w="4104"/>
            <w:vAlign w:val="center"/>
          </w:tcPr>
          <w:p>
            <w:pPr>
              <w:spacing w:after="0"/>
            </w:pPr>
            <w:r/>
            <w:r>
              <w:rPr>
                <w:rFonts w:ascii="Aptos" w:hAnsi="Aptos"/>
                <w:b w:val="0"/>
                <w:sz w:val="13"/>
              </w:rPr>
              <w:t>9252e1d3c2fb1af2a7cf2597e48f820aec2d5204b1cbf030ab894cca8bd7e1d6</w:t>
            </w:r>
          </w:p>
        </w:tc>
        <w:tc>
          <w:tcPr>
            <w:tcW w:type="dxa" w:w="3240"/>
            <w:vAlign w:val="center"/>
          </w:tcPr>
          <w:p>
            <w:pPr>
              <w:spacing w:after="0"/>
            </w:pPr>
            <w:r/>
            <w:r>
              <w:rPr>
                <w:rFonts w:ascii="Aptos" w:hAnsi="Aptos"/>
                <w:b w:val="0"/>
                <w:sz w:val="13"/>
              </w:rPr>
              <w:t>Machine-readable closeout authority/provenance/results manifest.</w:t>
            </w:r>
          </w:p>
        </w:tc>
      </w:tr>
      <w:tr>
        <w:trPr>
          <w:cantSplit/>
        </w:trPr>
        <w:tc>
          <w:tcPr>
            <w:tcW w:type="dxa" w:w="3240"/>
            <w:vAlign w:val="center"/>
          </w:tcPr>
          <w:p>
            <w:pPr>
              <w:spacing w:after="0"/>
            </w:pPr>
            <w:r/>
            <w:r>
              <w:rPr>
                <w:rFonts w:ascii="Aptos" w:hAnsi="Aptos"/>
                <w:b w:val="0"/>
                <w:sz w:val="13"/>
              </w:rPr>
              <w:t>G12_SHA256SUMS.txt</w:t>
            </w:r>
          </w:p>
        </w:tc>
        <w:tc>
          <w:tcPr>
            <w:tcW w:type="dxa" w:w="4104"/>
            <w:vAlign w:val="center"/>
          </w:tcPr>
          <w:p>
            <w:pPr>
              <w:spacing w:after="0"/>
            </w:pPr>
            <w:r/>
            <w:r>
              <w:rPr>
                <w:rFonts w:ascii="Aptos" w:hAnsi="Aptos"/>
                <w:b w:val="0"/>
                <w:sz w:val="13"/>
              </w:rPr>
              <w:t>0ea65a5cea38867670f06a265afe016a30fb4e06952c1accba14258783226da3</w:t>
            </w:r>
          </w:p>
        </w:tc>
        <w:tc>
          <w:tcPr>
            <w:tcW w:type="dxa" w:w="3240"/>
            <w:vAlign w:val="center"/>
          </w:tcPr>
          <w:p>
            <w:pPr>
              <w:spacing w:after="0"/>
            </w:pPr>
            <w:r/>
            <w:r>
              <w:rPr>
                <w:rFonts w:ascii="Aptos" w:hAnsi="Aptos"/>
                <w:b w:val="0"/>
                <w:sz w:val="13"/>
              </w:rPr>
              <w:t>Checksum ledger for machine artifacts.</w:t>
            </w:r>
          </w:p>
        </w:tc>
      </w:tr>
      <w:tr>
        <w:trPr>
          <w:cantSplit/>
        </w:trPr>
        <w:tc>
          <w:tcPr>
            <w:tcW w:type="dxa" w:w="3240"/>
            <w:vAlign w:val="center"/>
          </w:tcPr>
          <w:p>
            <w:pPr>
              <w:spacing w:after="0"/>
            </w:pPr>
            <w:r/>
            <w:r>
              <w:rPr>
                <w:rFonts w:ascii="Aptos" w:hAnsi="Aptos"/>
                <w:b w:val="0"/>
                <w:sz w:val="13"/>
              </w:rPr>
              <w:t>G12_Final_Rules_Reference_Bundle.zip</w:t>
            </w:r>
          </w:p>
        </w:tc>
        <w:tc>
          <w:tcPr>
            <w:tcW w:type="dxa" w:w="4104"/>
            <w:vAlign w:val="center"/>
          </w:tcPr>
          <w:p>
            <w:pPr>
              <w:spacing w:after="0"/>
            </w:pPr>
            <w:r/>
            <w:r>
              <w:rPr>
                <w:rFonts w:ascii="Aptos" w:hAnsi="Aptos"/>
                <w:b w:val="0"/>
                <w:sz w:val="13"/>
              </w:rPr>
              <w:t>7641e0f8a4e621efb90b75cd3ce99b44e96c07a2f3541114611126a076d5695c</w:t>
            </w:r>
          </w:p>
        </w:tc>
        <w:tc>
          <w:tcPr>
            <w:tcW w:type="dxa" w:w="3240"/>
            <w:vAlign w:val="center"/>
          </w:tcPr>
          <w:p>
            <w:pPr>
              <w:spacing w:after="0"/>
            </w:pPr>
            <w:r/>
            <w:r>
              <w:rPr>
                <w:rFonts w:ascii="Aptos" w:hAnsi="Aptos"/>
                <w:b w:val="0"/>
                <w:sz w:val="13"/>
              </w:rPr>
              <w:t>Portable frozen machine reference bundle.</w:t>
            </w:r>
          </w:p>
        </w:tc>
      </w:tr>
    </w:tbl>
    <w:p>
      <w:pPr>
        <w:spacing w:after="0"/>
      </w:pPr>
    </w:p>
    <w:p>
      <w:pPr>
        <w:pStyle w:val="Heading1"/>
      </w:pPr>
      <w:r>
        <w:t>19. Final frozen conclusion</w:t>
      </w:r>
    </w:p>
    <w:p>
      <w:r>
        <w:t>G12 PASSES. The pass is deliberately qualified by provenance rather than hidden by it: the original G10 byte/vector payload was not recovered, so its chain remains broken and G11 remains historically HOLD against that exact replay. The explicit G11 fallback branch was exercised instead. G12 freezes a new forward canonical artifact profile, passes the new conformance gate, produces independently replayed final-rule small-arena anchors, proves a nontrivial exact DEAD family, and demonstrates with exact counterexamples why history metadata must remain part of state identity. The sequential programme may proceed to G13.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G12.R1 | 12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SOLVING CHESS | G12 TECHNICAL HANDOFF | FROZEN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G12 Full-Rule Small-Arena Certification — Technical Handoff</dc:title>
  <dc:subject>Solving Chess research programme frozen technical handoff</dc:subject>
  <dc:creator>python-docx</dc:creator>
  <cp:keywords>Solving Chess, G12, exact chess, tablebase, conformance, dead position, certificate</cp:keywords>
  <dc:description>Frozen closeout G12.R1</dc:description>
  <cp:lastModifiedBy/>
  <cp:revision>1</cp:revision>
  <dcterms:created xsi:type="dcterms:W3CDTF">2013-12-23T23:15:00Z</dcterms:created>
  <dcterms:modified xsi:type="dcterms:W3CDTF">2013-12-23T23:15:00Z</dcterms:modified>
  <cp:category/>
</cp:coreProperties>
</file>