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G7 Higher-Tree Position Discovery — Technical Handoff</w:t>
      </w:r>
    </w:p>
    <w:p>
      <w:pPr>
        <w:jc w:val="center"/>
      </w:pPr>
      <w:r>
        <w:rPr>
          <w:i/>
          <w:color w:val="666666"/>
          <w:sz w:val="24"/>
        </w:rPr>
        <w:t>Final G7.9 cross-level synthesis and frozen closeout</w:t>
      </w:r>
    </w:p>
    <w:p>
      <w:pPr>
        <w:jc w:val="center"/>
      </w:pPr>
      <w:r>
        <w:rPr>
          <w:color w:val="666666"/>
          <w:sz w:val="20"/>
        </w:rPr>
        <w:t>11 August 2026</w:t>
      </w:r>
    </w:p>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6B4F"/>
          </w:tcPr>
          <w:p>
            <w:r/>
            <w:r>
              <w:rPr>
                <w:b/>
                <w:color w:val="FFFFFF"/>
                <w:sz w:val="18"/>
              </w:rPr>
              <w:t>FINAL STATUS</w:t>
            </w:r>
          </w:p>
        </w:tc>
        <w:tc>
          <w:tcPr>
            <w:tcW w:type="dxa" w:w="5083"/>
            <w:vAlign w:val="center"/>
          </w:tcPr>
          <w:p>
            <w:r/>
            <w:r>
              <w:rPr>
                <w:b/>
                <w:sz w:val="18"/>
              </w:rPr>
              <w:t>CLOSED — STRONG SCIENTIFIC PASS WITH A FROZEN PORTFOLIO-BREADTH / SCALE-BOUNDARY EXCEPTION</w:t>
            </w:r>
          </w:p>
        </w:tc>
      </w:tr>
    </w:tbl>
    <w:p/>
    <w:p>
      <w:r>
        <w:rPr>
          <w:i w:val="0"/>
        </w:rPr>
        <w:t>This document freezes the scientific result of G7. It is a technical handoff, not a prospective plan. Recommendations and future programme design are intentionally separated into the G8 kickoff memo.</w:t>
      </w:r>
    </w:p>
    <w:p>
      <w:pPr>
        <w:pStyle w:val="Heading1"/>
      </w:pPr>
      <w:r>
        <w:t>1. Executive synthesis</w:t>
      </w:r>
    </w:p>
    <w:p>
      <w:r>
        <w:rPr>
          <w:i w:val="0"/>
        </w:rPr>
        <w:t>G7 succeeded at its central mission: it moved the programme materially higher in the chess tree, demonstrated that the G6 typed proof architecture survives ascent, discovered one genuinely new proof-language axis, fired that abstraction backward across the frozen G6 corpus, composed the old and new axes into deeper proof DAGs, and located a real current exact-solve frontier rather than retuning around it.</w:t>
      </w:r>
    </w:p>
    <w:p>
      <w:r>
        <w:rPr>
          <w:i w:val="0"/>
        </w:rPr>
        <w:t>The closeout is deliberately not labelled a perfect portfolio pass. Nine of ten G7 advance criteria are met. The strict six-family full-exact breadth criterion is not met, and one failure criterion is triggered. Both exceptions arise from the same preserved scale boundary: the present exact retrograde implementation does not return full outcome certificates on the prospectively frozen high-branch ~40–45 million-state and seven-man arenas within the declared execution/certificate budget.</w:t>
      </w:r>
    </w:p>
    <w:p>
      <w:r>
        <w:rPr>
          <w:i w:val="0"/>
        </w:rPr>
        <w:t>The strongest architectural advance is the addition of strategy-language proof objects. G6 composed alternative proof destinations through Branch-Kernel and finite-n Hyperkernel. G7 adds FILTERED_ATTRACTOR and the universal FILTER_PIVOT factorization, allowing a proof to certify not only where play can be forced but also which class of attacker moves can force it and exactly where a strategy must leave that language.</w:t>
      </w:r>
    </w:p>
    <w:p>
      <w:pPr>
        <w:pStyle w:val="Heading1"/>
      </w:pPr>
      <w:r>
        <w:t>2. Authority, provenance and freeze rules</w:t>
      </w:r>
    </w:p>
    <w:p>
      <w:pPr>
        <w:pStyle w:val="ListBullet"/>
      </w:pPr>
      <w:r>
        <w:t>Historical authority remains Pilot 1 → Pilot 2 → G3 → G4 → G5 → G6. G7 does not rewrite the two frozen G6 historical certification exceptions.</w:t>
      </w:r>
    </w:p>
    <w:p>
      <w:pPr>
        <w:pStyle w:val="ListBullet"/>
      </w:pPr>
      <w:r>
        <w:t>The G7 prospective authority is the Higher-Tree Position Discovery kickoff memo plus the corrected G7.0–G7.1 manifest v2, frozen before accepted W/D/L inspection.</w:t>
      </w:r>
    </w:p>
    <w:p>
      <w:pPr>
        <w:pStyle w:val="ListBullet"/>
      </w:pPr>
      <w:r>
        <w:t>G7.9 is synthesis only. It introduces no new arena truth, retunes no frozen predicate, and does not convert graph-audited scale holds into outcome results.</w:t>
      </w:r>
    </w:p>
    <w:p>
      <w:pPr>
        <w:pStyle w:val="ListBullet"/>
      </w:pPr>
      <w:r>
        <w:t>Membership W/D/L remains primary. Rank conventions, promotion continuation, capture exits and lower-material dependencies are part of proof-object types.</w:t>
      </w:r>
    </w:p>
    <w:p>
      <w:pPr>
        <w:pStyle w:val="Heading1"/>
      </w:pPr>
      <w:r>
        <w:t>3. Stage-by-stage record: G7.0–G7.9</w:t>
      </w:r>
    </w:p>
    <w:p>
      <w:pPr>
        <w:pStyle w:val="Heading2"/>
      </w:pPr>
      <w:r>
        <w:t>G7.0 — Freeze ascent protocol</w:t>
      </w:r>
    </w:p>
    <w:p>
      <w:r>
        <w:rPr>
          <w:i w:val="0"/>
        </w:rPr>
        <w:t>Prospective structural selection rules and G6 proof-library authority frozen. Outcome truth and predicate coverage forbidden during candidate selection.</w:t>
      </w:r>
    </w:p>
    <w:p>
      <w:pPr>
        <w:pStyle w:val="Heading2"/>
      </w:pPr>
      <w:r>
        <w:t>G7.1 — Higher-tree position miner</w:t>
      </w:r>
    </w:p>
    <w:p>
      <w:r>
        <w:rPr>
          <w:i w:val="0"/>
        </w:rPr>
        <w:t>Candidate atlas frozen from scale, branching, transition diversity, checking density, symmetry and topology novelty. A slider-successor implementation defect was later caught; buggy structural metrics and all W/D/L from that version were discarded. Corrected ordering remained unchanged.</w:t>
      </w:r>
    </w:p>
    <w:p>
      <w:pPr>
        <w:pStyle w:val="Heading2"/>
      </w:pPr>
      <w:r>
        <w:t>G7.2 — First six-man wave</w:t>
      </w:r>
    </w:p>
    <w:p>
      <w:r>
        <w:rPr>
          <w:i w:val="0"/>
        </w:rPr>
        <w:t>F01 and F02 solved exactly with audited capture-closed dependency DAGs. F03 became a graph-audited tractability hold rather than an outcome claim.</w:t>
      </w:r>
    </w:p>
    <w:p>
      <w:pPr>
        <w:pStyle w:val="Heading2"/>
      </w:pPr>
      <w:r>
        <w:t>G7.3 — Capture/checking transition campaign</w:t>
      </w:r>
    </w:p>
    <w:p>
      <w:r>
        <w:rPr>
          <w:i w:val="0"/>
        </w:rPr>
        <w:t>Alternative lower-material exact subgames were promoted to typed targets. Two-way material-endpoint BRIDGE appeared in both F01/F02, establishing the first exchange-funnel certificate without requiring a new theorem.</w:t>
      </w:r>
    </w:p>
    <w:p>
      <w:pPr>
        <w:pStyle w:val="Heading2"/>
      </w:pPr>
      <w:r>
        <w:t>G7.4 — Seven-man / fortress-imbalance wave</w:t>
      </w:r>
    </w:p>
    <w:p>
      <w:r>
        <w:rPr>
          <w:i w:val="0"/>
        </w:rPr>
        <w:t>F07/F08 preserved as seven-man scale holds. The alternative predeclared fortress branch yielded F09: exact higher-material preservation of the wrong-colour h8 sanctuary, strong White TARGET attraction, and near-complete defender sanctuary coverage. F10 prospectively falsified universal sanctuary lifting when the added bishop gained access to h8.</w:t>
      </w:r>
    </w:p>
    <w:p>
      <w:pPr>
        <w:pStyle w:val="Heading2"/>
      </w:pPr>
      <w:r>
        <w:t>G7.5 — Fire G6 architecture upward</w:t>
      </w:r>
    </w:p>
    <w:p>
      <w:r>
        <w:rPr>
          <w:i w:val="0"/>
        </w:rPr>
        <w:t>Strict attractor, Branch-Kernel, finite-n Hyperkernel, role-dual sanctuary, PROJECT and localization diagnostics were fired unchanged where typed. F02 produced a 1,641-state three-way material Hyperkernel generating a 7,195-state irreducible region. Old double-brink target instances failed exactly when the richer resource set invalidated their frozen guard assumptions.</w:t>
      </w:r>
    </w:p>
    <w:p>
      <w:pPr>
        <w:pStyle w:val="Heading2"/>
      </w:pPr>
      <w:r>
        <w:t>G7.6 — Discover new abstractions</w:t>
      </w:r>
    </w:p>
    <w:p>
      <w:r>
        <w:rPr>
          <w:i w:val="0"/>
        </w:rPr>
        <w:t>Candidate synthesis was allowed only after unchanged G6 firing. Multi-projection consistency collapsed under subsumption to a stronger single-projection RESTORE theorem. Sanctuary access remained a conditional guard family. Strategy-language reachability and Filter-Pivot survived as genuinely new proof-language structure.</w:t>
      </w:r>
    </w:p>
    <w:p>
      <w:pPr>
        <w:pStyle w:val="Heading2"/>
      </w:pPr>
      <w:r>
        <w:t>G7.7 — Fire G7 backward</w:t>
      </w:r>
    </w:p>
    <w:p>
      <w:r>
        <w:rPr>
          <w:i w:val="0"/>
        </w:rPr>
        <w:t>FILTER_PIVOT was exact on 24/24 all-file G6 N/B/R arenas, nested rank-band controls and the faithful fortress, with zero missing/extra states. CHECK coverage varied sharply by topology, proving that the operator transfers even when a particular strategy language does not dominate.</w:t>
      </w:r>
    </w:p>
    <w:p>
      <w:pPr>
        <w:pStyle w:val="Heading2"/>
      </w:pPr>
      <w:r>
        <w:t>G7.8 — Proof-graph ascent / adversarial controls</w:t>
      </w:r>
    </w:p>
    <w:p>
      <w:r>
        <w:rPr>
          <w:i w:val="0"/>
        </w:rPr>
        <w:t>F02 produced a depth&gt;3 mixed proof DAG: exact endpoints → Hyperkernel → irreducible region → second-order attractor → CHECK corridor / Filter-Pivot complement. F04 and F06 were preserved as graph-audited &gt;180 s no-W/D/L high-branch complexity-floor controls.</w:t>
      </w:r>
    </w:p>
    <w:p>
      <w:pPr>
        <w:pStyle w:val="Heading2"/>
      </w:pPr>
      <w:r>
        <w:t>G7.9 — Cross-level synthesis</w:t>
      </w:r>
    </w:p>
    <w:p>
      <w:r>
        <w:rPr>
          <w:i w:val="0"/>
        </w:rPr>
        <w:t>Proof-language classes, advance/failure criteria, complexity frontier and G8 gate were reconciled without new chess truth. Final verdict: strong scientific pass with one explicitly frozen breadth/scale exception.</w:t>
      </w:r>
    </w:p>
    <w:p>
      <w:pPr>
        <w:pStyle w:val="Heading1"/>
      </w:pPr>
      <w:r>
        <w:t>4. Frozen higher-tree portfolio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864"/>
            <w:vAlign w:val="center"/>
            <w:shd w:fill="2F5597"/>
          </w:tcPr>
          <w:p>
            <w:r/>
            <w:r>
              <w:rPr>
                <w:b/>
                <w:color w:val="FFFFFF"/>
                <w:sz w:val="17"/>
              </w:rPr>
              <w:t>ID</w:t>
            </w:r>
          </w:p>
        </w:tc>
        <w:tc>
          <w:tcPr>
            <w:tcW w:type="dxa" w:w="4464"/>
            <w:vAlign w:val="center"/>
            <w:shd w:fill="2F5597"/>
          </w:tcPr>
          <w:p>
            <w:r/>
            <w:r>
              <w:rPr>
                <w:b/>
                <w:color w:val="FFFFFF"/>
                <w:sz w:val="17"/>
              </w:rPr>
              <w:t>Material / arena</w:t>
            </w:r>
          </w:p>
        </w:tc>
        <w:tc>
          <w:tcPr>
            <w:tcW w:type="dxa" w:w="1800"/>
            <w:vAlign w:val="center"/>
            <w:shd w:fill="2F5597"/>
          </w:tcPr>
          <w:p>
            <w:r/>
            <w:r>
              <w:rPr>
                <w:b/>
                <w:color w:val="FFFFFF"/>
                <w:sz w:val="17"/>
              </w:rPr>
              <w:t>Exact/static-valid scale</w:t>
            </w:r>
          </w:p>
        </w:tc>
        <w:tc>
          <w:tcPr>
            <w:tcW w:type="dxa" w:w="3240"/>
            <w:vAlign w:val="center"/>
            <w:shd w:fill="2F5597"/>
          </w:tcPr>
          <w:p>
            <w:r/>
            <w:r>
              <w:rPr>
                <w:b/>
                <w:color w:val="FFFFFF"/>
                <w:sz w:val="17"/>
              </w:rPr>
              <w:t>Frozen status</w:t>
            </w:r>
          </w:p>
        </w:tc>
      </w:tr>
      <w:tr>
        <w:tc>
          <w:tcPr>
            <w:tcW w:type="dxa" w:w="864"/>
            <w:vAlign w:val="center"/>
          </w:tcPr>
          <w:p>
            <w:r/>
            <w:r>
              <w:rPr>
                <w:b w:val="0"/>
                <w:sz w:val="15"/>
              </w:rPr>
              <w:t>G7F01</w:t>
            </w:r>
          </w:p>
        </w:tc>
        <w:tc>
          <w:tcPr>
            <w:tcW w:type="dxa" w:w="4464"/>
            <w:vAlign w:val="center"/>
          </w:tcPr>
          <w:p>
            <w:r/>
            <w:r>
              <w:rPr>
                <w:b w:val="0"/>
                <w:sz w:val="15"/>
              </w:rPr>
              <w:t>K+B+P vs K+B+P, opposite-colour bishops</w:t>
            </w:r>
          </w:p>
        </w:tc>
        <w:tc>
          <w:tcPr>
            <w:tcW w:type="dxa" w:w="1800"/>
            <w:vAlign w:val="center"/>
          </w:tcPr>
          <w:p>
            <w:r/>
            <w:r>
              <w:rPr>
                <w:b w:val="0"/>
                <w:sz w:val="15"/>
              </w:rPr>
              <w:t>5,105,749</w:t>
            </w:r>
          </w:p>
        </w:tc>
        <w:tc>
          <w:tcPr>
            <w:tcW w:type="dxa" w:w="3240"/>
            <w:vAlign w:val="center"/>
          </w:tcPr>
          <w:p>
            <w:r/>
            <w:r>
              <w:rPr>
                <w:b w:val="0"/>
                <w:sz w:val="15"/>
              </w:rPr>
              <w:t>FULL EXACT W/D/L PASS</w:t>
            </w:r>
          </w:p>
        </w:tc>
      </w:tr>
      <w:tr>
        <w:tc>
          <w:tcPr>
            <w:tcW w:type="dxa" w:w="864"/>
            <w:vAlign w:val="center"/>
          </w:tcPr>
          <w:p>
            <w:r/>
            <w:r>
              <w:rPr>
                <w:b w:val="0"/>
                <w:sz w:val="15"/>
              </w:rPr>
              <w:t>G7F02</w:t>
            </w:r>
          </w:p>
        </w:tc>
        <w:tc>
          <w:tcPr>
            <w:tcW w:type="dxa" w:w="4464"/>
            <w:vAlign w:val="center"/>
          </w:tcPr>
          <w:p>
            <w:r/>
            <w:r>
              <w:rPr>
                <w:b w:val="0"/>
                <w:sz w:val="15"/>
              </w:rPr>
              <w:t>K+B+P vs K+B+P, same-colour bishops</w:t>
            </w:r>
          </w:p>
        </w:tc>
        <w:tc>
          <w:tcPr>
            <w:tcW w:type="dxa" w:w="1800"/>
            <w:vAlign w:val="center"/>
          </w:tcPr>
          <w:p>
            <w:r/>
            <w:r>
              <w:rPr>
                <w:b w:val="0"/>
                <w:sz w:val="15"/>
              </w:rPr>
              <w:t>4,761,076</w:t>
            </w:r>
          </w:p>
        </w:tc>
        <w:tc>
          <w:tcPr>
            <w:tcW w:type="dxa" w:w="3240"/>
            <w:vAlign w:val="center"/>
          </w:tcPr>
          <w:p>
            <w:r/>
            <w:r>
              <w:rPr>
                <w:b w:val="0"/>
                <w:sz w:val="15"/>
              </w:rPr>
              <w:t>FULL EXACT W/D/L PASS</w:t>
            </w:r>
          </w:p>
        </w:tc>
      </w:tr>
      <w:tr>
        <w:tc>
          <w:tcPr>
            <w:tcW w:type="dxa" w:w="864"/>
            <w:vAlign w:val="center"/>
          </w:tcPr>
          <w:p>
            <w:r/>
            <w:r>
              <w:rPr>
                <w:b w:val="0"/>
                <w:sz w:val="15"/>
              </w:rPr>
              <w:t>G7F03</w:t>
            </w:r>
          </w:p>
        </w:tc>
        <w:tc>
          <w:tcPr>
            <w:tcW w:type="dxa" w:w="4464"/>
            <w:vAlign w:val="center"/>
          </w:tcPr>
          <w:p>
            <w:r/>
            <w:r>
              <w:rPr>
                <w:b w:val="0"/>
                <w:sz w:val="15"/>
              </w:rPr>
              <w:t>K+B+P vs K+N+P</w:t>
            </w:r>
          </w:p>
        </w:tc>
        <w:tc>
          <w:tcPr>
            <w:tcW w:type="dxa" w:w="1800"/>
            <w:vAlign w:val="center"/>
          </w:tcPr>
          <w:p>
            <w:r/>
            <w:r>
              <w:rPr>
                <w:b w:val="0"/>
                <w:sz w:val="15"/>
              </w:rPr>
              <w:t>48,028,628</w:t>
            </w:r>
          </w:p>
        </w:tc>
        <w:tc>
          <w:tcPr>
            <w:tcW w:type="dxa" w:w="3240"/>
            <w:vAlign w:val="center"/>
          </w:tcPr>
          <w:p>
            <w:r/>
            <w:r>
              <w:rPr>
                <w:b w:val="0"/>
                <w:sz w:val="15"/>
              </w:rPr>
              <w:t>tractability hold: full solve did not reach WDL initialization within execution budget; no WDL accepted</w:t>
            </w:r>
          </w:p>
        </w:tc>
      </w:tr>
      <w:tr>
        <w:tc>
          <w:tcPr>
            <w:tcW w:type="dxa" w:w="864"/>
            <w:vAlign w:val="center"/>
          </w:tcPr>
          <w:p>
            <w:r/>
            <w:r>
              <w:rPr>
                <w:b w:val="0"/>
                <w:sz w:val="15"/>
              </w:rPr>
              <w:t>G7F04</w:t>
            </w:r>
          </w:p>
        </w:tc>
        <w:tc>
          <w:tcPr>
            <w:tcW w:type="dxa" w:w="4464"/>
            <w:vAlign w:val="center"/>
          </w:tcPr>
          <w:p>
            <w:r/>
            <w:r>
              <w:rPr>
                <w:b w:val="0"/>
                <w:sz w:val="15"/>
              </w:rPr>
              <w:t>K+R+P vs K+B+P</w:t>
            </w:r>
          </w:p>
        </w:tc>
        <w:tc>
          <w:tcPr>
            <w:tcW w:type="dxa" w:w="1800"/>
            <w:vAlign w:val="center"/>
          </w:tcPr>
          <w:p>
            <w:r/>
            <w:r>
              <w:rPr>
                <w:b w:val="0"/>
                <w:sz w:val="15"/>
              </w:rPr>
              <w:t>44,820,777</w:t>
            </w:r>
          </w:p>
        </w:tc>
        <w:tc>
          <w:tcPr>
            <w:tcW w:type="dxa" w:w="3240"/>
            <w:vAlign w:val="center"/>
          </w:tcPr>
          <w:p>
            <w:r/>
            <w:r>
              <w:rPr>
                <w:b w:val="0"/>
                <w:sz w:val="15"/>
              </w:rPr>
              <w:t>HIGH-BRANCH COMPLEXITY FLOOR; audited graph, no W/D/L within 180 s</w:t>
            </w:r>
          </w:p>
        </w:tc>
      </w:tr>
      <w:tr>
        <w:tc>
          <w:tcPr>
            <w:tcW w:type="dxa" w:w="864"/>
            <w:vAlign w:val="center"/>
          </w:tcPr>
          <w:p>
            <w:r/>
            <w:r>
              <w:rPr>
                <w:b w:val="0"/>
                <w:sz w:val="15"/>
              </w:rPr>
              <w:t>G7F05</w:t>
            </w:r>
          </w:p>
        </w:tc>
        <w:tc>
          <w:tcPr>
            <w:tcW w:type="dxa" w:w="4464"/>
            <w:vAlign w:val="center"/>
          </w:tcPr>
          <w:p>
            <w:r/>
            <w:r>
              <w:rPr>
                <w:b w:val="0"/>
                <w:sz w:val="15"/>
              </w:rPr>
              <w:t>K+N+P vs K+B+P, edge race candidate</w:t>
            </w:r>
          </w:p>
        </w:tc>
        <w:tc>
          <w:tcPr>
            <w:tcW w:type="dxa" w:w="1800"/>
            <w:vAlign w:val="center"/>
          </w:tcPr>
          <w:p>
            <w:r/>
            <w:r>
              <w:rPr>
                <w:b w:val="0"/>
                <w:sz w:val="15"/>
              </w:rPr>
              <w:t>—</w:t>
            </w:r>
          </w:p>
        </w:tc>
        <w:tc>
          <w:tcPr>
            <w:tcW w:type="dxa" w:w="3240"/>
            <w:vAlign w:val="center"/>
          </w:tcPr>
          <w:p>
            <w:r/>
            <w:r>
              <w:rPr>
                <w:b w:val="0"/>
                <w:sz w:val="15"/>
              </w:rPr>
              <w:t>PROSPECTIVELY FROZEN BUT NOT EXECUTED; portfolio reprioritized before truth inspection</w:t>
            </w:r>
          </w:p>
        </w:tc>
      </w:tr>
      <w:tr>
        <w:tc>
          <w:tcPr>
            <w:tcW w:type="dxa" w:w="864"/>
            <w:vAlign w:val="center"/>
          </w:tcPr>
          <w:p>
            <w:r/>
            <w:r>
              <w:rPr>
                <w:b w:val="0"/>
                <w:sz w:val="15"/>
              </w:rPr>
              <w:t>G7F06</w:t>
            </w:r>
          </w:p>
        </w:tc>
        <w:tc>
          <w:tcPr>
            <w:tcW w:type="dxa" w:w="4464"/>
            <w:vAlign w:val="center"/>
          </w:tcPr>
          <w:p>
            <w:r/>
            <w:r>
              <w:rPr>
                <w:b w:val="0"/>
                <w:sz w:val="15"/>
              </w:rPr>
              <w:t>K+Q+P vs K+B+P</w:t>
            </w:r>
          </w:p>
        </w:tc>
        <w:tc>
          <w:tcPr>
            <w:tcW w:type="dxa" w:w="1800"/>
            <w:vAlign w:val="center"/>
          </w:tcPr>
          <w:p>
            <w:r/>
            <w:r>
              <w:rPr>
                <w:b w:val="0"/>
                <w:sz w:val="15"/>
              </w:rPr>
              <w:t>40,499,052</w:t>
            </w:r>
          </w:p>
        </w:tc>
        <w:tc>
          <w:tcPr>
            <w:tcW w:type="dxa" w:w="3240"/>
            <w:vAlign w:val="center"/>
          </w:tcPr>
          <w:p>
            <w:r/>
            <w:r>
              <w:rPr>
                <w:b w:val="0"/>
                <w:sz w:val="15"/>
              </w:rPr>
              <w:t>HIGH-BRANCH COMPLEXITY FLOOR; audited graph, no W/D/L within 180 s</w:t>
            </w:r>
          </w:p>
        </w:tc>
      </w:tr>
      <w:tr>
        <w:tc>
          <w:tcPr>
            <w:tcW w:type="dxa" w:w="864"/>
            <w:vAlign w:val="center"/>
          </w:tcPr>
          <w:p>
            <w:r/>
            <w:r>
              <w:rPr>
                <w:b w:val="0"/>
                <w:sz w:val="15"/>
              </w:rPr>
              <w:t>G7F07</w:t>
            </w:r>
          </w:p>
        </w:tc>
        <w:tc>
          <w:tcPr>
            <w:tcW w:type="dxa" w:w="4464"/>
            <w:vAlign w:val="center"/>
          </w:tcPr>
          <w:p>
            <w:r/>
            <w:r>
              <w:rPr>
                <w:b w:val="0"/>
                <w:sz w:val="15"/>
              </w:rPr>
              <w:t>K+B+2P vs K+B+P, opposite-colour bishops</w:t>
            </w:r>
          </w:p>
        </w:tc>
        <w:tc>
          <w:tcPr>
            <w:tcW w:type="dxa" w:w="1800"/>
            <w:vAlign w:val="center"/>
          </w:tcPr>
          <w:p>
            <w:r/>
            <w:r>
              <w:rPr>
                <w:b w:val="0"/>
                <w:sz w:val="15"/>
              </w:rPr>
              <w:t>45,823,238</w:t>
            </w:r>
          </w:p>
        </w:tc>
        <w:tc>
          <w:tcPr>
            <w:tcW w:type="dxa" w:w="3240"/>
            <w:vAlign w:val="center"/>
          </w:tcPr>
          <w:p>
            <w:r/>
            <w:r>
              <w:rPr>
                <w:b w:val="0"/>
                <w:sz w:val="15"/>
              </w:rPr>
              <w:t>scale hold; no outcome output</w:t>
            </w:r>
          </w:p>
        </w:tc>
      </w:tr>
      <w:tr>
        <w:tc>
          <w:tcPr>
            <w:tcW w:type="dxa" w:w="864"/>
            <w:vAlign w:val="center"/>
          </w:tcPr>
          <w:p>
            <w:r/>
            <w:r>
              <w:rPr>
                <w:b w:val="0"/>
                <w:sz w:val="15"/>
              </w:rPr>
              <w:t>G7F08</w:t>
            </w:r>
          </w:p>
        </w:tc>
        <w:tc>
          <w:tcPr>
            <w:tcW w:type="dxa" w:w="4464"/>
            <w:vAlign w:val="center"/>
          </w:tcPr>
          <w:p>
            <w:r/>
            <w:r>
              <w:rPr>
                <w:b w:val="0"/>
                <w:sz w:val="15"/>
              </w:rPr>
              <w:t>K+B+2P vs K+B+P, same-colour bishops</w:t>
            </w:r>
          </w:p>
        </w:tc>
        <w:tc>
          <w:tcPr>
            <w:tcW w:type="dxa" w:w="1800"/>
            <w:vAlign w:val="center"/>
          </w:tcPr>
          <w:p>
            <w:r/>
            <w:r>
              <w:rPr>
                <w:b w:val="0"/>
                <w:sz w:val="15"/>
              </w:rPr>
              <w:t>43,334,293</w:t>
            </w:r>
          </w:p>
        </w:tc>
        <w:tc>
          <w:tcPr>
            <w:tcW w:type="dxa" w:w="3240"/>
            <w:vAlign w:val="center"/>
          </w:tcPr>
          <w:p>
            <w:r/>
            <w:r>
              <w:rPr>
                <w:b w:val="0"/>
                <w:sz w:val="15"/>
              </w:rPr>
              <w:t>scale hold after matched F07 boundary</w:t>
            </w:r>
          </w:p>
        </w:tc>
      </w:tr>
      <w:tr>
        <w:tc>
          <w:tcPr>
            <w:tcW w:type="dxa" w:w="864"/>
            <w:vAlign w:val="center"/>
          </w:tcPr>
          <w:p>
            <w:r/>
            <w:r>
              <w:rPr>
                <w:b w:val="0"/>
                <w:sz w:val="15"/>
              </w:rPr>
              <w:t>G7F09</w:t>
            </w:r>
          </w:p>
        </w:tc>
        <w:tc>
          <w:tcPr>
            <w:tcW w:type="dxa" w:w="4464"/>
            <w:vAlign w:val="center"/>
          </w:tcPr>
          <w:p>
            <w:r/>
            <w:r>
              <w:rPr>
                <w:b w:val="0"/>
                <w:sz w:val="15"/>
              </w:rPr>
              <w:t>K+2 wrong-colour bishops+hP vs K, faithful continuation</w:t>
            </w:r>
          </w:p>
        </w:tc>
        <w:tc>
          <w:tcPr>
            <w:tcW w:type="dxa" w:w="1800"/>
            <w:vAlign w:val="center"/>
          </w:tcPr>
          <w:p>
            <w:r/>
            <w:r>
              <w:rPr>
                <w:b w:val="0"/>
                <w:sz w:val="15"/>
              </w:rPr>
              <w:t>16,557,288</w:t>
            </w:r>
          </w:p>
        </w:tc>
        <w:tc>
          <w:tcPr>
            <w:tcW w:type="dxa" w:w="3240"/>
            <w:vAlign w:val="center"/>
          </w:tcPr>
          <w:p>
            <w:r/>
            <w:r>
              <w:rPr>
                <w:b w:val="0"/>
                <w:sz w:val="15"/>
              </w:rPr>
              <w:t>FULL EXACT W/D PASS</w:t>
            </w:r>
          </w:p>
        </w:tc>
      </w:tr>
      <w:tr>
        <w:tc>
          <w:tcPr>
            <w:tcW w:type="dxa" w:w="864"/>
            <w:vAlign w:val="center"/>
          </w:tcPr>
          <w:p>
            <w:r/>
            <w:r>
              <w:rPr>
                <w:b w:val="0"/>
                <w:sz w:val="15"/>
              </w:rPr>
              <w:t>G7F10</w:t>
            </w:r>
          </w:p>
        </w:tc>
        <w:tc>
          <w:tcPr>
            <w:tcW w:type="dxa" w:w="4464"/>
            <w:vAlign w:val="center"/>
          </w:tcPr>
          <w:p>
            <w:r/>
            <w:r>
              <w:rPr>
                <w:b w:val="0"/>
                <w:sz w:val="15"/>
              </w:rPr>
              <w:t>K+wrong-colour B+correct-colour B+hP vs K, faithful continuation</w:t>
            </w:r>
          </w:p>
        </w:tc>
        <w:tc>
          <w:tcPr>
            <w:tcW w:type="dxa" w:w="1800"/>
            <w:vAlign w:val="center"/>
          </w:tcPr>
          <w:p>
            <w:r/>
            <w:r>
              <w:rPr>
                <w:b w:val="0"/>
                <w:sz w:val="15"/>
              </w:rPr>
              <w:t>33,305,146</w:t>
            </w:r>
          </w:p>
        </w:tc>
        <w:tc>
          <w:tcPr>
            <w:tcW w:type="dxa" w:w="3240"/>
            <w:vAlign w:val="center"/>
          </w:tcPr>
          <w:p>
            <w:r/>
            <w:r>
              <w:rPr>
                <w:b w:val="0"/>
                <w:sz w:val="15"/>
              </w:rPr>
              <w:t>FULL W/D/L SCALE HOLD; EXACT TERMINAL FALSIFICATION PASS FOR SANCTUARY LIFT</w:t>
            </w:r>
          </w:p>
        </w:tc>
      </w:tr>
    </w:tbl>
    <w:p/>
    <w:p>
      <w:pPr>
        <w:pStyle w:val="Heading1"/>
      </w:pPr>
      <w:r>
        <w:t>5. Exact baselines and material-transition ascent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816"/>
            <w:vAlign w:val="center"/>
            <w:shd w:fill="2F5597"/>
          </w:tcPr>
          <w:p>
            <w:r/>
            <w:r>
              <w:rPr>
                <w:b/>
                <w:color w:val="FFFFFF"/>
                <w:sz w:val="17"/>
              </w:rPr>
              <w:t>Arena</w:t>
            </w:r>
          </w:p>
        </w:tc>
        <w:tc>
          <w:tcPr>
            <w:tcW w:type="dxa" w:w="1728"/>
            <w:vAlign w:val="center"/>
            <w:shd w:fill="2F5597"/>
          </w:tcPr>
          <w:p>
            <w:r/>
            <w:r>
              <w:rPr>
                <w:b/>
                <w:color w:val="FFFFFF"/>
                <w:sz w:val="17"/>
              </w:rPr>
              <w:t>Full-material states</w:t>
            </w:r>
          </w:p>
        </w:tc>
        <w:tc>
          <w:tcPr>
            <w:tcW w:type="dxa" w:w="1656"/>
            <w:vAlign w:val="center"/>
            <w:shd w:fill="2F5597"/>
          </w:tcPr>
          <w:p>
            <w:r/>
            <w:r>
              <w:rPr>
                <w:b/>
                <w:color w:val="FFFFFF"/>
                <w:sz w:val="17"/>
              </w:rPr>
              <w:t>White wins</w:t>
            </w:r>
          </w:p>
        </w:tc>
        <w:tc>
          <w:tcPr>
            <w:tcW w:type="dxa" w:w="1656"/>
            <w:vAlign w:val="center"/>
            <w:shd w:fill="2F5597"/>
          </w:tcPr>
          <w:p>
            <w:r/>
            <w:r>
              <w:rPr>
                <w:b/>
                <w:color w:val="FFFFFF"/>
                <w:sz w:val="17"/>
              </w:rPr>
              <w:t>Black wins</w:t>
            </w:r>
          </w:p>
        </w:tc>
        <w:tc>
          <w:tcPr>
            <w:tcW w:type="dxa" w:w="1512"/>
            <w:vAlign w:val="center"/>
            <w:shd w:fill="2F5597"/>
          </w:tcPr>
          <w:p>
            <w:r/>
            <w:r>
              <w:rPr>
                <w:b/>
                <w:color w:val="FFFFFF"/>
                <w:sz w:val="17"/>
              </w:rPr>
              <w:t>Draws</w:t>
            </w:r>
          </w:p>
        </w:tc>
      </w:tr>
      <w:tr>
        <w:tc>
          <w:tcPr>
            <w:tcW w:type="dxa" w:w="3816"/>
            <w:vAlign w:val="center"/>
          </w:tcPr>
          <w:p>
            <w:r/>
            <w:r>
              <w:rPr>
                <w:b w:val="0"/>
                <w:sz w:val="16"/>
              </w:rPr>
              <w:t>F01 opposite-colour B+P vs B+P</w:t>
            </w:r>
          </w:p>
        </w:tc>
        <w:tc>
          <w:tcPr>
            <w:tcW w:type="dxa" w:w="1728"/>
            <w:vAlign w:val="center"/>
          </w:tcPr>
          <w:p>
            <w:r/>
            <w:r>
              <w:rPr>
                <w:b w:val="0"/>
                <w:sz w:val="16"/>
              </w:rPr>
              <w:t>5,105,749</w:t>
            </w:r>
          </w:p>
        </w:tc>
        <w:tc>
          <w:tcPr>
            <w:tcW w:type="dxa" w:w="1656"/>
            <w:vAlign w:val="center"/>
          </w:tcPr>
          <w:p>
            <w:r/>
            <w:r>
              <w:rPr>
                <w:b w:val="0"/>
                <w:sz w:val="16"/>
              </w:rPr>
              <w:t>2,506,683</w:t>
            </w:r>
          </w:p>
        </w:tc>
        <w:tc>
          <w:tcPr>
            <w:tcW w:type="dxa" w:w="1656"/>
            <w:vAlign w:val="center"/>
          </w:tcPr>
          <w:p>
            <w:r/>
            <w:r>
              <w:rPr>
                <w:b w:val="0"/>
                <w:sz w:val="16"/>
              </w:rPr>
              <w:t>2,519,613</w:t>
            </w:r>
          </w:p>
        </w:tc>
        <w:tc>
          <w:tcPr>
            <w:tcW w:type="dxa" w:w="1512"/>
            <w:vAlign w:val="center"/>
          </w:tcPr>
          <w:p>
            <w:r/>
            <w:r>
              <w:rPr>
                <w:b w:val="0"/>
                <w:sz w:val="16"/>
              </w:rPr>
              <w:t>79,453</w:t>
            </w:r>
          </w:p>
        </w:tc>
      </w:tr>
      <w:tr>
        <w:tc>
          <w:tcPr>
            <w:tcW w:type="dxa" w:w="3816"/>
            <w:vAlign w:val="center"/>
          </w:tcPr>
          <w:p>
            <w:r/>
            <w:r>
              <w:rPr>
                <w:b w:val="0"/>
                <w:sz w:val="16"/>
              </w:rPr>
              <w:t>F02 same-colour B+P vs B+P</w:t>
            </w:r>
          </w:p>
        </w:tc>
        <w:tc>
          <w:tcPr>
            <w:tcW w:type="dxa" w:w="1728"/>
            <w:vAlign w:val="center"/>
          </w:tcPr>
          <w:p>
            <w:r/>
            <w:r>
              <w:rPr>
                <w:b w:val="0"/>
                <w:sz w:val="16"/>
              </w:rPr>
              <w:t>4,761,076</w:t>
            </w:r>
          </w:p>
        </w:tc>
        <w:tc>
          <w:tcPr>
            <w:tcW w:type="dxa" w:w="1656"/>
            <w:vAlign w:val="center"/>
          </w:tcPr>
          <w:p>
            <w:r/>
            <w:r>
              <w:rPr>
                <w:b w:val="0"/>
                <w:sz w:val="16"/>
              </w:rPr>
              <w:t>2,321,127</w:t>
            </w:r>
          </w:p>
        </w:tc>
        <w:tc>
          <w:tcPr>
            <w:tcW w:type="dxa" w:w="1656"/>
            <w:vAlign w:val="center"/>
          </w:tcPr>
          <w:p>
            <w:r/>
            <w:r>
              <w:rPr>
                <w:b w:val="0"/>
                <w:sz w:val="16"/>
              </w:rPr>
              <w:t>2,321,127</w:t>
            </w:r>
          </w:p>
        </w:tc>
        <w:tc>
          <w:tcPr>
            <w:tcW w:type="dxa" w:w="1512"/>
            <w:vAlign w:val="center"/>
          </w:tcPr>
          <w:p>
            <w:r/>
            <w:r>
              <w:rPr>
                <w:b w:val="0"/>
                <w:sz w:val="16"/>
              </w:rPr>
              <w:t>118,822</w:t>
            </w:r>
          </w:p>
        </w:tc>
      </w:tr>
      <w:tr>
        <w:tc>
          <w:tcPr>
            <w:tcW w:type="dxa" w:w="3816"/>
            <w:vAlign w:val="center"/>
          </w:tcPr>
          <w:p>
            <w:r/>
            <w:r>
              <w:rPr>
                <w:b w:val="0"/>
                <w:sz w:val="16"/>
              </w:rPr>
              <w:t>F09 2 wrong-colour bishops + hP</w:t>
            </w:r>
          </w:p>
        </w:tc>
        <w:tc>
          <w:tcPr>
            <w:tcW w:type="dxa" w:w="1728"/>
            <w:vAlign w:val="center"/>
          </w:tcPr>
          <w:p>
            <w:r/>
            <w:r>
              <w:rPr>
                <w:b w:val="0"/>
                <w:sz w:val="16"/>
              </w:rPr>
              <w:t>16,557,288</w:t>
            </w:r>
          </w:p>
        </w:tc>
        <w:tc>
          <w:tcPr>
            <w:tcW w:type="dxa" w:w="1656"/>
            <w:vAlign w:val="center"/>
          </w:tcPr>
          <w:p>
            <w:r/>
            <w:r>
              <w:rPr>
                <w:b w:val="0"/>
                <w:sz w:val="16"/>
              </w:rPr>
              <w:t>12,115,187</w:t>
            </w:r>
          </w:p>
        </w:tc>
        <w:tc>
          <w:tcPr>
            <w:tcW w:type="dxa" w:w="1656"/>
            <w:vAlign w:val="center"/>
          </w:tcPr>
          <w:p>
            <w:r/>
            <w:r>
              <w:rPr>
                <w:b w:val="0"/>
                <w:sz w:val="16"/>
              </w:rPr>
              <w:t>—</w:t>
            </w:r>
          </w:p>
        </w:tc>
        <w:tc>
          <w:tcPr>
            <w:tcW w:type="dxa" w:w="1512"/>
            <w:vAlign w:val="center"/>
          </w:tcPr>
          <w:p>
            <w:r/>
            <w:r>
              <w:rPr>
                <w:b w:val="0"/>
                <w:sz w:val="16"/>
              </w:rPr>
              <w:t>4,442,101</w:t>
            </w:r>
          </w:p>
        </w:tc>
      </w:tr>
    </w:tbl>
    <w:p/>
    <w:p>
      <w:r>
        <w:rPr>
          <w:i w:val="0"/>
        </w:rPr>
        <w:t>F01 and F02 contain rich capture DAGs rather than isolated full-material tables. F01 has 1,682,943 direct capture edges from the full-material stratum into four lower-material signatures; F02 has 3,190,606. This made materially distinct exact subgames available as compositional targets before any new G7 grammar was introduced.</w:t>
      </w:r>
    </w:p>
    <w:p>
      <w:pPr>
        <w:pStyle w:val="Heading1"/>
      </w:pPr>
      <w:r>
        <w:t>6. Destination composition: G6 Branch/Hyperkernel climbs the material tree</w:t>
      </w:r>
    </w:p>
    <w:p>
      <w:r>
        <w:rPr>
          <w:i w:val="0"/>
        </w:rPr>
        <w:t>All six tested pairwise material-endpoint combinations in F01/F02 produce a positive pure BRIDGE population. The stronger F02 three-way result is irreducible to every proper one-/two-target subunion: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vAlign w:val="center"/>
            <w:shd w:fill="2F5597"/>
          </w:tcPr>
          <w:p>
            <w:r/>
            <w:r>
              <w:rPr>
                <w:b/>
                <w:color w:val="FFFFFF"/>
                <w:sz w:val="17"/>
              </w:rPr>
              <w:t>Object</w:t>
            </w:r>
          </w:p>
        </w:tc>
        <w:tc>
          <w:tcPr>
            <w:tcW w:type="dxa" w:w="1584"/>
            <w:vAlign w:val="center"/>
            <w:shd w:fill="2F5597"/>
          </w:tcPr>
          <w:p>
            <w:r/>
            <w:r>
              <w:rPr>
                <w:b/>
                <w:color w:val="FFFFFF"/>
                <w:sz w:val="17"/>
              </w:rPr>
              <w:t>Count</w:t>
            </w:r>
          </w:p>
        </w:tc>
        <w:tc>
          <w:tcPr>
            <w:tcW w:type="dxa" w:w="6048"/>
            <w:vAlign w:val="center"/>
            <w:shd w:fill="2F5597"/>
          </w:tcPr>
          <w:p>
            <w:r/>
            <w:r>
              <w:rPr>
                <w:b/>
                <w:color w:val="FFFFFF"/>
                <w:sz w:val="17"/>
              </w:rPr>
              <w:t>Interpretation</w:t>
            </w:r>
          </w:p>
        </w:tc>
      </w:tr>
      <w:tr>
        <w:tc>
          <w:tcPr>
            <w:tcW w:type="dxa" w:w="3168"/>
            <w:vAlign w:val="center"/>
          </w:tcPr>
          <w:p>
            <w:r/>
            <w:r>
              <w:rPr>
                <w:b w:val="0"/>
                <w:sz w:val="16"/>
              </w:rPr>
              <w:t>Three-target strict attractor</w:t>
            </w:r>
          </w:p>
        </w:tc>
        <w:tc>
          <w:tcPr>
            <w:tcW w:type="dxa" w:w="1584"/>
            <w:vAlign w:val="center"/>
          </w:tcPr>
          <w:p>
            <w:r/>
            <w:r>
              <w:rPr>
                <w:b w:val="0"/>
                <w:sz w:val="16"/>
              </w:rPr>
              <w:t>612,427</w:t>
            </w:r>
          </w:p>
        </w:tc>
        <w:tc>
          <w:tcPr>
            <w:tcW w:type="dxa" w:w="6048"/>
            <w:vAlign w:val="center"/>
          </w:tcPr>
          <w:p>
            <w:r/>
            <w:r>
              <w:rPr>
                <w:b w:val="0"/>
                <w:sz w:val="16"/>
              </w:rPr>
              <w:t>Can force at least one of three materially distinct exact winning subgames.</w:t>
            </w:r>
          </w:p>
        </w:tc>
      </w:tr>
      <w:tr>
        <w:tc>
          <w:tcPr>
            <w:tcW w:type="dxa" w:w="3168"/>
            <w:vAlign w:val="center"/>
          </w:tcPr>
          <w:p>
            <w:r/>
            <w:r>
              <w:rPr>
                <w:b w:val="0"/>
                <w:sz w:val="16"/>
              </w:rPr>
              <w:t>Proper subunions</w:t>
            </w:r>
          </w:p>
        </w:tc>
        <w:tc>
          <w:tcPr>
            <w:tcW w:type="dxa" w:w="1584"/>
            <w:vAlign w:val="center"/>
          </w:tcPr>
          <w:p>
            <w:r/>
            <w:r>
              <w:rPr>
                <w:b w:val="0"/>
                <w:sz w:val="16"/>
              </w:rPr>
              <w:t>605,232</w:t>
            </w:r>
          </w:p>
        </w:tc>
        <w:tc>
          <w:tcPr>
            <w:tcW w:type="dxa" w:w="6048"/>
            <w:vAlign w:val="center"/>
          </w:tcPr>
          <w:p>
            <w:r/>
            <w:r>
              <w:rPr>
                <w:b w:val="0"/>
                <w:sz w:val="16"/>
              </w:rPr>
              <w:t>Explainable by one- or two-endpoint objectives.</w:t>
            </w:r>
          </w:p>
        </w:tc>
      </w:tr>
      <w:tr>
        <w:tc>
          <w:tcPr>
            <w:tcW w:type="dxa" w:w="3168"/>
            <w:vAlign w:val="center"/>
          </w:tcPr>
          <w:p>
            <w:r/>
            <w:r>
              <w:rPr>
                <w:b w:val="0"/>
                <w:sz w:val="16"/>
              </w:rPr>
              <w:t>Irreducible three-way region</w:t>
            </w:r>
          </w:p>
        </w:tc>
        <w:tc>
          <w:tcPr>
            <w:tcW w:type="dxa" w:w="1584"/>
            <w:vAlign w:val="center"/>
          </w:tcPr>
          <w:p>
            <w:r/>
            <w:r>
              <w:rPr>
                <w:b w:val="0"/>
                <w:sz w:val="16"/>
              </w:rPr>
              <w:t>7,195</w:t>
            </w:r>
          </w:p>
        </w:tc>
        <w:tc>
          <w:tcPr>
            <w:tcW w:type="dxa" w:w="6048"/>
            <w:vAlign w:val="center"/>
          </w:tcPr>
          <w:p>
            <w:r/>
            <w:r>
              <w:rPr>
                <w:b w:val="0"/>
                <w:sz w:val="16"/>
              </w:rPr>
              <w:t>Cannot force any proper subset, but can force the full three-way alternative.</w:t>
            </w:r>
          </w:p>
        </w:tc>
      </w:tr>
      <w:tr>
        <w:tc>
          <w:tcPr>
            <w:tcW w:type="dxa" w:w="3168"/>
            <w:vAlign w:val="center"/>
          </w:tcPr>
          <w:p>
            <w:r/>
            <w:r>
              <w:rPr>
                <w:b w:val="0"/>
                <w:sz w:val="16"/>
              </w:rPr>
              <w:t>Immediate defender Hyperkernel</w:t>
            </w:r>
          </w:p>
        </w:tc>
        <w:tc>
          <w:tcPr>
            <w:tcW w:type="dxa" w:w="1584"/>
            <w:vAlign w:val="center"/>
          </w:tcPr>
          <w:p>
            <w:r/>
            <w:r>
              <w:rPr>
                <w:b w:val="0"/>
                <w:sz w:val="16"/>
              </w:rPr>
              <w:t>1,641</w:t>
            </w:r>
          </w:p>
        </w:tc>
        <w:tc>
          <w:tcPr>
            <w:tcW w:type="dxa" w:w="6048"/>
            <w:vAlign w:val="center"/>
          </w:tcPr>
          <w:p>
            <w:r/>
            <w:r>
              <w:rPr>
                <w:b w:val="0"/>
                <w:sz w:val="16"/>
              </w:rPr>
              <w:t>Defender-choice seed population.</w:t>
            </w:r>
          </w:p>
        </w:tc>
      </w:tr>
      <w:tr>
        <w:tc>
          <w:tcPr>
            <w:tcW w:type="dxa" w:w="3168"/>
            <w:vAlign w:val="center"/>
          </w:tcPr>
          <w:p>
            <w:r/>
            <w:r>
              <w:rPr>
                <w:b w:val="0"/>
                <w:sz w:val="16"/>
              </w:rPr>
              <w:t>Kernel amplification</w:t>
            </w:r>
          </w:p>
        </w:tc>
        <w:tc>
          <w:tcPr>
            <w:tcW w:type="dxa" w:w="1584"/>
            <w:vAlign w:val="center"/>
          </w:tcPr>
          <w:p>
            <w:r/>
            <w:r>
              <w:rPr>
                <w:b w:val="0"/>
                <w:sz w:val="16"/>
              </w:rPr>
              <w:t>4.3845×</w:t>
            </w:r>
          </w:p>
        </w:tc>
        <w:tc>
          <w:tcPr>
            <w:tcW w:type="dxa" w:w="6048"/>
            <w:vAlign w:val="center"/>
          </w:tcPr>
          <w:p>
            <w:r/>
            <w:r>
              <w:rPr>
                <w:b w:val="0"/>
                <w:sz w:val="16"/>
              </w:rPr>
              <w:t>Residual closure exactly reconstructs the 7,195-state irreducible region.</w:t>
            </w:r>
          </w:p>
        </w:tc>
      </w:tr>
    </w:tbl>
    <w:p/>
    <w:p>
      <w:r>
        <w:rPr>
          <w:i w:val="0"/>
        </w:rPr>
        <w:t>This establishes that “exchange funnels” and “transition Hyperkernels” are not new theorem classes: once lower-material states are typed as exact targets, they reduce cleanly to G6 Branch/finite-n Hyperkernel machinery.</w:t>
      </w:r>
    </w:p>
    <w:p>
      <w:pPr>
        <w:pStyle w:val="Heading1"/>
      </w:pPr>
      <w:r>
        <w:t>7. Higher-material sanctuary and TARGET transfer</w:t>
      </w:r>
    </w:p>
    <w:p>
      <w:r>
        <w:rPr>
          <w:i w:val="0"/>
        </w:rPr>
        <w:t>F09 reconstructs the faithful G6 wrong-colour-bishop fortress dependency first, including the exact 1,182,440-state checksum, 825,269 wins, 357,171 draws, 22,008 BK=h8 states and zero White wins in that sanctuary. The five-man ascent then adds a second wrong-colour bishop while preserving faithful lower-material continuation.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528"/>
            <w:vAlign w:val="center"/>
            <w:shd w:fill="2F5597"/>
          </w:tcPr>
          <w:p>
            <w:r/>
            <w:r>
              <w:rPr>
                <w:b/>
                <w:color w:val="FFFFFF"/>
                <w:sz w:val="17"/>
              </w:rPr>
              <w:t>F09 proof object</w:t>
            </w:r>
          </w:p>
        </w:tc>
        <w:tc>
          <w:tcPr>
            <w:tcW w:type="dxa" w:w="3024"/>
            <w:vAlign w:val="center"/>
            <w:shd w:fill="2F5597"/>
          </w:tcPr>
          <w:p>
            <w:r/>
            <w:r>
              <w:rPr>
                <w:b/>
                <w:color w:val="FFFFFF"/>
                <w:sz w:val="17"/>
              </w:rPr>
              <w:t>Count / coverage</w:t>
            </w:r>
          </w:p>
        </w:tc>
        <w:tc>
          <w:tcPr>
            <w:tcW w:type="dxa" w:w="4320"/>
            <w:vAlign w:val="center"/>
            <w:shd w:fill="2F5597"/>
          </w:tcPr>
          <w:p>
            <w:r/>
            <w:r>
              <w:rPr>
                <w:b/>
                <w:color w:val="FFFFFF"/>
                <w:sz w:val="17"/>
              </w:rPr>
              <w:t>Exactness</w:t>
            </w:r>
          </w:p>
        </w:tc>
      </w:tr>
      <w:tr>
        <w:tc>
          <w:tcPr>
            <w:tcW w:type="dxa" w:w="3528"/>
            <w:vAlign w:val="center"/>
          </w:tcPr>
          <w:p>
            <w:r/>
            <w:r>
              <w:rPr>
                <w:b w:val="0"/>
                <w:sz w:val="16"/>
              </w:rPr>
              <w:t>BK=h8 sanctuary</w:t>
            </w:r>
          </w:p>
        </w:tc>
        <w:tc>
          <w:tcPr>
            <w:tcW w:type="dxa" w:w="3024"/>
            <w:vAlign w:val="center"/>
          </w:tcPr>
          <w:p>
            <w:r/>
            <w:r>
              <w:rPr>
                <w:b w:val="0"/>
                <w:sz w:val="16"/>
              </w:rPr>
              <w:t>330,264 / 330,264 draws</w:t>
            </w:r>
          </w:p>
        </w:tc>
        <w:tc>
          <w:tcPr>
            <w:tcW w:type="dxa" w:w="4320"/>
            <w:vAlign w:val="center"/>
          </w:tcPr>
          <w:p>
            <w:r/>
            <w:r>
              <w:rPr>
                <w:b w:val="0"/>
                <w:sz w:val="16"/>
              </w:rPr>
              <w:t>0 White wins</w:t>
            </w:r>
          </w:p>
        </w:tc>
      </w:tr>
      <w:tr>
        <w:tc>
          <w:tcPr>
            <w:tcW w:type="dxa" w:w="3528"/>
            <w:vAlign w:val="center"/>
          </w:tcPr>
          <w:p>
            <w:r/>
            <w:r>
              <w:rPr>
                <w:b w:val="0"/>
                <w:sz w:val="16"/>
              </w:rPr>
              <w:t>Direct safe conversion TARGET</w:t>
            </w:r>
          </w:p>
        </w:tc>
        <w:tc>
          <w:tcPr>
            <w:tcW w:type="dxa" w:w="3024"/>
            <w:vAlign w:val="center"/>
          </w:tcPr>
          <w:p>
            <w:r/>
            <w:r>
              <w:rPr>
                <w:b w:val="0"/>
                <w:sz w:val="16"/>
              </w:rPr>
              <w:t>1,448,464</w:t>
            </w:r>
          </w:p>
        </w:tc>
        <w:tc>
          <w:tcPr>
            <w:tcW w:type="dxa" w:w="4320"/>
            <w:vAlign w:val="center"/>
          </w:tcPr>
          <w:p>
            <w:r/>
            <w:r>
              <w:rPr>
                <w:b w:val="0"/>
                <w:sz w:val="16"/>
              </w:rPr>
              <w:t>0 draw failures</w:t>
            </w:r>
          </w:p>
        </w:tc>
      </w:tr>
      <w:tr>
        <w:tc>
          <w:tcPr>
            <w:tcW w:type="dxa" w:w="3528"/>
            <w:vAlign w:val="center"/>
          </w:tcPr>
          <w:p>
            <w:r/>
            <w:r>
              <w:rPr>
                <w:b w:val="0"/>
                <w:sz w:val="16"/>
              </w:rPr>
              <w:t>Strict White TARGET attractor</w:t>
            </w:r>
          </w:p>
        </w:tc>
        <w:tc>
          <w:tcPr>
            <w:tcW w:type="dxa" w:w="3024"/>
            <w:vAlign w:val="center"/>
          </w:tcPr>
          <w:p>
            <w:r/>
            <w:r>
              <w:rPr>
                <w:b w:val="0"/>
                <w:sz w:val="16"/>
              </w:rPr>
              <w:t>8,295,062</w:t>
            </w:r>
          </w:p>
        </w:tc>
        <w:tc>
          <w:tcPr>
            <w:tcW w:type="dxa" w:w="4320"/>
            <w:vAlign w:val="center"/>
          </w:tcPr>
          <w:p>
            <w:r/>
            <w:r>
              <w:rPr>
                <w:b w:val="0"/>
                <w:sz w:val="16"/>
              </w:rPr>
              <w:t>0 non-wins; 68.4683% of White wins</w:t>
            </w:r>
          </w:p>
        </w:tc>
      </w:tr>
      <w:tr>
        <w:tc>
          <w:tcPr>
            <w:tcW w:type="dxa" w:w="3528"/>
            <w:vAlign w:val="center"/>
          </w:tcPr>
          <w:p>
            <w:r/>
            <w:r>
              <w:rPr>
                <w:b w:val="0"/>
                <w:sz w:val="16"/>
              </w:rPr>
              <w:t>Conservative h8 defender attractor</w:t>
            </w:r>
          </w:p>
        </w:tc>
        <w:tc>
          <w:tcPr>
            <w:tcW w:type="dxa" w:w="3024"/>
            <w:vAlign w:val="center"/>
          </w:tcPr>
          <w:p>
            <w:r/>
            <w:r>
              <w:rPr>
                <w:b w:val="0"/>
                <w:sz w:val="16"/>
              </w:rPr>
              <w:t>3,133,058</w:t>
            </w:r>
          </w:p>
        </w:tc>
        <w:tc>
          <w:tcPr>
            <w:tcW w:type="dxa" w:w="4320"/>
            <w:vAlign w:val="center"/>
          </w:tcPr>
          <w:p>
            <w:r/>
            <w:r>
              <w:rPr>
                <w:b w:val="0"/>
                <w:sz w:val="16"/>
              </w:rPr>
              <w:t>0 White wins; 70.531% of draw basin</w:t>
            </w:r>
          </w:p>
        </w:tc>
      </w:tr>
      <w:tr>
        <w:tc>
          <w:tcPr>
            <w:tcW w:type="dxa" w:w="3528"/>
            <w:vAlign w:val="center"/>
          </w:tcPr>
          <w:p>
            <w:r/>
            <w:r>
              <w:rPr>
                <w:b w:val="0"/>
                <w:sz w:val="16"/>
              </w:rPr>
              <w:t>Typed safe-exit defender attractor</w:t>
            </w:r>
          </w:p>
        </w:tc>
        <w:tc>
          <w:tcPr>
            <w:tcW w:type="dxa" w:w="3024"/>
            <w:vAlign w:val="center"/>
          </w:tcPr>
          <w:p>
            <w:r/>
            <w:r>
              <w:rPr>
                <w:b w:val="0"/>
                <w:sz w:val="16"/>
              </w:rPr>
              <w:t>4,437,719</w:t>
            </w:r>
          </w:p>
        </w:tc>
        <w:tc>
          <w:tcPr>
            <w:tcW w:type="dxa" w:w="4320"/>
            <w:vAlign w:val="center"/>
          </w:tcPr>
          <w:p>
            <w:r/>
            <w:r>
              <w:rPr>
                <w:b w:val="0"/>
                <w:sz w:val="16"/>
              </w:rPr>
              <w:t>0 White wins; 99.9014% of draw basin</w:t>
            </w:r>
          </w:p>
        </w:tc>
      </w:tr>
      <w:tr>
        <w:tc>
          <w:tcPr>
            <w:tcW w:type="dxa" w:w="3528"/>
            <w:vAlign w:val="center"/>
          </w:tcPr>
          <w:p>
            <w:r/>
            <w:r>
              <w:rPr>
                <w:b w:val="0"/>
                <w:sz w:val="16"/>
              </w:rPr>
              <w:t>White + defender certificates</w:t>
            </w:r>
          </w:p>
        </w:tc>
        <w:tc>
          <w:tcPr>
            <w:tcW w:type="dxa" w:w="3024"/>
            <w:vAlign w:val="center"/>
          </w:tcPr>
          <w:p>
            <w:r/>
            <w:r>
              <w:rPr>
                <w:b w:val="0"/>
                <w:sz w:val="16"/>
              </w:rPr>
              <w:t>12,732,781</w:t>
            </w:r>
          </w:p>
        </w:tc>
        <w:tc>
          <w:tcPr>
            <w:tcW w:type="dxa" w:w="4320"/>
            <w:vAlign w:val="center"/>
          </w:tcPr>
          <w:p>
            <w:r/>
            <w:r>
              <w:rPr>
                <w:b w:val="0"/>
                <w:sz w:val="16"/>
              </w:rPr>
              <w:t>76.9014% of all F09 states</w:t>
            </w:r>
          </w:p>
        </w:tc>
      </w:tr>
    </w:tbl>
    <w:p/>
    <w:p>
      <w:r>
        <w:rPr>
          <w:i w:val="0"/>
        </w:rPr>
        <w:t>F10 was prospectively frozen as the matched critical-access control: the extra bishop changes colour complex and can access h8. The full 33,305,146-state table remained a scale hold, but universal sanctuary preservation was already exactly falsified by 3,578 immediate checkmates among 586,893 legal BK=h8 states. This supports a critical-resource-access guard for sanctuary restoration without inventing a new object class.</w:t>
      </w:r>
    </w:p>
    <w:p>
      <w:pPr>
        <w:pStyle w:val="Heading1"/>
      </w:pPr>
      <w:r>
        <w:t>8. New G7 proof-language axis: strategy-language composition</w:t>
      </w:r>
    </w:p>
    <w:p>
      <w:r>
        <w:rPr>
          <w:i w:val="0"/>
        </w:rPr>
        <w:t>G7.FILTERED_ATTRACTOR retains the original game graph but adds a semantic predicate F on attacker edges. Attr_F(T) certifies that the attacker can force target T while every pre-target attacker move is F-admissible; defender semantics and terminal/capture typing remain unchanged. CHECK is the first frozen instantiation.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168"/>
            <w:vAlign w:val="center"/>
            <w:shd w:fill="2F5597"/>
          </w:tcPr>
          <w:p>
            <w:r/>
            <w:r>
              <w:rPr>
                <w:b/>
                <w:color w:val="FFFFFF"/>
                <w:sz w:val="17"/>
              </w:rPr>
              <w:t>Arena</w:t>
            </w:r>
          </w:p>
        </w:tc>
        <w:tc>
          <w:tcPr>
            <w:tcW w:type="dxa" w:w="1944"/>
            <w:vAlign w:val="center"/>
            <w:shd w:fill="2F5597"/>
          </w:tcPr>
          <w:p>
            <w:r/>
            <w:r>
              <w:rPr>
                <w:b/>
                <w:color w:val="FFFFFF"/>
                <w:sz w:val="17"/>
              </w:rPr>
              <w:t>Ordinary attr</w:t>
            </w:r>
          </w:p>
        </w:tc>
        <w:tc>
          <w:tcPr>
            <w:tcW w:type="dxa" w:w="1944"/>
            <w:vAlign w:val="center"/>
            <w:shd w:fill="2F5597"/>
          </w:tcPr>
          <w:p>
            <w:r/>
            <w:r>
              <w:rPr>
                <w:b/>
                <w:color w:val="FFFFFF"/>
                <w:sz w:val="17"/>
              </w:rPr>
              <w:t>CHECK attr</w:t>
            </w:r>
          </w:p>
        </w:tc>
        <w:tc>
          <w:tcPr>
            <w:tcW w:type="dxa" w:w="2376"/>
            <w:vAlign w:val="center"/>
            <w:shd w:fill="2F5597"/>
          </w:tcPr>
          <w:p>
            <w:r/>
            <w:r>
              <w:rPr>
                <w:b/>
                <w:color w:val="FFFFFF"/>
                <w:sz w:val="17"/>
              </w:rPr>
              <w:t>Strategy retention</w:t>
            </w:r>
          </w:p>
        </w:tc>
      </w:tr>
      <w:tr>
        <w:tc>
          <w:tcPr>
            <w:tcW w:type="dxa" w:w="3168"/>
            <w:vAlign w:val="center"/>
          </w:tcPr>
          <w:p>
            <w:r/>
            <w:r>
              <w:rPr>
                <w:b w:val="0"/>
                <w:sz w:val="16"/>
              </w:rPr>
              <w:t>F01</w:t>
            </w:r>
          </w:p>
        </w:tc>
        <w:tc>
          <w:tcPr>
            <w:tcW w:type="dxa" w:w="1944"/>
            <w:vAlign w:val="center"/>
          </w:tcPr>
          <w:p>
            <w:r/>
            <w:r>
              <w:rPr>
                <w:b w:val="0"/>
                <w:sz w:val="16"/>
              </w:rPr>
              <w:t>146,068</w:t>
            </w:r>
          </w:p>
        </w:tc>
        <w:tc>
          <w:tcPr>
            <w:tcW w:type="dxa" w:w="1944"/>
            <w:vAlign w:val="center"/>
          </w:tcPr>
          <w:p>
            <w:r/>
            <w:r>
              <w:rPr>
                <w:b w:val="0"/>
                <w:sz w:val="16"/>
              </w:rPr>
              <w:t>146,044</w:t>
            </w:r>
          </w:p>
        </w:tc>
        <w:tc>
          <w:tcPr>
            <w:tcW w:type="dxa" w:w="2376"/>
            <w:vAlign w:val="center"/>
          </w:tcPr>
          <w:p>
            <w:r/>
            <w:r>
              <w:rPr>
                <w:b w:val="0"/>
                <w:sz w:val="16"/>
              </w:rPr>
              <w:t>99.9836%</w:t>
            </w:r>
          </w:p>
        </w:tc>
      </w:tr>
      <w:tr>
        <w:tc>
          <w:tcPr>
            <w:tcW w:type="dxa" w:w="3168"/>
            <w:vAlign w:val="center"/>
          </w:tcPr>
          <w:p>
            <w:r/>
            <w:r>
              <w:rPr>
                <w:b w:val="0"/>
                <w:sz w:val="16"/>
              </w:rPr>
              <w:t>F02</w:t>
            </w:r>
          </w:p>
        </w:tc>
        <w:tc>
          <w:tcPr>
            <w:tcW w:type="dxa" w:w="1944"/>
            <w:vAlign w:val="center"/>
          </w:tcPr>
          <w:p>
            <w:r/>
            <w:r>
              <w:rPr>
                <w:b w:val="0"/>
                <w:sz w:val="16"/>
              </w:rPr>
              <w:t>612,427</w:t>
            </w:r>
          </w:p>
        </w:tc>
        <w:tc>
          <w:tcPr>
            <w:tcW w:type="dxa" w:w="1944"/>
            <w:vAlign w:val="center"/>
          </w:tcPr>
          <w:p>
            <w:r/>
            <w:r>
              <w:rPr>
                <w:b w:val="0"/>
                <w:sz w:val="16"/>
              </w:rPr>
              <w:t>582,247</w:t>
            </w:r>
          </w:p>
        </w:tc>
        <w:tc>
          <w:tcPr>
            <w:tcW w:type="dxa" w:w="2376"/>
            <w:vAlign w:val="center"/>
          </w:tcPr>
          <w:p>
            <w:r/>
            <w:r>
              <w:rPr>
                <w:b w:val="0"/>
                <w:sz w:val="16"/>
              </w:rPr>
              <w:t>95.0721%</w:t>
            </w:r>
          </w:p>
        </w:tc>
      </w:tr>
      <w:tr>
        <w:tc>
          <w:tcPr>
            <w:tcW w:type="dxa" w:w="3168"/>
            <w:vAlign w:val="center"/>
          </w:tcPr>
          <w:p>
            <w:r/>
            <w:r>
              <w:rPr>
                <w:b w:val="0"/>
                <w:sz w:val="16"/>
              </w:rPr>
              <w:t>F09</w:t>
            </w:r>
          </w:p>
        </w:tc>
        <w:tc>
          <w:tcPr>
            <w:tcW w:type="dxa" w:w="1944"/>
            <w:vAlign w:val="center"/>
          </w:tcPr>
          <w:p>
            <w:r/>
            <w:r>
              <w:rPr>
                <w:b w:val="0"/>
                <w:sz w:val="16"/>
              </w:rPr>
              <w:t>8,295,062</w:t>
            </w:r>
          </w:p>
        </w:tc>
        <w:tc>
          <w:tcPr>
            <w:tcW w:type="dxa" w:w="1944"/>
            <w:vAlign w:val="center"/>
          </w:tcPr>
          <w:p>
            <w:r/>
            <w:r>
              <w:rPr>
                <w:b w:val="0"/>
                <w:sz w:val="16"/>
              </w:rPr>
              <w:t>2,461,867</w:t>
            </w:r>
          </w:p>
        </w:tc>
        <w:tc>
          <w:tcPr>
            <w:tcW w:type="dxa" w:w="2376"/>
            <w:vAlign w:val="center"/>
          </w:tcPr>
          <w:p>
            <w:r/>
            <w:r>
              <w:rPr>
                <w:b w:val="0"/>
                <w:sz w:val="16"/>
              </w:rPr>
              <w:t>29.6787%</w:t>
            </w:r>
          </w:p>
        </w:tc>
      </w:tr>
    </w:tbl>
    <w:p/>
    <w:p>
      <w:r>
        <w:rPr>
          <w:i w:val="0"/>
        </w:rPr>
        <w:t>The deeper new theorem is FILTER_PIVOT. Let A=Attr(T), C=Attr_F(T), and Q=A\C. Define K_F as attacker-owned states in Q with an F-excluded edge into C. Then Q is nonempty iff K_F is nonempty, and Q equals the ordinary residual backward closure of K_F outside C. The theorem follows because defender admission is unchanged by the attacker-edge filter: the first newly admitted state outside C cannot be defender-owned, so it must be an attacker state entering C through an excluded edge.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024"/>
            <w:vAlign w:val="center"/>
            <w:shd w:fill="2F5597"/>
          </w:tcPr>
          <w:p>
            <w:r/>
            <w:r>
              <w:rPr>
                <w:b/>
                <w:color w:val="FFFFFF"/>
                <w:sz w:val="17"/>
              </w:rPr>
              <w:t>Arena / regression</w:t>
            </w:r>
          </w:p>
        </w:tc>
        <w:tc>
          <w:tcPr>
            <w:tcW w:type="dxa" w:w="1872"/>
            <w:vAlign w:val="center"/>
            <w:shd w:fill="2F5597"/>
          </w:tcPr>
          <w:p>
            <w:r/>
            <w:r>
              <w:rPr>
                <w:b/>
                <w:color w:val="FFFFFF"/>
                <w:sz w:val="17"/>
              </w:rPr>
              <w:t>Quiet-required Q</w:t>
            </w:r>
          </w:p>
        </w:tc>
        <w:tc>
          <w:tcPr>
            <w:tcW w:type="dxa" w:w="1656"/>
            <w:vAlign w:val="center"/>
            <w:shd w:fill="2F5597"/>
          </w:tcPr>
          <w:p>
            <w:r/>
            <w:r>
              <w:rPr>
                <w:b/>
                <w:color w:val="FFFFFF"/>
                <w:sz w:val="17"/>
              </w:rPr>
              <w:t>Pivot kernel</w:t>
            </w:r>
          </w:p>
        </w:tc>
        <w:tc>
          <w:tcPr>
            <w:tcW w:type="dxa" w:w="1584"/>
            <w:vAlign w:val="center"/>
            <w:shd w:fill="2F5597"/>
          </w:tcPr>
          <w:p>
            <w:r/>
            <w:r>
              <w:rPr>
                <w:b/>
                <w:color w:val="FFFFFF"/>
                <w:sz w:val="17"/>
              </w:rPr>
              <w:t>Amplification</w:t>
            </w:r>
          </w:p>
        </w:tc>
        <w:tc>
          <w:tcPr>
            <w:tcW w:type="dxa" w:w="2232"/>
            <w:vAlign w:val="center"/>
            <w:shd w:fill="2F5597"/>
          </w:tcPr>
          <w:p>
            <w:r/>
            <w:r>
              <w:rPr>
                <w:b/>
                <w:color w:val="FFFFFF"/>
                <w:sz w:val="17"/>
              </w:rPr>
              <w:t>Exact reconstruction</w:t>
            </w:r>
          </w:p>
        </w:tc>
      </w:tr>
      <w:tr>
        <w:tc>
          <w:tcPr>
            <w:tcW w:type="dxa" w:w="3024"/>
            <w:vAlign w:val="center"/>
          </w:tcPr>
          <w:p>
            <w:r/>
            <w:r>
              <w:rPr>
                <w:b w:val="0"/>
                <w:sz w:val="15"/>
              </w:rPr>
              <w:t>F01</w:t>
            </w:r>
          </w:p>
        </w:tc>
        <w:tc>
          <w:tcPr>
            <w:tcW w:type="dxa" w:w="1872"/>
            <w:vAlign w:val="center"/>
          </w:tcPr>
          <w:p>
            <w:r/>
            <w:r>
              <w:rPr>
                <w:b w:val="0"/>
                <w:sz w:val="15"/>
              </w:rPr>
              <w:t>24</w:t>
            </w:r>
          </w:p>
        </w:tc>
        <w:tc>
          <w:tcPr>
            <w:tcW w:type="dxa" w:w="1656"/>
            <w:vAlign w:val="center"/>
          </w:tcPr>
          <w:p>
            <w:r/>
            <w:r>
              <w:rPr>
                <w:b w:val="0"/>
                <w:sz w:val="15"/>
              </w:rPr>
              <w:t>24</w:t>
            </w:r>
          </w:p>
        </w:tc>
        <w:tc>
          <w:tcPr>
            <w:tcW w:type="dxa" w:w="1584"/>
            <w:vAlign w:val="center"/>
          </w:tcPr>
          <w:p>
            <w:r/>
            <w:r>
              <w:rPr>
                <w:b w:val="0"/>
                <w:sz w:val="15"/>
              </w:rPr>
              <w:t>1.000×</w:t>
            </w:r>
          </w:p>
        </w:tc>
        <w:tc>
          <w:tcPr>
            <w:tcW w:type="dxa" w:w="2232"/>
            <w:vAlign w:val="center"/>
          </w:tcPr>
          <w:p>
            <w:r/>
            <w:r>
              <w:rPr>
                <w:b w:val="0"/>
                <w:sz w:val="15"/>
              </w:rPr>
              <w:t>0 missing / 0 extra</w:t>
            </w:r>
          </w:p>
        </w:tc>
      </w:tr>
      <w:tr>
        <w:tc>
          <w:tcPr>
            <w:tcW w:type="dxa" w:w="3024"/>
            <w:vAlign w:val="center"/>
          </w:tcPr>
          <w:p>
            <w:r/>
            <w:r>
              <w:rPr>
                <w:b w:val="0"/>
                <w:sz w:val="15"/>
              </w:rPr>
              <w:t>F02</w:t>
            </w:r>
          </w:p>
        </w:tc>
        <w:tc>
          <w:tcPr>
            <w:tcW w:type="dxa" w:w="1872"/>
            <w:vAlign w:val="center"/>
          </w:tcPr>
          <w:p>
            <w:r/>
            <w:r>
              <w:rPr>
                <w:b w:val="0"/>
                <w:sz w:val="15"/>
              </w:rPr>
              <w:t>30,180</w:t>
            </w:r>
          </w:p>
        </w:tc>
        <w:tc>
          <w:tcPr>
            <w:tcW w:type="dxa" w:w="1656"/>
            <w:vAlign w:val="center"/>
          </w:tcPr>
          <w:p>
            <w:r/>
            <w:r>
              <w:rPr>
                <w:b w:val="0"/>
                <w:sz w:val="15"/>
              </w:rPr>
              <w:t>19,890</w:t>
            </w:r>
          </w:p>
        </w:tc>
        <w:tc>
          <w:tcPr>
            <w:tcW w:type="dxa" w:w="1584"/>
            <w:vAlign w:val="center"/>
          </w:tcPr>
          <w:p>
            <w:r/>
            <w:r>
              <w:rPr>
                <w:b w:val="0"/>
                <w:sz w:val="15"/>
              </w:rPr>
              <w:t>1.517×</w:t>
            </w:r>
          </w:p>
        </w:tc>
        <w:tc>
          <w:tcPr>
            <w:tcW w:type="dxa" w:w="2232"/>
            <w:vAlign w:val="center"/>
          </w:tcPr>
          <w:p>
            <w:r/>
            <w:r>
              <w:rPr>
                <w:b w:val="0"/>
                <w:sz w:val="15"/>
              </w:rPr>
              <w:t>0 / 0</w:t>
            </w:r>
          </w:p>
        </w:tc>
      </w:tr>
      <w:tr>
        <w:tc>
          <w:tcPr>
            <w:tcW w:type="dxa" w:w="3024"/>
            <w:vAlign w:val="center"/>
          </w:tcPr>
          <w:p>
            <w:r/>
            <w:r>
              <w:rPr>
                <w:b w:val="0"/>
                <w:sz w:val="15"/>
              </w:rPr>
              <w:t>F09 held-out</w:t>
            </w:r>
          </w:p>
        </w:tc>
        <w:tc>
          <w:tcPr>
            <w:tcW w:type="dxa" w:w="1872"/>
            <w:vAlign w:val="center"/>
          </w:tcPr>
          <w:p>
            <w:r/>
            <w:r>
              <w:rPr>
                <w:b w:val="0"/>
                <w:sz w:val="15"/>
              </w:rPr>
              <w:t>5,833,195</w:t>
            </w:r>
          </w:p>
        </w:tc>
        <w:tc>
          <w:tcPr>
            <w:tcW w:type="dxa" w:w="1656"/>
            <w:vAlign w:val="center"/>
          </w:tcPr>
          <w:p>
            <w:r/>
            <w:r>
              <w:rPr>
                <w:b w:val="0"/>
                <w:sz w:val="15"/>
              </w:rPr>
              <w:t>517,120</w:t>
            </w:r>
          </w:p>
        </w:tc>
        <w:tc>
          <w:tcPr>
            <w:tcW w:type="dxa" w:w="1584"/>
            <w:vAlign w:val="center"/>
          </w:tcPr>
          <w:p>
            <w:r/>
            <w:r>
              <w:rPr>
                <w:b w:val="0"/>
                <w:sz w:val="15"/>
              </w:rPr>
              <w:t>11.280×</w:t>
            </w:r>
          </w:p>
        </w:tc>
        <w:tc>
          <w:tcPr>
            <w:tcW w:type="dxa" w:w="2232"/>
            <w:vAlign w:val="center"/>
          </w:tcPr>
          <w:p>
            <w:r/>
            <w:r>
              <w:rPr>
                <w:b w:val="0"/>
                <w:sz w:val="15"/>
              </w:rPr>
              <w:t>0 / 0</w:t>
            </w:r>
          </w:p>
        </w:tc>
      </w:tr>
      <w:tr>
        <w:tc>
          <w:tcPr>
            <w:tcW w:type="dxa" w:w="3024"/>
            <w:vAlign w:val="center"/>
          </w:tcPr>
          <w:p>
            <w:r/>
            <w:r>
              <w:rPr>
                <w:b w:val="0"/>
                <w:sz w:val="15"/>
              </w:rPr>
              <w:t>G6 all-file N/B/R</w:t>
            </w:r>
          </w:p>
        </w:tc>
        <w:tc>
          <w:tcPr>
            <w:tcW w:type="dxa" w:w="1872"/>
            <w:vAlign w:val="center"/>
          </w:tcPr>
          <w:p>
            <w:r/>
            <w:r>
              <w:rPr>
                <w:b w:val="0"/>
                <w:sz w:val="15"/>
              </w:rPr>
              <w:t>24 arenas</w:t>
            </w:r>
          </w:p>
        </w:tc>
        <w:tc>
          <w:tcPr>
            <w:tcW w:type="dxa" w:w="1656"/>
            <w:vAlign w:val="center"/>
          </w:tcPr>
          <w:p>
            <w:r/>
            <w:r>
              <w:rPr>
                <w:b w:val="0"/>
                <w:sz w:val="15"/>
              </w:rPr>
              <w:t>—</w:t>
            </w:r>
          </w:p>
        </w:tc>
        <w:tc>
          <w:tcPr>
            <w:tcW w:type="dxa" w:w="1584"/>
            <w:vAlign w:val="center"/>
          </w:tcPr>
          <w:p>
            <w:r/>
            <w:r>
              <w:rPr>
                <w:b w:val="0"/>
                <w:sz w:val="15"/>
              </w:rPr>
              <w:t>varies</w:t>
            </w:r>
          </w:p>
        </w:tc>
        <w:tc>
          <w:tcPr>
            <w:tcW w:type="dxa" w:w="2232"/>
            <w:vAlign w:val="center"/>
          </w:tcPr>
          <w:p>
            <w:r/>
            <w:r>
              <w:rPr>
                <w:b w:val="0"/>
                <w:sz w:val="15"/>
              </w:rPr>
              <w:t>24/24 exact</w:t>
            </w:r>
          </w:p>
        </w:tc>
      </w:tr>
      <w:tr>
        <w:tc>
          <w:tcPr>
            <w:tcW w:type="dxa" w:w="3024"/>
            <w:vAlign w:val="center"/>
          </w:tcPr>
          <w:p>
            <w:r/>
            <w:r>
              <w:rPr>
                <w:b w:val="0"/>
                <w:sz w:val="15"/>
              </w:rPr>
              <w:t>Arbitrary finite graphs</w:t>
            </w:r>
          </w:p>
        </w:tc>
        <w:tc>
          <w:tcPr>
            <w:tcW w:type="dxa" w:w="1872"/>
            <w:vAlign w:val="center"/>
          </w:tcPr>
          <w:p>
            <w:r/>
            <w:r>
              <w:rPr>
                <w:b w:val="0"/>
                <w:sz w:val="15"/>
              </w:rPr>
              <w:t>100,000 regressions</w:t>
            </w:r>
          </w:p>
        </w:tc>
        <w:tc>
          <w:tcPr>
            <w:tcW w:type="dxa" w:w="1656"/>
            <w:vAlign w:val="center"/>
          </w:tcPr>
          <w:p>
            <w:r/>
            <w:r>
              <w:rPr>
                <w:b w:val="0"/>
                <w:sz w:val="15"/>
              </w:rPr>
              <w:t>—</w:t>
            </w:r>
          </w:p>
        </w:tc>
        <w:tc>
          <w:tcPr>
            <w:tcW w:type="dxa" w:w="1584"/>
            <w:vAlign w:val="center"/>
          </w:tcPr>
          <w:p>
            <w:r/>
            <w:r>
              <w:rPr>
                <w:b w:val="0"/>
                <w:sz w:val="15"/>
              </w:rPr>
              <w:t>—</w:t>
            </w:r>
          </w:p>
        </w:tc>
        <w:tc>
          <w:tcPr>
            <w:tcW w:type="dxa" w:w="2232"/>
            <w:vAlign w:val="center"/>
          </w:tcPr>
          <w:p>
            <w:r/>
            <w:r>
              <w:rPr>
                <w:b w:val="0"/>
                <w:sz w:val="15"/>
              </w:rPr>
              <w:t>0 mismatches</w:t>
            </w:r>
          </w:p>
        </w:tc>
      </w:tr>
    </w:tbl>
    <w:p/>
    <w:p>
      <w:r>
        <w:rPr>
          <w:i w:val="0"/>
        </w:rPr>
        <w:t>The backward-fire sweep promotes FILTER_PIVOT to a universal/core proof-language operation. CHECK itself is not promoted as a universally dominant chess strategy: its retention varies strongly by topology, which is exactly why the operator and the particular filter must remain separately typed.</w:t>
      </w:r>
    </w:p>
    <w:p>
      <w:pPr>
        <w:pStyle w:val="Heading1"/>
      </w:pPr>
      <w:r>
        <w:t>9. Backward fire: what the new layer explains in G6</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2448"/>
            <w:vAlign w:val="center"/>
            <w:shd w:fill="2F5597"/>
          </w:tcPr>
          <w:p>
            <w:r/>
            <w:r>
              <w:rPr>
                <w:b/>
                <w:color w:val="FFFFFF"/>
                <w:sz w:val="17"/>
              </w:rPr>
              <w:t>Piece family (a–h aggregate)</w:t>
            </w:r>
          </w:p>
        </w:tc>
        <w:tc>
          <w:tcPr>
            <w:tcW w:type="dxa" w:w="1800"/>
            <w:vAlign w:val="center"/>
            <w:shd w:fill="2F5597"/>
          </w:tcPr>
          <w:p>
            <w:r/>
            <w:r>
              <w:rPr>
                <w:b/>
                <w:color w:val="FFFFFF"/>
                <w:sz w:val="17"/>
              </w:rPr>
              <w:t>Ordinary attr</w:t>
            </w:r>
          </w:p>
        </w:tc>
        <w:tc>
          <w:tcPr>
            <w:tcW w:type="dxa" w:w="1512"/>
            <w:vAlign w:val="center"/>
            <w:shd w:fill="2F5597"/>
          </w:tcPr>
          <w:p>
            <w:r/>
            <w:r>
              <w:rPr>
                <w:b/>
                <w:color w:val="FFFFFF"/>
                <w:sz w:val="17"/>
              </w:rPr>
              <w:t>CHECK share</w:t>
            </w:r>
          </w:p>
        </w:tc>
        <w:tc>
          <w:tcPr>
            <w:tcW w:type="dxa" w:w="1944"/>
            <w:vAlign w:val="center"/>
            <w:shd w:fill="2F5597"/>
          </w:tcPr>
          <w:p>
            <w:r/>
            <w:r>
              <w:rPr>
                <w:b/>
                <w:color w:val="FFFFFF"/>
                <w:sz w:val="17"/>
              </w:rPr>
              <w:t>Quiet-required</w:t>
            </w:r>
          </w:p>
        </w:tc>
        <w:tc>
          <w:tcPr>
            <w:tcW w:type="dxa" w:w="1800"/>
            <w:vAlign w:val="center"/>
            <w:shd w:fill="2F5597"/>
          </w:tcPr>
          <w:p>
            <w:r/>
            <w:r>
              <w:rPr>
                <w:b/>
                <w:color w:val="FFFFFF"/>
                <w:sz w:val="17"/>
              </w:rPr>
              <w:t>Pivot kernel</w:t>
            </w:r>
          </w:p>
        </w:tc>
        <w:tc>
          <w:tcPr>
            <w:tcW w:type="dxa" w:w="1872"/>
            <w:vAlign w:val="center"/>
            <w:shd w:fill="2F5597"/>
          </w:tcPr>
          <w:p>
            <w:r/>
            <w:r>
              <w:rPr>
                <w:b/>
                <w:color w:val="FFFFFF"/>
                <w:sz w:val="17"/>
              </w:rPr>
              <w:t>Pivot amplification</w:t>
            </w:r>
          </w:p>
        </w:tc>
      </w:tr>
      <w:tr>
        <w:tc>
          <w:tcPr>
            <w:tcW w:type="dxa" w:w="2448"/>
            <w:vAlign w:val="center"/>
          </w:tcPr>
          <w:p>
            <w:r/>
            <w:r>
              <w:rPr>
                <w:b w:val="0"/>
                <w:sz w:val="15"/>
              </w:rPr>
              <w:t>Knight</w:t>
            </w:r>
          </w:p>
        </w:tc>
        <w:tc>
          <w:tcPr>
            <w:tcW w:type="dxa" w:w="1800"/>
            <w:vAlign w:val="center"/>
          </w:tcPr>
          <w:p>
            <w:r/>
            <w:r>
              <w:rPr>
                <w:b w:val="0"/>
                <w:sz w:val="15"/>
              </w:rPr>
              <w:t>5,216,274</w:t>
            </w:r>
          </w:p>
        </w:tc>
        <w:tc>
          <w:tcPr>
            <w:tcW w:type="dxa" w:w="1512"/>
            <w:vAlign w:val="center"/>
          </w:tcPr>
          <w:p>
            <w:r/>
            <w:r>
              <w:rPr>
                <w:b w:val="0"/>
                <w:sz w:val="15"/>
              </w:rPr>
              <w:t>54.84%</w:t>
            </w:r>
          </w:p>
        </w:tc>
        <w:tc>
          <w:tcPr>
            <w:tcW w:type="dxa" w:w="1944"/>
            <w:vAlign w:val="center"/>
          </w:tcPr>
          <w:p>
            <w:r/>
            <w:r>
              <w:rPr>
                <w:b w:val="0"/>
                <w:sz w:val="15"/>
              </w:rPr>
              <w:t>2,355,478</w:t>
            </w:r>
          </w:p>
        </w:tc>
        <w:tc>
          <w:tcPr>
            <w:tcW w:type="dxa" w:w="1800"/>
            <w:vAlign w:val="center"/>
          </w:tcPr>
          <w:p>
            <w:r/>
            <w:r>
              <w:rPr>
                <w:b w:val="0"/>
                <w:sz w:val="15"/>
              </w:rPr>
              <w:t>252,912</w:t>
            </w:r>
          </w:p>
        </w:tc>
        <w:tc>
          <w:tcPr>
            <w:tcW w:type="dxa" w:w="1872"/>
            <w:vAlign w:val="center"/>
          </w:tcPr>
          <w:p>
            <w:r/>
            <w:r>
              <w:rPr>
                <w:b w:val="0"/>
                <w:sz w:val="15"/>
              </w:rPr>
              <w:t>9.31×</w:t>
            </w:r>
          </w:p>
        </w:tc>
      </w:tr>
      <w:tr>
        <w:tc>
          <w:tcPr>
            <w:tcW w:type="dxa" w:w="2448"/>
            <w:vAlign w:val="center"/>
          </w:tcPr>
          <w:p>
            <w:r/>
            <w:r>
              <w:rPr>
                <w:b w:val="0"/>
                <w:sz w:val="15"/>
              </w:rPr>
              <w:t>Bishop</w:t>
            </w:r>
          </w:p>
        </w:tc>
        <w:tc>
          <w:tcPr>
            <w:tcW w:type="dxa" w:w="1800"/>
            <w:vAlign w:val="center"/>
          </w:tcPr>
          <w:p>
            <w:r/>
            <w:r>
              <w:rPr>
                <w:b w:val="0"/>
                <w:sz w:val="15"/>
              </w:rPr>
              <w:t>5,828,716</w:t>
            </w:r>
          </w:p>
        </w:tc>
        <w:tc>
          <w:tcPr>
            <w:tcW w:type="dxa" w:w="1512"/>
            <w:vAlign w:val="center"/>
          </w:tcPr>
          <w:p>
            <w:r/>
            <w:r>
              <w:rPr>
                <w:b w:val="0"/>
                <w:sz w:val="15"/>
              </w:rPr>
              <w:t>47.73%</w:t>
            </w:r>
          </w:p>
        </w:tc>
        <w:tc>
          <w:tcPr>
            <w:tcW w:type="dxa" w:w="1944"/>
            <w:vAlign w:val="center"/>
          </w:tcPr>
          <w:p>
            <w:r/>
            <w:r>
              <w:rPr>
                <w:b w:val="0"/>
                <w:sz w:val="15"/>
              </w:rPr>
              <w:t>3,046,434</w:t>
            </w:r>
          </w:p>
        </w:tc>
        <w:tc>
          <w:tcPr>
            <w:tcW w:type="dxa" w:w="1800"/>
            <w:vAlign w:val="center"/>
          </w:tcPr>
          <w:p>
            <w:r/>
            <w:r>
              <w:rPr>
                <w:b w:val="0"/>
                <w:sz w:val="15"/>
              </w:rPr>
              <w:t>251,552</w:t>
            </w:r>
          </w:p>
        </w:tc>
        <w:tc>
          <w:tcPr>
            <w:tcW w:type="dxa" w:w="1872"/>
            <w:vAlign w:val="center"/>
          </w:tcPr>
          <w:p>
            <w:r/>
            <w:r>
              <w:rPr>
                <w:b w:val="0"/>
                <w:sz w:val="15"/>
              </w:rPr>
              <w:t>12.11×</w:t>
            </w:r>
          </w:p>
        </w:tc>
      </w:tr>
      <w:tr>
        <w:tc>
          <w:tcPr>
            <w:tcW w:type="dxa" w:w="2448"/>
            <w:vAlign w:val="center"/>
          </w:tcPr>
          <w:p>
            <w:r/>
            <w:r>
              <w:rPr>
                <w:b w:val="0"/>
                <w:sz w:val="15"/>
              </w:rPr>
              <w:t>Rook</w:t>
            </w:r>
          </w:p>
        </w:tc>
        <w:tc>
          <w:tcPr>
            <w:tcW w:type="dxa" w:w="1800"/>
            <w:vAlign w:val="center"/>
          </w:tcPr>
          <w:p>
            <w:r/>
            <w:r>
              <w:rPr>
                <w:b w:val="0"/>
                <w:sz w:val="15"/>
              </w:rPr>
              <w:t>8,148,388</w:t>
            </w:r>
          </w:p>
        </w:tc>
        <w:tc>
          <w:tcPr>
            <w:tcW w:type="dxa" w:w="1512"/>
            <w:vAlign w:val="center"/>
          </w:tcPr>
          <w:p>
            <w:r/>
            <w:r>
              <w:rPr>
                <w:b w:val="0"/>
                <w:sz w:val="15"/>
              </w:rPr>
              <w:t>32.85%</w:t>
            </w:r>
          </w:p>
        </w:tc>
        <w:tc>
          <w:tcPr>
            <w:tcW w:type="dxa" w:w="1944"/>
            <w:vAlign w:val="center"/>
          </w:tcPr>
          <w:p>
            <w:r/>
            <w:r>
              <w:rPr>
                <w:b w:val="0"/>
                <w:sz w:val="15"/>
              </w:rPr>
              <w:t>5,471,620</w:t>
            </w:r>
          </w:p>
        </w:tc>
        <w:tc>
          <w:tcPr>
            <w:tcW w:type="dxa" w:w="1800"/>
            <w:vAlign w:val="center"/>
          </w:tcPr>
          <w:p>
            <w:r/>
            <w:r>
              <w:rPr>
                <w:b w:val="0"/>
                <w:sz w:val="15"/>
              </w:rPr>
              <w:t>264,788</w:t>
            </w:r>
          </w:p>
        </w:tc>
        <w:tc>
          <w:tcPr>
            <w:tcW w:type="dxa" w:w="1872"/>
            <w:vAlign w:val="center"/>
          </w:tcPr>
          <w:p>
            <w:r/>
            <w:r>
              <w:rPr>
                <w:b w:val="0"/>
                <w:sz w:val="15"/>
              </w:rPr>
              <w:t>20.66×</w:t>
            </w:r>
          </w:p>
        </w:tc>
      </w:tr>
    </w:tbl>
    <w:p/>
    <w:p>
      <w:r>
        <w:rPr>
          <w:i w:val="0"/>
        </w:rPr>
        <w:t>The strategy-language layer also sharpens old scaling observations. On the d-file rank-band expansion from 5–7 to 2–7, ordinary attractors grow 1.339× (N), 1.568× (B) and 1.990× (R), while CHECK is nearly flat at 1.000×, 1.0016× and 1.0001×. The added territory is therefore overwhelmingly generated by positions that require a quiet handoff into an already-existing forcing corridor.</w:t>
      </w:r>
    </w:p>
    <w:p>
      <w:r>
        <w:rPr>
          <w:i w:val="0"/>
        </w:rPr>
        <w:t>Destination-choice and strategy-language composition are distinct. In the frozen G6 bishop c-file BRIDGE, only 3,190 / 117,430 = 2.7165% of the pure Branch-Kernel region lies inside CHECK. FILTER_PIVOT is therefore not a relabelled Branch-Kernel population.</w:t>
      </w:r>
    </w:p>
    <w:p>
      <w:pPr>
        <w:pStyle w:val="Heading1"/>
      </w:pPr>
      <w:r>
        <w:t>10. G7.8 mixed proof DAG</w:t>
      </w:r>
    </w:p>
    <w:p>
      <w:r>
        <w:rPr>
          <w:i w:val="0"/>
        </w:rPr>
        <w:t>F02 demonstrates a proof DAG in which a derived proof object is reused as a higher target, then receives a strategy-language decomposition:</w:t>
      </w:r>
    </w:p>
    <w:p>
      <w:pPr>
        <w:pStyle w:val="ListNumber"/>
      </w:pPr>
      <w:r>
        <w:t>Exact lower-material targets SIG7, SIG11 and SIG14 are declared and certified.</w:t>
      </w:r>
    </w:p>
    <w:p>
      <w:pPr>
        <w:pStyle w:val="ListNumber"/>
      </w:pPr>
      <w:r>
        <w:t>Finite-n Hyperkernel: 1,641 defender seeds generate the 7,195-state irreducible three-way destination region.</w:t>
      </w:r>
    </w:p>
    <w:p>
      <w:pPr>
        <w:pStyle w:val="ListNumber"/>
      </w:pPr>
      <w:r>
        <w:t>The 7,195-state derived region becomes a new strict-attractor target, producing 23,327 certified states.</w:t>
      </w:r>
    </w:p>
    <w:p>
      <w:pPr>
        <w:pStyle w:val="ListNumber"/>
      </w:pPr>
      <w:r>
        <w:t>CHECK-filtered attraction certifies 23,026 of those 23,327 states.</w:t>
      </w:r>
    </w:p>
    <w:p>
      <w:pPr>
        <w:pStyle w:val="ListNumber"/>
      </w:pPr>
      <w:r>
        <w:t>The remaining 301 quiet-required states factor exactly through 239 Filter-Pivots.</w:t>
      </w:r>
    </w:p>
    <w:p>
      <w:r>
        <w:rPr>
          <w:i w:val="0"/>
        </w:rPr>
        <w:t>Total amplification is 14.215× from the original 1,641-state Hyperkernel to the 23,327-state second-order attractor. Exhaustive fixed-point scanning over all 612,427 parent-attractor states found zero member violations and zero missing qualifiers for both the derived ordinary and CHECK-filtered attractors.</w:t>
      </w:r>
    </w:p>
    <w:p>
      <w:r>
        <w:rPr>
          <w:i w:val="0"/>
        </w:rPr>
        <w:t>A strong cross-axis interaction also appears: 82.8353% of the 7,195 irreducible three-way destination states require a quiet handoff, versus only 4.0018% of the proper-subunion population. This is retained as an exact empirical interaction, not promoted as a universal theorem.</w:t>
      </w:r>
    </w:p>
    <w:p>
      <w:pPr>
        <w:pStyle w:val="Heading1"/>
      </w:pPr>
      <w:r>
        <w:t>11. Certification discipline and superseded diagnostics</w:t>
      </w:r>
    </w:p>
    <w:p>
      <w:r>
        <w:rPr>
          <w:i w:val="0"/>
        </w:rPr>
        <w:t>G7 produced several implementation alarms. They are part of the handoff because the programme explicitly treats theorem invariants and independent audits as tools for rejecting attractive but invalid results.</w:t>
      </w:r>
    </w:p>
    <w:p>
      <w:pPr>
        <w:pStyle w:val="ListBullet"/>
      </w:pPr>
      <w:r>
        <w:t>Slider successor defect: a blocked ray incorrectly terminated the entire slider destination list. Bellman/predecessor audits caught it; all affected structural/WDL diagnostics were discarded, and the corrected prospective ordering remained unchanged.</w:t>
      </w:r>
    </w:p>
    <w:p>
      <w:pPr>
        <w:pStyle w:val="ListBullet"/>
      </w:pPr>
      <w:r>
        <w:t>Three-way Hyperkernel analysis defect: the proper-subunion base B was populated lazily while successor membership was already queried, falsely producing a 7,195-state irreducible region with zero kernel. Precomputing B restored the exact 1,641 → 7,195 theorem factorization.</w:t>
      </w:r>
    </w:p>
    <w:p>
      <w:pPr>
        <w:pStyle w:val="ListBullet"/>
      </w:pPr>
      <w:r>
        <w:t>Fortress post-analysis dependency defect: an F4 lower-material object was instantiated but not solved/loaded, causing bishop-capture exits to be mislabelled as draws in an audit helper. The underlying F5 solve had typed them correctly. The post-analysis result was discarded and rerun after dependency initialization.</w:t>
      </w:r>
    </w:p>
    <w:p>
      <w:pPr>
        <w:pStyle w:val="ListBullet"/>
      </w:pPr>
      <w:r>
        <w:t>Role-dual attractor duplicate-predecessor issue: canonical identical bishops required predecessor deduplication to avoid over-decrementing universal defender counters. Failed attractor populations were explicitly superseded.</w:t>
      </w:r>
    </w:p>
    <w:p>
      <w:pPr>
        <w:pStyle w:val="ListBullet"/>
      </w:pPr>
      <w:r>
        <w:t>F10/F04/F06/F07 incomplete retrogrades emitted no accepted outcome truth. Partial queue propagation is never treated as a chess result.</w:t>
      </w:r>
    </w:p>
    <w:p>
      <w:pPr>
        <w:pStyle w:val="Heading1"/>
      </w:pPr>
      <w:r>
        <w:t>12. Current scaling frontier and certificate economics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vAlign w:val="center"/>
            <w:shd w:fill="2F5597"/>
          </w:tcPr>
          <w:p>
            <w:r/>
            <w:r>
              <w:rPr>
                <w:b/>
                <w:color w:val="FFFFFF"/>
                <w:sz w:val="17"/>
              </w:rPr>
              <w:t>Arena</w:t>
            </w:r>
          </w:p>
        </w:tc>
        <w:tc>
          <w:tcPr>
            <w:tcW w:type="dxa" w:w="2376"/>
            <w:vAlign w:val="center"/>
            <w:shd w:fill="2F5597"/>
          </w:tcPr>
          <w:p>
            <w:r/>
            <w:r>
              <w:rPr>
                <w:b/>
                <w:color w:val="FFFFFF"/>
                <w:sz w:val="17"/>
              </w:rPr>
              <w:t>Static-valid states</w:t>
            </w:r>
          </w:p>
        </w:tc>
        <w:tc>
          <w:tcPr>
            <w:tcW w:type="dxa" w:w="4320"/>
            <w:vAlign w:val="center"/>
            <w:shd w:fill="2F5597"/>
          </w:tcPr>
          <w:p>
            <w:r/>
            <w:r>
              <w:rPr>
                <w:b/>
                <w:color w:val="FFFFFF"/>
                <w:sz w:val="17"/>
              </w:rPr>
              <w:t>Wall-time outcome</w:t>
            </w:r>
          </w:p>
        </w:tc>
      </w:tr>
      <w:tr>
        <w:tc>
          <w:tcPr>
            <w:tcW w:type="dxa" w:w="3024"/>
            <w:vAlign w:val="center"/>
          </w:tcPr>
          <w:p>
            <w:r/>
            <w:r>
              <w:rPr>
                <w:b w:val="0"/>
                <w:sz w:val="16"/>
              </w:rPr>
              <w:t>F01</w:t>
            </w:r>
          </w:p>
        </w:tc>
        <w:tc>
          <w:tcPr>
            <w:tcW w:type="dxa" w:w="2376"/>
            <w:vAlign w:val="center"/>
          </w:tcPr>
          <w:p>
            <w:r/>
            <w:r>
              <w:rPr>
                <w:b w:val="0"/>
                <w:sz w:val="16"/>
              </w:rPr>
              <w:t>23,728,925</w:t>
            </w:r>
          </w:p>
        </w:tc>
        <w:tc>
          <w:tcPr>
            <w:tcW w:type="dxa" w:w="4320"/>
            <w:vAlign w:val="center"/>
          </w:tcPr>
          <w:p>
            <w:r/>
            <w:r>
              <w:rPr>
                <w:b w:val="0"/>
                <w:sz w:val="16"/>
              </w:rPr>
              <w:t>28.829 s — complete</w:t>
            </w:r>
          </w:p>
        </w:tc>
      </w:tr>
      <w:tr>
        <w:tc>
          <w:tcPr>
            <w:tcW w:type="dxa" w:w="3024"/>
            <w:vAlign w:val="center"/>
          </w:tcPr>
          <w:p>
            <w:r/>
            <w:r>
              <w:rPr>
                <w:b w:val="0"/>
                <w:sz w:val="16"/>
              </w:rPr>
              <w:t>F02</w:t>
            </w:r>
          </w:p>
        </w:tc>
        <w:tc>
          <w:tcPr>
            <w:tcW w:type="dxa" w:w="2376"/>
            <w:vAlign w:val="center"/>
          </w:tcPr>
          <w:p>
            <w:r/>
            <w:r>
              <w:rPr>
                <w:b w:val="0"/>
                <w:sz w:val="16"/>
              </w:rPr>
              <w:t>22,770,972</w:t>
            </w:r>
          </w:p>
        </w:tc>
        <w:tc>
          <w:tcPr>
            <w:tcW w:type="dxa" w:w="4320"/>
            <w:vAlign w:val="center"/>
          </w:tcPr>
          <w:p>
            <w:r/>
            <w:r>
              <w:rPr>
                <w:b w:val="0"/>
                <w:sz w:val="16"/>
              </w:rPr>
              <w:t>27.198 s — complete</w:t>
            </w:r>
          </w:p>
        </w:tc>
      </w:tr>
      <w:tr>
        <w:tc>
          <w:tcPr>
            <w:tcW w:type="dxa" w:w="3024"/>
            <w:vAlign w:val="center"/>
          </w:tcPr>
          <w:p>
            <w:r/>
            <w:r>
              <w:rPr>
                <w:b w:val="0"/>
                <w:sz w:val="16"/>
              </w:rPr>
              <w:t>F09</w:t>
            </w:r>
          </w:p>
        </w:tc>
        <w:tc>
          <w:tcPr>
            <w:tcW w:type="dxa" w:w="2376"/>
            <w:vAlign w:val="center"/>
          </w:tcPr>
          <w:p>
            <w:r/>
            <w:r>
              <w:rPr>
                <w:b w:val="0"/>
                <w:sz w:val="16"/>
              </w:rPr>
              <w:t>16,557,288</w:t>
            </w:r>
          </w:p>
        </w:tc>
        <w:tc>
          <w:tcPr>
            <w:tcW w:type="dxa" w:w="4320"/>
            <w:vAlign w:val="center"/>
          </w:tcPr>
          <w:p>
            <w:r/>
            <w:r>
              <w:rPr>
                <w:b w:val="0"/>
                <w:sz w:val="16"/>
              </w:rPr>
              <w:t>20.750 s — complete</w:t>
            </w:r>
          </w:p>
        </w:tc>
      </w:tr>
      <w:tr>
        <w:tc>
          <w:tcPr>
            <w:tcW w:type="dxa" w:w="3024"/>
            <w:vAlign w:val="center"/>
          </w:tcPr>
          <w:p>
            <w:r/>
            <w:r>
              <w:rPr>
                <w:b w:val="0"/>
                <w:sz w:val="16"/>
              </w:rPr>
              <w:t>F06 Q+B</w:t>
            </w:r>
          </w:p>
        </w:tc>
        <w:tc>
          <w:tcPr>
            <w:tcW w:type="dxa" w:w="2376"/>
            <w:vAlign w:val="center"/>
          </w:tcPr>
          <w:p>
            <w:r/>
            <w:r>
              <w:rPr>
                <w:b w:val="0"/>
                <w:sz w:val="16"/>
              </w:rPr>
              <w:t>40,499,052</w:t>
            </w:r>
          </w:p>
        </w:tc>
        <w:tc>
          <w:tcPr>
            <w:tcW w:type="dxa" w:w="4320"/>
            <w:vAlign w:val="center"/>
          </w:tcPr>
          <w:p>
            <w:r/>
            <w:r>
              <w:rPr>
                <w:b w:val="0"/>
                <w:sz w:val="16"/>
              </w:rPr>
              <w:t>&gt;180 s — no W/D/L emitted</w:t>
            </w:r>
          </w:p>
        </w:tc>
      </w:tr>
      <w:tr>
        <w:tc>
          <w:tcPr>
            <w:tcW w:type="dxa" w:w="3024"/>
            <w:vAlign w:val="center"/>
          </w:tcPr>
          <w:p>
            <w:r/>
            <w:r>
              <w:rPr>
                <w:b w:val="0"/>
                <w:sz w:val="16"/>
              </w:rPr>
              <w:t>F04 R+B</w:t>
            </w:r>
          </w:p>
        </w:tc>
        <w:tc>
          <w:tcPr>
            <w:tcW w:type="dxa" w:w="2376"/>
            <w:vAlign w:val="center"/>
          </w:tcPr>
          <w:p>
            <w:r/>
            <w:r>
              <w:rPr>
                <w:b w:val="0"/>
                <w:sz w:val="16"/>
              </w:rPr>
              <w:t>44,820,777</w:t>
            </w:r>
          </w:p>
        </w:tc>
        <w:tc>
          <w:tcPr>
            <w:tcW w:type="dxa" w:w="4320"/>
            <w:vAlign w:val="center"/>
          </w:tcPr>
          <w:p>
            <w:r/>
            <w:r>
              <w:rPr>
                <w:b w:val="0"/>
                <w:sz w:val="16"/>
              </w:rPr>
              <w:t>&gt;180 s — no W/D/L emitted</w:t>
            </w:r>
          </w:p>
        </w:tc>
      </w:tr>
      <w:tr>
        <w:tc>
          <w:tcPr>
            <w:tcW w:type="dxa" w:w="3024"/>
            <w:vAlign w:val="center"/>
          </w:tcPr>
          <w:p>
            <w:r/>
            <w:r>
              <w:rPr>
                <w:b w:val="0"/>
                <w:sz w:val="16"/>
              </w:rPr>
              <w:t>F07 seven-man</w:t>
            </w:r>
          </w:p>
        </w:tc>
        <w:tc>
          <w:tcPr>
            <w:tcW w:type="dxa" w:w="2376"/>
            <w:vAlign w:val="center"/>
          </w:tcPr>
          <w:p>
            <w:r/>
            <w:r>
              <w:rPr>
                <w:b w:val="0"/>
                <w:sz w:val="16"/>
              </w:rPr>
              <w:t>45,823,238</w:t>
            </w:r>
          </w:p>
        </w:tc>
        <w:tc>
          <w:tcPr>
            <w:tcW w:type="dxa" w:w="4320"/>
            <w:vAlign w:val="center"/>
          </w:tcPr>
          <w:p>
            <w:r/>
            <w:r>
              <w:rPr>
                <w:b w:val="0"/>
                <w:sz w:val="16"/>
              </w:rPr>
              <w:t>scale hold</w:t>
            </w:r>
          </w:p>
        </w:tc>
      </w:tr>
      <w:tr>
        <w:tc>
          <w:tcPr>
            <w:tcW w:type="dxa" w:w="3024"/>
            <w:vAlign w:val="center"/>
          </w:tcPr>
          <w:p>
            <w:r/>
            <w:r>
              <w:rPr>
                <w:b w:val="0"/>
                <w:sz w:val="16"/>
              </w:rPr>
              <w:t>F08 seven-man</w:t>
            </w:r>
          </w:p>
        </w:tc>
        <w:tc>
          <w:tcPr>
            <w:tcW w:type="dxa" w:w="2376"/>
            <w:vAlign w:val="center"/>
          </w:tcPr>
          <w:p>
            <w:r/>
            <w:r>
              <w:rPr>
                <w:b w:val="0"/>
                <w:sz w:val="16"/>
              </w:rPr>
              <w:t>43,334,293</w:t>
            </w:r>
          </w:p>
        </w:tc>
        <w:tc>
          <w:tcPr>
            <w:tcW w:type="dxa" w:w="4320"/>
            <w:vAlign w:val="center"/>
          </w:tcPr>
          <w:p>
            <w:r/>
            <w:r>
              <w:rPr>
                <w:b w:val="0"/>
                <w:sz w:val="16"/>
              </w:rPr>
              <w:t>matched scale hold</w:t>
            </w:r>
          </w:p>
        </w:tc>
      </w:tr>
    </w:tbl>
    <w:p/>
    <w:p>
      <w:r>
        <w:rPr>
          <w:i w:val="0"/>
        </w:rPr>
        <w:t>This is an implementation/certificate boundary, not a universal state-count theorem. Branching, checking density, signature structure and move topology all contribute. The important scientific fact is that the frontier was reached by prospectively frozen hostile controls and was not evaded through post-truth shrinking.</w:t>
      </w:r>
    </w:p>
    <w:p>
      <w:r>
        <w:rPr>
          <w:i w:val="0"/>
        </w:rPr>
        <w:t>Logical proof seeds are already much smaller than enumerated truth masks. A sparse 64-bit representation of the F02 deep-DAG seeds is about 15,040 bytes (0.645 seed bytes per final 23,327-state region); F09 Filter-Pivot seeds are about 4,136,960 bytes (0.499 seed bytes per 8,295,062 final target-attractor states). These are seed payloads, not standalone proof-file sizes: semantic definitions, verifier code, terminal typing and lower-material dependencies remain required.</w:t>
      </w:r>
    </w:p>
    <w:p>
      <w:pPr>
        <w:pStyle w:val="Heading1"/>
      </w:pPr>
      <w:r>
        <w:t>13. Frozen G7 proof-language classification</w:t>
      </w:r>
    </w:p>
    <w:p>
      <w:pPr>
        <w:pStyle w:val="Heading2"/>
      </w:pPr>
      <w:r>
        <w:t>Universal/core operations</w:t>
      </w:r>
    </w:p>
    <w:p>
      <w:pPr>
        <w:pStyle w:val="ListBullet"/>
      </w:pPr>
      <w:r>
        <w:t>STRICT_ATTRACTOR</w:t>
      </w:r>
    </w:p>
    <w:p>
      <w:pPr>
        <w:pStyle w:val="ListBullet"/>
      </w:pPr>
      <w:r>
        <w:t>ROLE_DUAL_SANCTUARY_ATTRACTOR</w:t>
      </w:r>
    </w:p>
    <w:p>
      <w:pPr>
        <w:pStyle w:val="ListBullet"/>
      </w:pPr>
      <w:r>
        <w:t>BRANCH_KERNEL</w:t>
      </w:r>
    </w:p>
    <w:p>
      <w:pPr>
        <w:pStyle w:val="ListBullet"/>
      </w:pPr>
      <w:r>
        <w:t>FINITE_N_HYPERKERNEL</w:t>
      </w:r>
    </w:p>
    <w:p>
      <w:pPr>
        <w:pStyle w:val="ListBullet"/>
      </w:pPr>
      <w:r>
        <w:t>FILTERED_ATTRACTOR (typed attacker-edge strategy language)</w:t>
      </w:r>
    </w:p>
    <w:p>
      <w:pPr>
        <w:pStyle w:val="ListBullet"/>
      </w:pPr>
      <w:r>
        <w:t>FILTER_PIVOT_FACTORIZATION</w:t>
      </w:r>
    </w:p>
    <w:p>
      <w:pPr>
        <w:pStyle w:val="ListBullet"/>
      </w:pPr>
      <w:r>
        <w:t>DEPENDENCY_DAG_AND_SUBSUMPTION_SEMANTICS</w:t>
      </w:r>
    </w:p>
    <w:p>
      <w:pPr>
        <w:pStyle w:val="Heading2"/>
      </w:pPr>
      <w:r>
        <w:t>Reusable schemas / diagnostics</w:t>
      </w:r>
    </w:p>
    <w:p>
      <w:pPr>
        <w:pStyle w:val="ListBullet"/>
      </w:pPr>
      <w:r>
        <w:t>PROJECT_EXACT_LOWER_TRUTH</w:t>
      </w:r>
    </w:p>
    <w:p>
      <w:pPr>
        <w:pStyle w:val="ListBullet"/>
      </w:pPr>
      <w:r>
        <w:t>RESOURCE_SAFE_TARGET</w:t>
      </w:r>
    </w:p>
    <w:p>
      <w:pPr>
        <w:pStyle w:val="ListBullet"/>
      </w:pPr>
      <w:r>
        <w:t>RESIDUAL</w:t>
      </w:r>
    </w:p>
    <w:p>
      <w:pPr>
        <w:pStyle w:val="ListBullet"/>
      </w:pPr>
      <w:r>
        <w:t>GROUP_OUT</w:t>
      </w:r>
    </w:p>
    <w:p>
      <w:pPr>
        <w:pStyle w:val="ListBullet"/>
      </w:pPr>
      <w:r>
        <w:t>LOCALIZATION_LIFT</w:t>
      </w:r>
    </w:p>
    <w:p>
      <w:pPr>
        <w:pStyle w:val="ListBullet"/>
      </w:pPr>
      <w:r>
        <w:t>STOP</w:t>
      </w:r>
    </w:p>
    <w:p>
      <w:pPr>
        <w:pStyle w:val="ListBullet"/>
      </w:pPr>
      <w:r>
        <w:t>CERTIFY</w:t>
      </w:r>
    </w:p>
    <w:p>
      <w:pPr>
        <w:pStyle w:val="Heading2"/>
      </w:pPr>
      <w:r>
        <w:t>Conditional finite theorems and guards</w:t>
      </w:r>
    </w:p>
    <w:p>
      <w:pPr>
        <w:pStyle w:val="ListBullet"/>
      </w:pPr>
      <w:r>
        <w:t>G6 FAR5</w:t>
      </w:r>
    </w:p>
    <w:p>
      <w:pPr>
        <w:pStyle w:val="ListBullet"/>
      </w:pPr>
      <w:r>
        <w:t>G6 FAR3 sliders</w:t>
      </w:r>
    </w:p>
    <w:p>
      <w:pPr>
        <w:pStyle w:val="ListBullet"/>
      </w:pPr>
      <w:r>
        <w:t>G6 FAR3 knight outside exact exception</w:t>
      </w:r>
    </w:p>
    <w:p>
      <w:pPr>
        <w:pStyle w:val="ListBullet"/>
      </w:pPr>
      <w:r>
        <w:t>faithful wrong-colour sanctuary</w:t>
      </w:r>
    </w:p>
    <w:p>
      <w:pPr>
        <w:pStyle w:val="ListBullet"/>
      </w:pPr>
      <w:r>
        <w:t>G7 RESTORE.CONVERSION_SAFE_WHITE_MOBILE sharpening</w:t>
      </w:r>
    </w:p>
    <w:p>
      <w:pPr>
        <w:pStyle w:val="ListBullet"/>
      </w:pPr>
      <w:r>
        <w:t>G7 SANCTUARY_ACCESS_GUARD preservation/destruction family</w:t>
      </w:r>
    </w:p>
    <w:p>
      <w:pPr>
        <w:pStyle w:val="Heading2"/>
      </w:pPr>
      <w:r>
        <w:t>Representation-dependent objects/metrics</w:t>
      </w:r>
    </w:p>
    <w:p>
      <w:pPr>
        <w:pStyle w:val="ListBullet"/>
      </w:pPr>
      <w:r>
        <w:t>CHECK as a specific strategy language (exact construction, topology-dependent retention)</w:t>
      </w:r>
    </w:p>
    <w:p>
      <w:pPr>
        <w:pStyle w:val="ListBullet"/>
      </w:pPr>
      <w:r>
        <w:t>critical-manifold/local grammar representations</w:t>
      </w:r>
    </w:p>
    <w:p>
      <w:pPr>
        <w:pStyle w:val="ListBullet"/>
      </w:pPr>
      <w:r>
        <w:t>strategy-retention and pivot-amplification empirical scaling</w:t>
      </w:r>
    </w:p>
    <w:p>
      <w:pPr>
        <w:pStyle w:val="Heading2"/>
      </w:pPr>
      <w:r>
        <w:t>Explicitly not promoted as new objects</w:t>
      </w:r>
    </w:p>
    <w:p>
      <w:pPr>
        <w:pStyle w:val="ListBullet"/>
      </w:pPr>
      <w:r>
        <w:t>EXCHANGE_FUNNEL -&gt; reduces to Branch-Kernel over material targets</w:t>
      </w:r>
    </w:p>
    <w:p>
      <w:pPr>
        <w:pStyle w:val="ListBullet"/>
      </w:pPr>
      <w:r>
        <w:t>TRANSITION_HYPERKERNEL -&gt; reduces to finite-n Hyperkernel</w:t>
      </w:r>
    </w:p>
    <w:p>
      <w:pPr>
        <w:pStyle w:val="ListBullet"/>
      </w:pPr>
      <w:r>
        <w:t>MULTI_PROJECTION_CONSISTENCY -&gt; rejected by subsumption; guarded single projection is stronger</w:t>
      </w:r>
    </w:p>
    <w:p>
      <w:pPr>
        <w:pStyle w:val="Heading1"/>
      </w:pPr>
      <w:r>
        <w:t>14. G7.9 final gate audit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504"/>
            <w:vAlign w:val="center"/>
            <w:shd w:fill="2F5597"/>
          </w:tcPr>
          <w:p>
            <w:r/>
            <w:r>
              <w:rPr>
                <w:b/>
                <w:color w:val="FFFFFF"/>
                <w:sz w:val="17"/>
              </w:rPr>
              <w:t>#</w:t>
            </w:r>
          </w:p>
        </w:tc>
        <w:tc>
          <w:tcPr>
            <w:tcW w:type="dxa" w:w="1656"/>
            <w:vAlign w:val="center"/>
            <w:shd w:fill="2F5597"/>
          </w:tcPr>
          <w:p>
            <w:r/>
            <w:r>
              <w:rPr>
                <w:b/>
                <w:color w:val="FFFFFF"/>
                <w:sz w:val="17"/>
              </w:rPr>
              <w:t>Verdict</w:t>
            </w:r>
          </w:p>
        </w:tc>
        <w:tc>
          <w:tcPr>
            <w:tcW w:type="dxa" w:w="3816"/>
            <w:vAlign w:val="center"/>
            <w:shd w:fill="2F5597"/>
          </w:tcPr>
          <w:p>
            <w:r/>
            <w:r>
              <w:rPr>
                <w:b/>
                <w:color w:val="FFFFFF"/>
                <w:sz w:val="17"/>
              </w:rPr>
              <w:t>Advance criterion</w:t>
            </w:r>
          </w:p>
        </w:tc>
        <w:tc>
          <w:tcPr>
            <w:tcW w:type="dxa" w:w="4896"/>
            <w:vAlign w:val="center"/>
            <w:shd w:fill="2F5597"/>
          </w:tcPr>
          <w:p>
            <w:r/>
            <w:r>
              <w:rPr>
                <w:b/>
                <w:color w:val="FFFFFF"/>
                <w:sz w:val="17"/>
              </w:rPr>
              <w:t>Evidence</w:t>
            </w:r>
          </w:p>
        </w:tc>
      </w:tr>
      <w:tr>
        <w:tc>
          <w:tcPr>
            <w:tcW w:type="dxa" w:w="504"/>
            <w:vAlign w:val="center"/>
          </w:tcPr>
          <w:p>
            <w:r/>
            <w:r>
              <w:rPr>
                <w:b w:val="0"/>
                <w:sz w:val="13"/>
              </w:rPr>
              <w:t>1</w:t>
            </w:r>
          </w:p>
        </w:tc>
        <w:tc>
          <w:tcPr>
            <w:tcW w:type="dxa" w:w="1656"/>
            <w:vAlign w:val="center"/>
          </w:tcPr>
          <w:p>
            <w:r/>
            <w:r>
              <w:rPr>
                <w:b w:val="0"/>
                <w:sz w:val="13"/>
              </w:rPr>
              <w:t>NOT MET STRICTLY</w:t>
            </w:r>
          </w:p>
        </w:tc>
        <w:tc>
          <w:tcPr>
            <w:tcW w:type="dxa" w:w="3816"/>
            <w:vAlign w:val="center"/>
          </w:tcPr>
          <w:p>
            <w:r/>
            <w:r>
              <w:rPr>
                <w:b w:val="0"/>
                <w:sz w:val="13"/>
              </w:rPr>
              <w:t>At least six prospective higher-tree families receive exact certified passes, with at least three new material classes and at least two six-man-or-higher opposing-mobile-piece families.</w:t>
            </w:r>
          </w:p>
        </w:tc>
        <w:tc>
          <w:tcPr>
            <w:tcW w:type="dxa" w:w="4896"/>
            <w:vAlign w:val="center"/>
          </w:tcPr>
          <w:p>
            <w:r/>
            <w:r>
              <w:rPr>
                <w:b w:val="0"/>
                <w:sz w:val="13"/>
              </w:rPr>
              <w:t>F01, F02 and F09 have full exact outcome passes; F10 has an exact held-out terminal falsification but no full table; F03/F04/F06/F07/F08 hit scale holds and F05 was not executed. Thus the strict six-family/full breadth gate is not claimed. The opposing-mobile-piece subcondition is met by F01/F02.</w:t>
            </w:r>
          </w:p>
        </w:tc>
      </w:tr>
      <w:tr>
        <w:tc>
          <w:tcPr>
            <w:tcW w:type="dxa" w:w="504"/>
            <w:vAlign w:val="center"/>
          </w:tcPr>
          <w:p>
            <w:r/>
            <w:r>
              <w:rPr>
                <w:b w:val="0"/>
                <w:sz w:val="13"/>
              </w:rPr>
              <w:t>2</w:t>
            </w:r>
          </w:p>
        </w:tc>
        <w:tc>
          <w:tcPr>
            <w:tcW w:type="dxa" w:w="1656"/>
            <w:vAlign w:val="center"/>
          </w:tcPr>
          <w:p>
            <w:r/>
            <w:r>
              <w:rPr>
                <w:b w:val="0"/>
                <w:sz w:val="13"/>
              </w:rPr>
              <w:t>MET STRONGLY</w:t>
            </w:r>
          </w:p>
        </w:tc>
        <w:tc>
          <w:tcPr>
            <w:tcW w:type="dxa" w:w="3816"/>
            <w:vAlign w:val="center"/>
          </w:tcPr>
          <w:p>
            <w:r/>
            <w:r>
              <w:rPr>
                <w:b w:val="0"/>
                <w:sz w:val="13"/>
              </w:rPr>
              <w:t>Candidate selection frozen before W/D/L and driven by structural novelty/tractability.</w:t>
            </w:r>
          </w:p>
        </w:tc>
        <w:tc>
          <w:tcPr>
            <w:tcW w:type="dxa" w:w="4896"/>
            <w:vAlign w:val="center"/>
          </w:tcPr>
          <w:p>
            <w:r/>
            <w:r>
              <w:rPr>
                <w:b w:val="0"/>
                <w:sz w:val="13"/>
              </w:rPr>
              <w:t>G7.0-G7.1 manifest v2; buggy v1 structural metrics and W/D outputs discarded before accepted truth; order unchanged after correction.</w:t>
            </w:r>
          </w:p>
        </w:tc>
      </w:tr>
      <w:tr>
        <w:tc>
          <w:tcPr>
            <w:tcW w:type="dxa" w:w="504"/>
            <w:vAlign w:val="center"/>
          </w:tcPr>
          <w:p>
            <w:r/>
            <w:r>
              <w:rPr>
                <w:b w:val="0"/>
                <w:sz w:val="13"/>
              </w:rPr>
              <w:t>3</w:t>
            </w:r>
          </w:p>
        </w:tc>
        <w:tc>
          <w:tcPr>
            <w:tcW w:type="dxa" w:w="1656"/>
            <w:vAlign w:val="center"/>
          </w:tcPr>
          <w:p>
            <w:r/>
            <w:r>
              <w:rPr>
                <w:b w:val="0"/>
                <w:sz w:val="13"/>
              </w:rPr>
              <w:t>MET</w:t>
            </w:r>
          </w:p>
        </w:tc>
        <w:tc>
          <w:tcPr>
            <w:tcW w:type="dxa" w:w="3816"/>
            <w:vAlign w:val="center"/>
          </w:tcPr>
          <w:p>
            <w:r/>
            <w:r>
              <w:rPr>
                <w:b w:val="0"/>
                <w:sz w:val="13"/>
              </w:rPr>
              <w:t>At least two families contain &gt;=3 distinct exact material-reduction endpoints.</w:t>
            </w:r>
          </w:p>
        </w:tc>
        <w:tc>
          <w:tcPr>
            <w:tcW w:type="dxa" w:w="4896"/>
            <w:vAlign w:val="center"/>
          </w:tcPr>
          <w:p>
            <w:r/>
            <w:r>
              <w:rPr>
                <w:b w:val="0"/>
                <w:sz w:val="13"/>
              </w:rPr>
              <w:t>F01 and F02 each expose four direct lower-material capture signatures; three exact White-winning endpoint targets were composed exhaustively.</w:t>
            </w:r>
          </w:p>
        </w:tc>
      </w:tr>
      <w:tr>
        <w:tc>
          <w:tcPr>
            <w:tcW w:type="dxa" w:w="504"/>
            <w:vAlign w:val="center"/>
          </w:tcPr>
          <w:p>
            <w:r/>
            <w:r>
              <w:rPr>
                <w:b w:val="0"/>
                <w:sz w:val="13"/>
              </w:rPr>
              <w:t>4</w:t>
            </w:r>
          </w:p>
        </w:tc>
        <w:tc>
          <w:tcPr>
            <w:tcW w:type="dxa" w:w="1656"/>
            <w:vAlign w:val="center"/>
          </w:tcPr>
          <w:p>
            <w:r/>
            <w:r>
              <w:rPr>
                <w:b w:val="0"/>
                <w:sz w:val="13"/>
              </w:rPr>
              <w:t>MET STRONGLY</w:t>
            </w:r>
          </w:p>
        </w:tc>
        <w:tc>
          <w:tcPr>
            <w:tcW w:type="dxa" w:w="3816"/>
            <w:vAlign w:val="center"/>
          </w:tcPr>
          <w:p>
            <w:r/>
            <w:r>
              <w:rPr>
                <w:b w:val="0"/>
                <w:sz w:val="13"/>
              </w:rPr>
              <w:t>At least three G6 object types add exact coverage unchanged or have sharply characterized failure domains.</w:t>
            </w:r>
          </w:p>
        </w:tc>
        <w:tc>
          <w:tcPr>
            <w:tcW w:type="dxa" w:w="4896"/>
            <w:vAlign w:val="center"/>
          </w:tcPr>
          <w:p>
            <w:r/>
            <w:r>
              <w:rPr>
                <w:b w:val="0"/>
                <w:sz w:val="13"/>
              </w:rPr>
              <w:t>Strict attractor, Branch-Kernel, finite-n Hyperkernel, role-dual sanctuary, PROJECT, resource-safe TARGET, residual/grouping and localization-lift all receive exact higher-tree verdicts; FAR domains are explicitly refused outside type.</w:t>
            </w:r>
          </w:p>
        </w:tc>
      </w:tr>
      <w:tr>
        <w:tc>
          <w:tcPr>
            <w:tcW w:type="dxa" w:w="504"/>
            <w:vAlign w:val="center"/>
          </w:tcPr>
          <w:p>
            <w:r/>
            <w:r>
              <w:rPr>
                <w:b w:val="0"/>
                <w:sz w:val="13"/>
              </w:rPr>
              <w:t>5</w:t>
            </w:r>
          </w:p>
        </w:tc>
        <w:tc>
          <w:tcPr>
            <w:tcW w:type="dxa" w:w="1656"/>
            <w:vAlign w:val="center"/>
          </w:tcPr>
          <w:p>
            <w:r/>
            <w:r>
              <w:rPr>
                <w:b w:val="0"/>
                <w:sz w:val="13"/>
              </w:rPr>
              <w:t>MET STRONGLY</w:t>
            </w:r>
          </w:p>
        </w:tc>
        <w:tc>
          <w:tcPr>
            <w:tcW w:type="dxa" w:w="3816"/>
            <w:vAlign w:val="center"/>
          </w:tcPr>
          <w:p>
            <w:r/>
            <w:r>
              <w:rPr>
                <w:b w:val="0"/>
                <w:sz w:val="13"/>
              </w:rPr>
              <w:t>At least one composition over alternative material-transition endpoints.</w:t>
            </w:r>
          </w:p>
        </w:tc>
        <w:tc>
          <w:tcPr>
            <w:tcW w:type="dxa" w:w="4896"/>
            <w:vAlign w:val="center"/>
          </w:tcPr>
          <w:p>
            <w:r/>
            <w:r>
              <w:rPr>
                <w:b w:val="0"/>
                <w:sz w:val="13"/>
              </w:rPr>
              <w:t>All six tested F01/F02 two-way endpoint pairs produce pure BRIDGE; F02 adds 1,641 -&gt; 7,195 irreducible three-way Hyperkernel factorization.</w:t>
            </w:r>
          </w:p>
        </w:tc>
      </w:tr>
      <w:tr>
        <w:tc>
          <w:tcPr>
            <w:tcW w:type="dxa" w:w="504"/>
            <w:vAlign w:val="center"/>
          </w:tcPr>
          <w:p>
            <w:r/>
            <w:r>
              <w:rPr>
                <w:b w:val="0"/>
                <w:sz w:val="13"/>
              </w:rPr>
              <w:t>6</w:t>
            </w:r>
          </w:p>
        </w:tc>
        <w:tc>
          <w:tcPr>
            <w:tcW w:type="dxa" w:w="1656"/>
            <w:vAlign w:val="center"/>
          </w:tcPr>
          <w:p>
            <w:r/>
            <w:r>
              <w:rPr>
                <w:b w:val="0"/>
                <w:sz w:val="13"/>
              </w:rPr>
              <w:t>MET STRONGLY</w:t>
            </w:r>
          </w:p>
        </w:tc>
        <w:tc>
          <w:tcPr>
            <w:tcW w:type="dxa" w:w="3816"/>
            <w:vAlign w:val="center"/>
          </w:tcPr>
          <w:p>
            <w:r/>
            <w:r>
              <w:rPr>
                <w:b w:val="0"/>
                <w:sz w:val="13"/>
              </w:rPr>
              <w:t>At least one new G7 abstraction succeeds prospectively held-out and survives backward fire.</w:t>
            </w:r>
          </w:p>
        </w:tc>
        <w:tc>
          <w:tcPr>
            <w:tcW w:type="dxa" w:w="4896"/>
            <w:vAlign w:val="center"/>
          </w:tcPr>
          <w:p>
            <w:r/>
            <w:r>
              <w:rPr>
                <w:b w:val="0"/>
                <w:sz w:val="13"/>
              </w:rPr>
              <w:t>FILTER_PIVOT is mathematically proved, exact in F01/F02, held-out F09, 100,000 arbitrary graphs, 24/24 G6 all-file N/B/R arenas, nested d-file scale runs and faithful fortress; 0 missing/extra.</w:t>
            </w:r>
          </w:p>
        </w:tc>
      </w:tr>
      <w:tr>
        <w:tc>
          <w:tcPr>
            <w:tcW w:type="dxa" w:w="504"/>
            <w:vAlign w:val="center"/>
          </w:tcPr>
          <w:p>
            <w:r/>
            <w:r>
              <w:rPr>
                <w:b w:val="0"/>
                <w:sz w:val="13"/>
              </w:rPr>
              <w:t>7</w:t>
            </w:r>
          </w:p>
        </w:tc>
        <w:tc>
          <w:tcPr>
            <w:tcW w:type="dxa" w:w="1656"/>
            <w:vAlign w:val="center"/>
          </w:tcPr>
          <w:p>
            <w:r/>
            <w:r>
              <w:rPr>
                <w:b w:val="0"/>
                <w:sz w:val="13"/>
              </w:rPr>
              <w:t>MET</w:t>
            </w:r>
          </w:p>
        </w:tc>
        <w:tc>
          <w:tcPr>
            <w:tcW w:type="dxa" w:w="3816"/>
            <w:vAlign w:val="center"/>
          </w:tcPr>
          <w:p>
            <w:r/>
            <w:r>
              <w:rPr>
                <w:b w:val="0"/>
                <w:sz w:val="13"/>
              </w:rPr>
              <w:t>Proof DAG depth &gt;=3 typed operations certifies a region materially larger than constituents.</w:t>
            </w:r>
          </w:p>
        </w:tc>
        <w:tc>
          <w:tcPr>
            <w:tcW w:type="dxa" w:w="4896"/>
            <w:vAlign w:val="center"/>
          </w:tcPr>
          <w:p>
            <w:r/>
            <w:r>
              <w:rPr>
                <w:b w:val="0"/>
                <w:sz w:val="13"/>
              </w:rPr>
              <w:t>F02: exact lower endpoints -&gt; 1,641 Hyperkernel -&gt; 7,195 irreducible region -&gt; 23,327 second-order attractor -&gt; 23,026 CHECK corridor plus 239 Filter-Pivots for the 301-state complement.</w:t>
            </w:r>
          </w:p>
        </w:tc>
      </w:tr>
      <w:tr>
        <w:tc>
          <w:tcPr>
            <w:tcW w:type="dxa" w:w="504"/>
            <w:vAlign w:val="center"/>
          </w:tcPr>
          <w:p>
            <w:r/>
            <w:r>
              <w:rPr>
                <w:b w:val="0"/>
                <w:sz w:val="13"/>
              </w:rPr>
              <w:t>8</w:t>
            </w:r>
          </w:p>
        </w:tc>
        <w:tc>
          <w:tcPr>
            <w:tcW w:type="dxa" w:w="1656"/>
            <w:vAlign w:val="center"/>
          </w:tcPr>
          <w:p>
            <w:r/>
            <w:r>
              <w:rPr>
                <w:b w:val="0"/>
                <w:sz w:val="13"/>
              </w:rPr>
              <w:t>MET TWICE</w:t>
            </w:r>
          </w:p>
        </w:tc>
        <w:tc>
          <w:tcPr>
            <w:tcW w:type="dxa" w:w="3816"/>
            <w:vAlign w:val="center"/>
          </w:tcPr>
          <w:p>
            <w:r/>
            <w:r>
              <w:rPr>
                <w:b w:val="0"/>
                <w:sz w:val="13"/>
              </w:rPr>
              <w:t>At least one higher-tree sanctuary/fortress preservation or destruction result.</w:t>
            </w:r>
          </w:p>
        </w:tc>
        <w:tc>
          <w:tcPr>
            <w:tcW w:type="dxa" w:w="4896"/>
            <w:vAlign w:val="center"/>
          </w:tcPr>
          <w:p>
            <w:r/>
            <w:r>
              <w:rPr>
                <w:b w:val="0"/>
                <w:sz w:val="13"/>
              </w:rPr>
              <w:t>F09: BK=h8 =&gt; draw in 330,264/330,264 exact states; F10 held-out access control destroys universal lift with 3,578 immediate checkmates among BK=h8 states.</w:t>
            </w:r>
          </w:p>
        </w:tc>
      </w:tr>
      <w:tr>
        <w:tc>
          <w:tcPr>
            <w:tcW w:type="dxa" w:w="504"/>
            <w:vAlign w:val="center"/>
          </w:tcPr>
          <w:p>
            <w:r/>
            <w:r>
              <w:rPr>
                <w:b w:val="0"/>
                <w:sz w:val="13"/>
              </w:rPr>
              <w:t>9</w:t>
            </w:r>
          </w:p>
        </w:tc>
        <w:tc>
          <w:tcPr>
            <w:tcW w:type="dxa" w:w="1656"/>
            <w:vAlign w:val="center"/>
          </w:tcPr>
          <w:p>
            <w:r/>
            <w:r>
              <w:rPr>
                <w:b w:val="0"/>
                <w:sz w:val="13"/>
              </w:rPr>
              <w:t>MET</w:t>
            </w:r>
          </w:p>
        </w:tc>
        <w:tc>
          <w:tcPr>
            <w:tcW w:type="dxa" w:w="3816"/>
            <w:vAlign w:val="center"/>
          </w:tcPr>
          <w:p>
            <w:r/>
            <w:r>
              <w:rPr>
                <w:b w:val="0"/>
                <w:sz w:val="13"/>
              </w:rPr>
              <w:t>At least two adversarial high-branch controls preserved honestly.</w:t>
            </w:r>
          </w:p>
        </w:tc>
        <w:tc>
          <w:tcPr>
            <w:tcW w:type="dxa" w:w="4896"/>
            <w:vAlign w:val="center"/>
          </w:tcPr>
          <w:p>
            <w:r/>
            <w:r>
              <w:rPr>
                <w:b w:val="0"/>
                <w:sz w:val="13"/>
              </w:rPr>
              <w:t>F04 and F06 audited with zero sampled edge errors and frozen as &gt;180 s no-W/D/L complexity-floor controls without post-truth shrinking.</w:t>
            </w:r>
          </w:p>
        </w:tc>
      </w:tr>
      <w:tr>
        <w:tc>
          <w:tcPr>
            <w:tcW w:type="dxa" w:w="504"/>
            <w:vAlign w:val="center"/>
          </w:tcPr>
          <w:p>
            <w:r/>
            <w:r>
              <w:rPr>
                <w:b w:val="0"/>
                <w:sz w:val="13"/>
              </w:rPr>
              <w:t>10</w:t>
            </w:r>
          </w:p>
        </w:tc>
        <w:tc>
          <w:tcPr>
            <w:tcW w:type="dxa" w:w="1656"/>
            <w:vAlign w:val="center"/>
          </w:tcPr>
          <w:p>
            <w:r/>
            <w:r>
              <w:rPr>
                <w:b w:val="0"/>
                <w:sz w:val="13"/>
              </w:rPr>
              <w:t>MET</w:t>
            </w:r>
          </w:p>
        </w:tc>
        <w:tc>
          <w:tcPr>
            <w:tcW w:type="dxa" w:w="3816"/>
            <w:vAlign w:val="center"/>
          </w:tcPr>
          <w:p>
            <w:r/>
            <w:r>
              <w:rPr>
                <w:b w:val="0"/>
                <w:sz w:val="13"/>
              </w:rPr>
              <w:t>Description/certificate cost tracked against exact state growth.</w:t>
            </w:r>
          </w:p>
        </w:tc>
        <w:tc>
          <w:tcPr>
            <w:tcW w:type="dxa" w:w="4896"/>
            <w:vAlign w:val="center"/>
          </w:tcPr>
          <w:p>
            <w:r/>
            <w:r>
              <w:rPr>
                <w:b w:val="0"/>
                <w:sz w:val="13"/>
              </w:rPr>
              <w:t>Solve wall times, verifier RSS, byte-mask engineering cost and sparse seed-payload estimates are frozen; logical seed payload is far below enumerated state-table size in F02/F09.</w:t>
            </w:r>
          </w:p>
        </w:tc>
      </w:tr>
    </w:tbl>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504"/>
            <w:vAlign w:val="center"/>
            <w:shd w:fill="2F5597"/>
          </w:tcPr>
          <w:p>
            <w:r/>
            <w:r>
              <w:rPr>
                <w:b/>
                <w:color w:val="FFFFFF"/>
                <w:sz w:val="17"/>
              </w:rPr>
              <w:t>#</w:t>
            </w:r>
          </w:p>
        </w:tc>
        <w:tc>
          <w:tcPr>
            <w:tcW w:type="dxa" w:w="1656"/>
            <w:vAlign w:val="center"/>
            <w:shd w:fill="2F5597"/>
          </w:tcPr>
          <w:p>
            <w:r/>
            <w:r>
              <w:rPr>
                <w:b/>
                <w:color w:val="FFFFFF"/>
                <w:sz w:val="17"/>
              </w:rPr>
              <w:t>Verdict</w:t>
            </w:r>
          </w:p>
        </w:tc>
        <w:tc>
          <w:tcPr>
            <w:tcW w:type="dxa" w:w="3816"/>
            <w:vAlign w:val="center"/>
            <w:shd w:fill="2F5597"/>
          </w:tcPr>
          <w:p>
            <w:r/>
            <w:r>
              <w:rPr>
                <w:b/>
                <w:color w:val="FFFFFF"/>
                <w:sz w:val="17"/>
              </w:rPr>
              <w:t>Failure criterion</w:t>
            </w:r>
          </w:p>
        </w:tc>
        <w:tc>
          <w:tcPr>
            <w:tcW w:type="dxa" w:w="4896"/>
            <w:vAlign w:val="center"/>
            <w:shd w:fill="2F5597"/>
          </w:tcPr>
          <w:p>
            <w:r/>
            <w:r>
              <w:rPr>
                <w:b/>
                <w:color w:val="FFFFFF"/>
                <w:sz w:val="17"/>
              </w:rPr>
              <w:t>Evidence</w:t>
            </w:r>
          </w:p>
        </w:tc>
      </w:tr>
      <w:tr>
        <w:tc>
          <w:tcPr>
            <w:tcW w:type="dxa" w:w="504"/>
            <w:vAlign w:val="center"/>
          </w:tcPr>
          <w:p>
            <w:r/>
            <w:r>
              <w:rPr>
                <w:b w:val="0"/>
                <w:sz w:val="13"/>
              </w:rPr>
              <w:t>1</w:t>
            </w:r>
          </w:p>
        </w:tc>
        <w:tc>
          <w:tcPr>
            <w:tcW w:type="dxa" w:w="1656"/>
            <w:vAlign w:val="center"/>
          </w:tcPr>
          <w:p>
            <w:r/>
            <w:r>
              <w:rPr>
                <w:b w:val="0"/>
                <w:sz w:val="13"/>
              </w:rPr>
              <w:t>not triggered</w:t>
            </w:r>
          </w:p>
        </w:tc>
        <w:tc>
          <w:tcPr>
            <w:tcW w:type="dxa" w:w="3816"/>
            <w:vAlign w:val="center"/>
          </w:tcPr>
          <w:p>
            <w:r/>
            <w:r>
              <w:rPr>
                <w:b w:val="0"/>
                <w:sz w:val="13"/>
              </w:rPr>
              <w:t>Most selected arenas are G6 file/rank variants with decorative material.</w:t>
            </w:r>
          </w:p>
        </w:tc>
        <w:tc>
          <w:tcPr>
            <w:tcW w:type="dxa" w:w="4896"/>
            <w:vAlign w:val="center"/>
          </w:tcPr>
          <w:p>
            <w:r/>
            <w:r>
              <w:rPr>
                <w:b w:val="0"/>
                <w:sz w:val="13"/>
              </w:rPr>
              <w:t>Portfolio includes opposing/same-colour bishop races, slider/leaper/rook/queen controls, seven-man triple-pawn races and higher fortress ascent.</w:t>
            </w:r>
          </w:p>
        </w:tc>
      </w:tr>
      <w:tr>
        <w:tc>
          <w:tcPr>
            <w:tcW w:type="dxa" w:w="504"/>
            <w:vAlign w:val="center"/>
          </w:tcPr>
          <w:p>
            <w:r/>
            <w:r>
              <w:rPr>
                <w:b w:val="0"/>
                <w:sz w:val="13"/>
              </w:rPr>
              <w:t>2</w:t>
            </w:r>
          </w:p>
        </w:tc>
        <w:tc>
          <w:tcPr>
            <w:tcW w:type="dxa" w:w="1656"/>
            <w:vAlign w:val="center"/>
          </w:tcPr>
          <w:p>
            <w:r/>
            <w:r>
              <w:rPr>
                <w:b w:val="0"/>
                <w:sz w:val="13"/>
              </w:rPr>
              <w:t>not triggered</w:t>
            </w:r>
          </w:p>
        </w:tc>
        <w:tc>
          <w:tcPr>
            <w:tcW w:type="dxa" w:w="3816"/>
            <w:vAlign w:val="center"/>
          </w:tcPr>
          <w:p>
            <w:r/>
            <w:r>
              <w:rPr>
                <w:b w:val="0"/>
                <w:sz w:val="13"/>
              </w:rPr>
              <w:t>Tractability restrictions changed after outcome inspection.</w:t>
            </w:r>
          </w:p>
        </w:tc>
        <w:tc>
          <w:tcPr>
            <w:tcW w:type="dxa" w:w="4896"/>
            <w:vAlign w:val="center"/>
          </w:tcPr>
          <w:p>
            <w:r/>
            <w:r>
              <w:rPr>
                <w:b w:val="0"/>
                <w:sz w:val="13"/>
              </w:rPr>
              <w:t>No truth-driven shrinking accepted; seven-man and hostile controls frozen as holds.</w:t>
            </w:r>
          </w:p>
        </w:tc>
      </w:tr>
      <w:tr>
        <w:tc>
          <w:tcPr>
            <w:tcW w:type="dxa" w:w="504"/>
            <w:vAlign w:val="center"/>
          </w:tcPr>
          <w:p>
            <w:r/>
            <w:r>
              <w:rPr>
                <w:b w:val="0"/>
                <w:sz w:val="13"/>
              </w:rPr>
              <w:t>3</w:t>
            </w:r>
          </w:p>
        </w:tc>
        <w:tc>
          <w:tcPr>
            <w:tcW w:type="dxa" w:w="1656"/>
            <w:vAlign w:val="center"/>
          </w:tcPr>
          <w:p>
            <w:r/>
            <w:r>
              <w:rPr>
                <w:b w:val="0"/>
                <w:sz w:val="13"/>
              </w:rPr>
              <w:t>not triggered</w:t>
            </w:r>
          </w:p>
        </w:tc>
        <w:tc>
          <w:tcPr>
            <w:tcW w:type="dxa" w:w="3816"/>
            <w:vAlign w:val="center"/>
          </w:tcPr>
          <w:p>
            <w:r/>
            <w:r>
              <w:rPr>
                <w:b w:val="0"/>
                <w:sz w:val="13"/>
              </w:rPr>
              <w:t>Lower-material dependency semantics underspecified/model-sensitive.</w:t>
            </w:r>
          </w:p>
        </w:tc>
        <w:tc>
          <w:tcPr>
            <w:tcW w:type="dxa" w:w="4896"/>
            <w:vAlign w:val="center"/>
          </w:tcPr>
          <w:p>
            <w:r/>
            <w:r>
              <w:rPr>
                <w:b w:val="0"/>
                <w:sz w:val="13"/>
              </w:rPr>
              <w:t>Faithful fortress reproduces G6 checksums; promotion-model distinction explicitly typed; dependency initialization bug detected and superseded.</w:t>
            </w:r>
          </w:p>
        </w:tc>
      </w:tr>
      <w:tr>
        <w:tc>
          <w:tcPr>
            <w:tcW w:type="dxa" w:w="504"/>
            <w:vAlign w:val="center"/>
          </w:tcPr>
          <w:p>
            <w:r/>
            <w:r>
              <w:rPr>
                <w:b w:val="0"/>
                <w:sz w:val="13"/>
              </w:rPr>
              <w:t>4</w:t>
            </w:r>
          </w:p>
        </w:tc>
        <w:tc>
          <w:tcPr>
            <w:tcW w:type="dxa" w:w="1656"/>
            <w:vAlign w:val="center"/>
          </w:tcPr>
          <w:p>
            <w:r/>
            <w:r>
              <w:rPr>
                <w:b w:val="0"/>
                <w:sz w:val="13"/>
              </w:rPr>
              <w:t>not triggered</w:t>
            </w:r>
          </w:p>
        </w:tc>
        <w:tc>
          <w:tcPr>
            <w:tcW w:type="dxa" w:w="3816"/>
            <w:vAlign w:val="center"/>
          </w:tcPr>
          <w:p>
            <w:r/>
            <w:r>
              <w:rPr>
                <w:b w:val="0"/>
                <w:sz w:val="13"/>
              </w:rPr>
              <w:t>G6 objects contribute negligible higher-tree coverage and no replacement emerges.</w:t>
            </w:r>
          </w:p>
        </w:tc>
        <w:tc>
          <w:tcPr>
            <w:tcW w:type="dxa" w:w="4896"/>
            <w:vAlign w:val="center"/>
          </w:tcPr>
          <w:p>
            <w:r/>
            <w:r>
              <w:rPr>
                <w:b w:val="0"/>
                <w:sz w:val="13"/>
              </w:rPr>
              <w:t>Multiple G6 graph operations transfer strongly; F09 white+defender certificates cover 76.9014% of the full state space; new strategy-language axis emerges.</w:t>
            </w:r>
          </w:p>
        </w:tc>
      </w:tr>
      <w:tr>
        <w:tc>
          <w:tcPr>
            <w:tcW w:type="dxa" w:w="504"/>
            <w:vAlign w:val="center"/>
          </w:tcPr>
          <w:p>
            <w:r/>
            <w:r>
              <w:rPr>
                <w:b w:val="0"/>
                <w:sz w:val="13"/>
              </w:rPr>
              <w:t>5</w:t>
            </w:r>
          </w:p>
        </w:tc>
        <w:tc>
          <w:tcPr>
            <w:tcW w:type="dxa" w:w="1656"/>
            <w:vAlign w:val="center"/>
          </w:tcPr>
          <w:p>
            <w:r/>
            <w:r>
              <w:rPr>
                <w:b w:val="0"/>
                <w:sz w:val="13"/>
              </w:rPr>
              <w:t>not triggered</w:t>
            </w:r>
          </w:p>
        </w:tc>
        <w:tc>
          <w:tcPr>
            <w:tcW w:type="dxa" w:w="3816"/>
            <w:vAlign w:val="center"/>
          </w:tcPr>
          <w:p>
            <w:r/>
            <w:r>
              <w:rPr>
                <w:b w:val="0"/>
                <w:sz w:val="13"/>
              </w:rPr>
              <w:t>New rules depend on absolute-square catalogues/material constants and fail backward fire.</w:t>
            </w:r>
          </w:p>
        </w:tc>
        <w:tc>
          <w:tcPr>
            <w:tcW w:type="dxa" w:w="4896"/>
            <w:vAlign w:val="center"/>
          </w:tcPr>
          <w:p>
            <w:r/>
            <w:r>
              <w:rPr>
                <w:b w:val="0"/>
                <w:sz w:val="13"/>
              </w:rPr>
              <w:t>Filter-Pivot is graph-general and backward exact; subsumed/failed candidates were not promoted.</w:t>
            </w:r>
          </w:p>
        </w:tc>
      </w:tr>
      <w:tr>
        <w:tc>
          <w:tcPr>
            <w:tcW w:type="dxa" w:w="504"/>
            <w:vAlign w:val="center"/>
          </w:tcPr>
          <w:p>
            <w:r/>
            <w:r>
              <w:rPr>
                <w:b w:val="0"/>
                <w:sz w:val="13"/>
              </w:rPr>
              <w:t>6</w:t>
            </w:r>
          </w:p>
        </w:tc>
        <w:tc>
          <w:tcPr>
            <w:tcW w:type="dxa" w:w="1656"/>
            <w:vAlign w:val="center"/>
          </w:tcPr>
          <w:p>
            <w:r/>
            <w:r>
              <w:rPr>
                <w:b w:val="0"/>
                <w:sz w:val="13"/>
              </w:rPr>
              <w:t>not triggered</w:t>
            </w:r>
          </w:p>
        </w:tc>
        <w:tc>
          <w:tcPr>
            <w:tcW w:type="dxa" w:w="3816"/>
            <w:vAlign w:val="center"/>
          </w:tcPr>
          <w:p>
            <w:r/>
            <w:r>
              <w:rPr>
                <w:b w:val="0"/>
                <w:sz w:val="13"/>
              </w:rPr>
              <w:t>Material-endpoint Branch/Hyperkernel adds negligible value.</w:t>
            </w:r>
          </w:p>
        </w:tc>
        <w:tc>
          <w:tcPr>
            <w:tcW w:type="dxa" w:w="4896"/>
            <w:vAlign w:val="center"/>
          </w:tcPr>
          <w:p>
            <w:r/>
            <w:r>
              <w:rPr>
                <w:b w:val="0"/>
                <w:sz w:val="13"/>
              </w:rPr>
              <w:t>All six pairwise bridges positive; F02 irreducible three-way region exact and reused as a second-order proof target.</w:t>
            </w:r>
          </w:p>
        </w:tc>
      </w:tr>
      <w:tr>
        <w:tc>
          <w:tcPr>
            <w:tcW w:type="dxa" w:w="504"/>
            <w:vAlign w:val="center"/>
          </w:tcPr>
          <w:p>
            <w:r/>
            <w:r>
              <w:rPr>
                <w:b w:val="0"/>
                <w:sz w:val="13"/>
              </w:rPr>
              <w:t>7</w:t>
            </w:r>
          </w:p>
        </w:tc>
        <w:tc>
          <w:tcPr>
            <w:tcW w:type="dxa" w:w="1656"/>
            <w:vAlign w:val="center"/>
          </w:tcPr>
          <w:p>
            <w:r/>
            <w:r>
              <w:rPr>
                <w:b w:val="0"/>
                <w:sz w:val="13"/>
              </w:rPr>
              <w:t>not triggered</w:t>
            </w:r>
          </w:p>
        </w:tc>
        <w:tc>
          <w:tcPr>
            <w:tcW w:type="dxa" w:w="3816"/>
            <w:vAlign w:val="center"/>
          </w:tcPr>
          <w:p>
            <w:r/>
            <w:r>
              <w:rPr>
                <w:b w:val="0"/>
                <w:sz w:val="13"/>
              </w:rPr>
              <w:t>Proof description/certificate cost grows approximately with raw state count before reusable layers appear.</w:t>
            </w:r>
          </w:p>
        </w:tc>
        <w:tc>
          <w:tcPr>
            <w:tcW w:type="dxa" w:w="4896"/>
            <w:vAlign w:val="center"/>
          </w:tcPr>
          <w:p>
            <w:r/>
            <w:r>
              <w:rPr>
                <w:b w:val="0"/>
                <w:sz w:val="13"/>
              </w:rPr>
              <w:t>Sparse seed estimates remain sub-byte per final certified state in F02/F09, though current implementation masks are intentionally uncompressed.</w:t>
            </w:r>
          </w:p>
        </w:tc>
      </w:tr>
      <w:tr>
        <w:tc>
          <w:tcPr>
            <w:tcW w:type="dxa" w:w="504"/>
            <w:vAlign w:val="center"/>
          </w:tcPr>
          <w:p>
            <w:r/>
            <w:r>
              <w:rPr>
                <w:b w:val="0"/>
                <w:sz w:val="13"/>
              </w:rPr>
              <w:t>8</w:t>
            </w:r>
          </w:p>
        </w:tc>
        <w:tc>
          <w:tcPr>
            <w:tcW w:type="dxa" w:w="1656"/>
            <w:vAlign w:val="center"/>
          </w:tcPr>
          <w:p>
            <w:r/>
            <w:r>
              <w:rPr>
                <w:b w:val="0"/>
                <w:sz w:val="13"/>
              </w:rPr>
              <w:t>not triggered</w:t>
            </w:r>
          </w:p>
        </w:tc>
        <w:tc>
          <w:tcPr>
            <w:tcW w:type="dxa" w:w="3816"/>
            <w:vAlign w:val="center"/>
          </w:tcPr>
          <w:p>
            <w:r/>
            <w:r>
              <w:rPr>
                <w:b w:val="0"/>
                <w:sz w:val="13"/>
              </w:rPr>
              <w:t>Held-out performance collapses while training compression remains high.</w:t>
            </w:r>
          </w:p>
        </w:tc>
        <w:tc>
          <w:tcPr>
            <w:tcW w:type="dxa" w:w="4896"/>
            <w:vAlign w:val="center"/>
          </w:tcPr>
          <w:p>
            <w:r/>
            <w:r>
              <w:rPr>
                <w:b w:val="0"/>
                <w:sz w:val="13"/>
              </w:rPr>
              <w:t>CHECK retention varies sharply, but Filter-Pivot factorization remains exact held-out and backward; coverage variation is typed rather than hidden.</w:t>
            </w:r>
          </w:p>
        </w:tc>
      </w:tr>
      <w:tr>
        <w:tc>
          <w:tcPr>
            <w:tcW w:type="dxa" w:w="504"/>
            <w:vAlign w:val="center"/>
          </w:tcPr>
          <w:p>
            <w:r/>
            <w:r>
              <w:rPr>
                <w:b w:val="0"/>
                <w:sz w:val="13"/>
              </w:rPr>
              <w:t>9</w:t>
            </w:r>
          </w:p>
        </w:tc>
        <w:tc>
          <w:tcPr>
            <w:tcW w:type="dxa" w:w="1656"/>
            <w:vAlign w:val="center"/>
          </w:tcPr>
          <w:p>
            <w:r/>
            <w:r>
              <w:rPr>
                <w:b w:val="0"/>
                <w:sz w:val="13"/>
              </w:rPr>
              <w:t>TRIGGERED</w:t>
            </w:r>
          </w:p>
        </w:tc>
        <w:tc>
          <w:tcPr>
            <w:tcW w:type="dxa" w:w="3816"/>
            <w:vAlign w:val="center"/>
          </w:tcPr>
          <w:p>
            <w:r/>
            <w:r>
              <w:rPr>
                <w:b w:val="0"/>
                <w:sz w:val="13"/>
              </w:rPr>
              <w:t>High mobility/checking prevents meaningful finite-window certification within budget.</w:t>
            </w:r>
          </w:p>
        </w:tc>
        <w:tc>
          <w:tcPr>
            <w:tcW w:type="dxa" w:w="4896"/>
            <w:vAlign w:val="center"/>
          </w:tcPr>
          <w:p>
            <w:r/>
            <w:r>
              <w:rPr>
                <w:b w:val="0"/>
                <w:sz w:val="13"/>
              </w:rPr>
              <w:t>F04/F06 and seven-man F07/F08 define the present exact-solve engineering frontier. The memo-required response—freeze the scale boundary rather than shrink after truth—was followed.</w:t>
            </w:r>
          </w:p>
        </w:tc>
      </w:tr>
    </w:tbl>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8C6D1F"/>
          </w:tcPr>
          <w:p>
            <w:r/>
            <w:r>
              <w:rPr>
                <w:b/>
                <w:color w:val="FFFFFF"/>
                <w:sz w:val="18"/>
              </w:rPr>
              <w:t>G7.9 GATE</w:t>
            </w:r>
          </w:p>
        </w:tc>
        <w:tc>
          <w:tcPr>
            <w:tcW w:type="dxa" w:w="5083"/>
            <w:vAlign w:val="center"/>
          </w:tcPr>
          <w:p>
            <w:r/>
            <w:r>
              <w:rPr>
                <w:b/>
                <w:sz w:val="18"/>
              </w:rPr>
              <w:t>9/10 advance criteria met; 1/9 failure criteria triggered. The unmet advance criterion and triggered failure criterion share the same frozen scale-boundary cause.</w:t>
            </w:r>
          </w:p>
        </w:tc>
      </w:tr>
    </w:tbl>
    <w:p/>
    <w:p>
      <w:pPr>
        <w:pStyle w:val="Heading1"/>
      </w:pPr>
      <w:r>
        <w:t>15. Frozen handoff boundary</w:t>
      </w:r>
    </w:p>
    <w:p>
      <w:pPr>
        <w:pStyle w:val="ListBullet"/>
      </w:pPr>
      <w:r>
        <w:t>Treat F01, F02 and F09 exact membership, material-transition counts, target/attractor populations and audited proof-DAG counts as frozen G7 results.</w:t>
      </w:r>
    </w:p>
    <w:p>
      <w:pPr>
        <w:pStyle w:val="ListBullet"/>
      </w:pPr>
      <w:r>
        <w:t>Treat F03, F04, F06, F07 and F08 as graph-audited scale holds with no accepted W/D/L. F05 was prospectively frozen but not executed. F10 is a full-table scale hold with an exact terminal falsification of universal sanctuary lifting.</w:t>
      </w:r>
    </w:p>
    <w:p>
      <w:pPr>
        <w:pStyle w:val="ListBullet"/>
      </w:pPr>
      <w:r>
        <w:t>Treat FILTER_PIVOT factorization as a universal/core theorem and FILTERED_ATTRACTOR as the corresponding typed strategy-language reachability operator. Treat CHECK only as the first strategy-language instantiation, not a universal coverage theorem.</w:t>
      </w:r>
    </w:p>
    <w:p>
      <w:pPr>
        <w:pStyle w:val="ListBullet"/>
      </w:pPr>
      <w:r>
        <w:t>Do not promote Multi-Projection Consistency, Exchange Funnel or Transition Hyperkernel as new object classes: they respectively reduce to guarded RESTORE, Branch-Kernel and finite-n Hyperkernel.</w:t>
      </w:r>
    </w:p>
    <w:p>
      <w:pPr>
        <w:pStyle w:val="ListBullet"/>
      </w:pPr>
      <w:r>
        <w:t>Preserve all G6 historical certification exceptions exactly as previously frozen; G7 neither repairs nor enlarges them.</w:t>
      </w:r>
    </w:p>
    <w:p>
      <w:pPr>
        <w:pStyle w:val="Heading1"/>
      </w:pPr>
      <w:r>
        <w:t>16. Closeout verdict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6B4F"/>
          </w:tcPr>
          <w:p>
            <w:r/>
            <w:r>
              <w:rPr>
                <w:b/>
                <w:color w:val="FFFFFF"/>
                <w:sz w:val="18"/>
              </w:rPr>
              <w:t>SCIENTIFIC VERDICT</w:t>
            </w:r>
          </w:p>
        </w:tc>
        <w:tc>
          <w:tcPr>
            <w:tcW w:type="dxa" w:w="5083"/>
            <w:vAlign w:val="center"/>
          </w:tcPr>
          <w:p>
            <w:r/>
            <w:r>
              <w:rPr>
                <w:b/>
                <w:sz w:val="18"/>
              </w:rPr>
              <w:t>PASS STRONGLY — G7 CLOSED</w:t>
            </w:r>
          </w:p>
        </w:tc>
      </w:tr>
    </w:tbl>
    <w:p/>
    <w:p>
      <w:r>
        <w:rPr>
          <w:i w:val="0"/>
        </w:rPr>
        <w:t>G7 has established that the typed proof architecture can climb materially higher positions, that lower-material exact objects can act as compositional destinations, that sanctuary and target proofs can survive or fail according to explicit resource access, that a new strategy-language factorization survives held-out and backward audits, and that multi-level proof DAGs can amplify small kernels into larger exact regions. The remaining barrier is now a measured solver/certificate engineering frontier rather than an absence of reusable symbolic structure.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G7 Higher-Tree Position Discovery — Final Technical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B4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