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G4 Kickoff Memo</w:t>
      </w:r>
    </w:p>
    <w:p>
      <w:pPr>
        <w:jc w:val="center"/>
      </w:pPr>
      <w:r>
        <w:rPr>
          <w:b/>
        </w:rPr>
        <w:t>Third-arena replication of exact compositional proof mechanisms</w:t>
      </w:r>
    </w:p>
    <w:p>
      <w:pPr>
        <w:jc w:val="center"/>
      </w:pPr>
      <w:r>
        <w:rPr>
          <w:b/>
        </w:rPr>
        <w:t>NEXT EXPERIMENT - TEST CROSS-ARENA REUSE; DO NOT OPTIMIZE FOR A PREDETERMINED POSITIVE RESULT</w:t>
      </w:r>
    </w:p>
    <w:p>
      <w:pPr>
        <w:jc w:val="center"/>
      </w:pPr>
      <w:r>
        <w:t>10 August 2026</w:t>
      </w:r>
    </w:p>
    <w:p>
      <w:pPr>
        <w:pStyle w:val="Heading1"/>
      </w:pPr>
      <w:r>
        <w:t>Mission</w:t>
      </w:r>
    </w:p>
    <w:p>
      <w:r>
        <w:t>G4 tests whether the proof architecture established by Pilots 1-2 and G3 survives a materially different arena. The target is not another accurate classifier. The experiment must determine whether exact lower-material inheritance, semantic certified targets and strict predicate-to-predicate reachability remain useful when the movement topology changes.</w:t>
      </w:r>
    </w:p>
    <w:p>
      <w:pPr>
        <w:pStyle w:val="Heading1"/>
      </w:pPr>
      <w:r>
        <w:t>1. Starting evidence</w:t>
      </w:r>
    </w:p>
    <w:p>
      <w:r>
        <w:t>Pilot 1 showed hierarchical compression and a real mobile-king complexity warning. Pilot 2 independently reproduced exact composition in K+2P vs K: KPK inheritance plus a staggered-pawn target certified 97.69% of wins. G3 added strict reachability back into the union of existing predicates, raising exact coverage to 98.94%, while the final 214 mixed blockade geometries remained near lookup-scale under a bounded local-access DSL.</w:t>
      </w:r>
    </w:p>
    <w:p>
      <w:pPr>
        <w:pStyle w:val="Heading1"/>
      </w:pPr>
      <w:r>
        <w:t>2. North-star question</w:t>
      </w:r>
    </w:p>
    <w:p>
      <w:r>
        <w:rPr>
          <w:b/>
        </w:rPr>
        <w:t>Can a materially different exact chess arena reuse the same proof architecture - lower-material projection, semantic certified targets and strict adversarial bridges between targets - so that symbolic coverage grows faster than description cost?</w:t>
      </w:r>
    </w:p>
    <w:p>
      <w:pPr>
        <w:pStyle w:val="Heading1"/>
      </w:pPr>
      <w:r>
        <w:t>3. Recommended arena</w:t>
      </w:r>
    </w:p>
    <w:p>
      <w:r>
        <w:t>Primary recommendation: a deliberately restricted K+B+P vs K+N arena. The knight introduces local non-linear control, the bishop a long-range colour-complex manifold, and the pawn promotion/capture transitions. This is a stronger independence test than another pure-pawn arena.</w:t>
      </w:r>
    </w:p>
    <w:p>
      <w:r>
        <w:t>Choose restrictions for exact tractability and clean symmetry, not to bake in an expected theorem. A fixed central or near-central pawn file and fixed bishop colour complex are reasonable starting constraints. Declare all restrictions before solving and hold them fixed.</w:t>
      </w:r>
    </w:p>
    <w:p>
      <w:pPr>
        <w:pStyle w:val="Heading1"/>
      </w:pPr>
      <w:r>
        <w:t>4. Fallback arena</w:t>
      </w:r>
    </w:p>
    <w:p>
      <w:r>
        <w:t>If K+B+P vs K+N cannot be made certificate-quality at manageable scale, use a predeclared restricted K+2P vs K+P family. It offers strong lower-material inheritance and interacting promotion races but is a weaker independence test, so the reason for switching must be documented.</w:t>
      </w:r>
    </w:p>
    <w:p>
      <w:pPr>
        <w:pStyle w:val="Heading1"/>
      </w:pPr>
      <w:r>
        <w:t>5. Required phases</w:t>
      </w:r>
    </w:p>
    <w:p>
      <w:pPr>
        <w:pStyle w:val="Heading2"/>
      </w:pPr>
      <w:r>
        <w:t>A. Freeze and certify the arena</w:t>
      </w:r>
    </w:p>
    <w:p>
      <w:r>
        <w:t>Declare state encoding, static validity, legal moves, captures, promotion, checkmate/stalemate semantics, side to move and symmetries. Enumerate raw and static-valid universes.</w:t>
      </w:r>
    </w:p>
    <w:p>
      <w:pPr>
        <w:pStyle w:val="Heading2"/>
      </w:pPr>
      <w:r>
        <w:t>B. Exact baseline solve</w:t>
      </w:r>
    </w:p>
    <w:p>
      <w:r>
        <w:t>Compute exact outcome truth and layer/rank histograms. Use exact finite-game truth, not engine evaluation.</w:t>
      </w:r>
    </w:p>
    <w:p>
      <w:pPr>
        <w:pStyle w:val="Heading2"/>
      </w:pPr>
      <w:r>
        <w:t>C. Lower-material projection sweep</w:t>
      </w:r>
    </w:p>
    <w:p>
      <w:r>
        <w:t>Solve required lower-material subgames exactly. Test restoration/inheritance implications and classify every counterexample.</w:t>
      </w:r>
    </w:p>
    <w:p>
      <w:pPr>
        <w:pStyle w:val="Heading2"/>
      </w:pPr>
      <w:r>
        <w:t>D. Dimensional collapse</w:t>
      </w:r>
    </w:p>
    <w:p>
      <w:r>
        <w:t>Group out candidate piece coordinates and measure universal-win, mixed and universal-draw geometries.</w:t>
      </w:r>
    </w:p>
    <w:p>
      <w:pPr>
        <w:pStyle w:val="Heading2"/>
      </w:pPr>
      <w:r>
        <w:t>E. Semantic predicate discovery</w:t>
      </w:r>
    </w:p>
    <w:p>
      <w:r>
        <w:t>Search race, movement-manifold, contact, support, interception and formation atoms. Promote only zero-counterexample rules.</w:t>
      </w:r>
    </w:p>
    <w:p>
      <w:pPr>
        <w:pStyle w:val="Heading2"/>
      </w:pPr>
      <w:r>
        <w:t>F. Strict stepping-stone tests</w:t>
      </w:r>
    </w:p>
    <w:p>
      <w:r>
        <w:t>Terminalize exact predicates and compute adversarial reachability. Treat shortcuts explicitly.</w:t>
      </w:r>
    </w:p>
    <w:p>
      <w:pPr>
        <w:pStyle w:val="Heading2"/>
      </w:pPr>
      <w:r>
        <w:t>G. Predicate-union bridge</w:t>
      </w:r>
    </w:p>
    <w:p>
      <w:r>
        <w:t>Once two mechanisms exist, terminalize their union and test whether additional residual states can force return to the certified library.</w:t>
      </w:r>
    </w:p>
    <w:p>
      <w:pPr>
        <w:pStyle w:val="Heading2"/>
      </w:pPr>
      <w:r>
        <w:t>H. Residual grammar</w:t>
      </w:r>
    </w:p>
    <w:p>
      <w:r>
        <w:t>Only then attack the critical manifold with a local DSL. Stop if exact description approaches lookup scale.</w:t>
      </w:r>
    </w:p>
    <w:p>
      <w:pPr>
        <w:pStyle w:val="Heading1"/>
      </w:pPr>
      <w:r>
        <w:t>6. First-class proof operations</w:t>
      </w:r>
    </w:p>
    <w:p>
      <w:pPr>
        <w:pStyle w:val="ListBullet"/>
      </w:pPr>
      <w:r>
        <w:t>PROJECT: map a state to exact lower-material subgames after legal material deletion/reduction.</w:t>
      </w:r>
    </w:p>
    <w:p>
      <w:pPr>
        <w:pStyle w:val="ListBullet"/>
      </w:pPr>
      <w:r>
        <w:t>INHERITS: test a finite implication under restoration of removed material and enumerate exceptions.</w:t>
      </w:r>
    </w:p>
    <w:p>
      <w:pPr>
        <w:pStyle w:val="ListBullet"/>
      </w:pPr>
      <w:r>
        <w:t>TARGET: terminalize an exact semantic predicate.</w:t>
      </w:r>
    </w:p>
    <w:p>
      <w:pPr>
        <w:pStyle w:val="ListBullet"/>
      </w:pPr>
      <w:r>
        <w:t>ATTRACTOR: compute exact exists/forall adversarial predecessor closure.</w:t>
      </w:r>
    </w:p>
    <w:p>
      <w:pPr>
        <w:pStyle w:val="ListBullet"/>
      </w:pPr>
      <w:r>
        <w:t>BRIDGE: compute strict reachability to a union of certified predicates.</w:t>
      </w:r>
    </w:p>
    <w:p>
      <w:pPr>
        <w:pStyle w:val="ListBullet"/>
      </w:pPr>
      <w:r>
        <w:t>RESIDUAL: subtract all certified layers.</w:t>
      </w:r>
    </w:p>
    <w:p>
      <w:pPr>
        <w:pStyle w:val="ListBullet"/>
      </w:pPr>
      <w:r>
        <w:t>GROUP_OUT: audit universal/mixed outcome classes after removing a piece coordinate.</w:t>
      </w:r>
    </w:p>
    <w:p>
      <w:pPr>
        <w:pStyle w:val="ListBullet"/>
      </w:pPr>
      <w:r>
        <w:t>CERTIFY: emit zero-counterexample scans and deterministic artifacts/hashes.</w:t>
      </w:r>
    </w:p>
    <w:p>
      <w:pPr>
        <w:pStyle w:val="Heading1"/>
      </w:pPr>
      <w:r>
        <w:t>7. Quantitative dashboard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Purpose</w:t>
            </w:r>
          </w:p>
        </w:tc>
      </w:tr>
      <w:tr>
        <w:tc>
          <w:tcPr>
            <w:tcW w:type="dxa" w:w="4968"/>
          </w:tcPr>
          <w:p>
            <w:r>
              <w:t>Raw/static-valid count</w:t>
            </w:r>
          </w:p>
        </w:tc>
        <w:tc>
          <w:tcPr>
            <w:tcW w:type="dxa" w:w="4968"/>
          </w:tcPr>
          <w:p>
            <w:r>
              <w:t>Scale and checksum</w:t>
            </w:r>
          </w:p>
        </w:tc>
      </w:tr>
      <w:tr>
        <w:tc>
          <w:tcPr>
            <w:tcW w:type="dxa" w:w="4968"/>
          </w:tcPr>
          <w:p>
            <w:r>
              <w:t>Exact outcome basin + rank histogram</w:t>
            </w:r>
          </w:p>
        </w:tc>
        <w:tc>
          <w:tcPr>
            <w:tcW w:type="dxa" w:w="4968"/>
          </w:tcPr>
          <w:p>
            <w:r>
              <w:t>Ground truth</w:t>
            </w:r>
          </w:p>
        </w:tc>
      </w:tr>
      <w:tr>
        <w:tc>
          <w:tcPr>
            <w:tcW w:type="dxa" w:w="4968"/>
          </w:tcPr>
          <w:p>
            <w:r>
              <w:t>Lower-material inherited coverage</w:t>
            </w:r>
          </w:p>
        </w:tc>
        <w:tc>
          <w:tcPr>
            <w:tcW w:type="dxa" w:w="4968"/>
          </w:tcPr>
          <w:p>
            <w:r>
              <w:t>Compositional reuse</w:t>
            </w:r>
          </w:p>
        </w:tc>
      </w:tr>
      <w:tr>
        <w:tc>
          <w:tcPr>
            <w:tcW w:type="dxa" w:w="4968"/>
          </w:tcPr>
          <w:p>
            <w:r>
              <w:t>New target coverage</w:t>
            </w:r>
          </w:p>
        </w:tc>
        <w:tc>
          <w:tcPr>
            <w:tcW w:type="dxa" w:w="4968"/>
          </w:tcPr>
          <w:p>
            <w:r>
              <w:t>Arena-specific symbolic value</w:t>
            </w:r>
          </w:p>
        </w:tc>
      </w:tr>
      <w:tr>
        <w:tc>
          <w:tcPr>
            <w:tcW w:type="dxa" w:w="4968"/>
          </w:tcPr>
          <w:p>
            <w:r>
              <w:t>Strict reachability coverage</w:t>
            </w:r>
          </w:p>
        </w:tc>
        <w:tc>
          <w:tcPr>
            <w:tcW w:type="dxa" w:w="4968"/>
          </w:tcPr>
          <w:p>
            <w:r>
              <w:t>True stepping-stone value</w:t>
            </w:r>
          </w:p>
        </w:tc>
      </w:tr>
      <w:tr>
        <w:tc>
          <w:tcPr>
            <w:tcW w:type="dxa" w:w="4968"/>
          </w:tcPr>
          <w:p>
            <w:r>
              <w:t>Predicate-union bridge coverage</w:t>
            </w:r>
          </w:p>
        </w:tc>
        <w:tc>
          <w:tcPr>
            <w:tcW w:type="dxa" w:w="4968"/>
          </w:tcPr>
          <w:p>
            <w:r>
              <w:t>Direct G3 replication</w:t>
            </w:r>
          </w:p>
        </w:tc>
      </w:tr>
      <w:tr>
        <w:tc>
          <w:tcPr>
            <w:tcW w:type="dxa" w:w="4968"/>
          </w:tcPr>
          <w:p>
            <w:r>
              <w:t>Combined certified coverage</w:t>
            </w:r>
          </w:p>
        </w:tc>
        <w:tc>
          <w:tcPr>
            <w:tcW w:type="dxa" w:w="4968"/>
          </w:tcPr>
          <w:p>
            <w:r>
              <w:t>Exact compression</w:t>
            </w:r>
          </w:p>
        </w:tc>
      </w:tr>
      <w:tr>
        <w:tc>
          <w:tcPr>
            <w:tcW w:type="dxa" w:w="4968"/>
          </w:tcPr>
          <w:p>
            <w:r>
              <w:t>Residual states/geometries</w:t>
            </w:r>
          </w:p>
        </w:tc>
        <w:tc>
          <w:tcPr>
            <w:tcW w:type="dxa" w:w="4968"/>
          </w:tcPr>
          <w:p>
            <w:r>
              <w:t>Boundary size</w:t>
            </w:r>
          </w:p>
        </w:tc>
      </w:tr>
      <w:tr>
        <w:tc>
          <w:tcPr>
            <w:tcW w:type="dxa" w:w="4968"/>
          </w:tcPr>
          <w:p>
            <w:r>
              <w:t>Critical-manifold localization</w:t>
            </w:r>
          </w:p>
        </w:tc>
        <w:tc>
          <w:tcPr>
            <w:tcW w:type="dxa" w:w="4968"/>
          </w:tcPr>
          <w:p>
            <w:r>
              <w:t>Codimension/locality</w:t>
            </w:r>
          </w:p>
        </w:tc>
      </w:tr>
      <w:tr>
        <w:tc>
          <w:tcPr>
            <w:tcW w:type="dxa" w:w="4968"/>
          </w:tcPr>
          <w:p>
            <w:r>
              <w:t>Predicate AST/template count</w:t>
            </w:r>
          </w:p>
        </w:tc>
        <w:tc>
          <w:tcPr>
            <w:tcW w:type="dxa" w:w="4968"/>
          </w:tcPr>
          <w:p>
            <w:r>
              <w:t>Description cost</w:t>
            </w:r>
          </w:p>
        </w:tc>
      </w:tr>
      <w:tr>
        <w:tc>
          <w:tcPr>
            <w:tcW w:type="dxa" w:w="4968"/>
          </w:tcPr>
          <w:p>
            <w:r>
              <w:t>Counterexample families</w:t>
            </w:r>
          </w:p>
        </w:tc>
        <w:tc>
          <w:tcPr>
            <w:tcW w:type="dxa" w:w="4968"/>
          </w:tcPr>
          <w:p>
            <w:r>
              <w:t>Semantic exceptions vs lookup</w:t>
            </w:r>
          </w:p>
        </w:tc>
      </w:tr>
      <w:tr>
        <w:tc>
          <w:tcPr>
            <w:tcW w:type="dxa" w:w="4968"/>
          </w:tcPr>
          <w:p>
            <w:r>
              <w:t>Cross-arena reuse</w:t>
            </w:r>
          </w:p>
        </w:tc>
        <w:tc>
          <w:tcPr>
            <w:tcW w:type="dxa" w:w="4968"/>
          </w:tcPr>
          <w:p>
            <w:r>
              <w:t>Evidence for general proof language</w:t>
            </w:r>
          </w:p>
        </w:tc>
      </w:tr>
    </w:tbl>
    <w:p>
      <w:pPr>
        <w:pStyle w:val="Heading1"/>
      </w:pPr>
      <w:r>
        <w:t>8. G4 advance criteria</w:t>
      </w:r>
    </w:p>
    <w:p>
      <w:pPr>
        <w:pStyle w:val="ListBullet"/>
      </w:pPr>
      <w:r>
        <w:t>At least one useful exact lower-material inheritance rule exists, or failures form a small semantic exception family.</w:t>
      </w:r>
    </w:p>
    <w:p>
      <w:pPr>
        <w:pStyle w:val="ListBullet"/>
      </w:pPr>
      <w:r>
        <w:t>At least one arena-specific semantic predicate certifies a nontrivial exact region.</w:t>
      </w:r>
    </w:p>
    <w:p>
      <w:pPr>
        <w:pStyle w:val="ListBullet"/>
      </w:pPr>
      <w:r>
        <w:t>At least one predicate works as a strict adversarial reachability target.</w:t>
      </w:r>
    </w:p>
    <w:p>
      <w:pPr>
        <w:pStyle w:val="ListBullet"/>
      </w:pPr>
      <w:r>
        <w:t>The union of certified predicates attracts additional residual states, replicating the G3 bridge operation.</w:t>
      </w:r>
    </w:p>
    <w:p>
      <w:pPr>
        <w:pStyle w:val="ListBullet"/>
      </w:pPr>
      <w:r>
        <w:t>Combined proof coverage grows materially faster than predicate description cost.</w:t>
      </w:r>
    </w:p>
    <w:p>
      <w:pPr>
        <w:pStyle w:val="ListBullet"/>
      </w:pPr>
      <w:r>
        <w:t>The unresolved region localizes to a lower-dimensional movement/contact manifold, even if its final grammar is complex.</w:t>
      </w:r>
    </w:p>
    <w:p>
      <w:pPr>
        <w:pStyle w:val="ListBullet"/>
      </w:pPr>
      <w:r>
        <w:t>At least one proof operation or predicate template is genuinely reused from earlier pilots without square-level special casing.</w:t>
      </w:r>
    </w:p>
    <w:p>
      <w:pPr>
        <w:pStyle w:val="Heading1"/>
      </w:pPr>
      <w:r>
        <w:t>9. Warning / failure criteria</w:t>
      </w:r>
    </w:p>
    <w:p>
      <w:pPr>
        <w:pStyle w:val="ListBullet"/>
      </w:pPr>
      <w:r>
        <w:t>Lower-material projections provide no reusable implication and counterexamples are heterogeneous.</w:t>
      </w:r>
    </w:p>
    <w:p>
      <w:pPr>
        <w:pStyle w:val="ListBullet"/>
      </w:pPr>
      <w:r>
        <w:t>Exact predicates explode into square-specific exception catalogues from the outset.</w:t>
      </w:r>
    </w:p>
    <w:p>
      <w:pPr>
        <w:pStyle w:val="ListBullet"/>
      </w:pPr>
      <w:r>
        <w:t>Strict target reachability adds little beyond direct membership.</w:t>
      </w:r>
    </w:p>
    <w:p>
      <w:pPr>
        <w:pStyle w:val="ListBullet"/>
      </w:pPr>
      <w:r>
        <w:t>Predicate-union bridging adds no meaningful coverage.</w:t>
      </w:r>
    </w:p>
    <w:p>
      <w:pPr>
        <w:pStyle w:val="ListBullet"/>
      </w:pPr>
      <w:r>
        <w:t>The residual remains high-dimensional rather than localizing.</w:t>
      </w:r>
    </w:p>
    <w:p>
      <w:pPr>
        <w:pStyle w:val="ListBullet"/>
      </w:pPr>
      <w:r>
        <w:t>Description cost tracks raw state growth before a final critical boundary is reached.</w:t>
      </w:r>
    </w:p>
    <w:p>
      <w:pPr>
        <w:pStyle w:val="ListBullet"/>
      </w:pPr>
      <w:r>
        <w:t>Apparent reuse depends on tailoring the arena to earlier geometry.</w:t>
      </w:r>
    </w:p>
    <w:p>
      <w:pPr>
        <w:pStyle w:val="Heading1"/>
      </w:pPr>
      <w:r>
        <w:t>10. Hard methodological rules</w:t>
      </w:r>
    </w:p>
    <w:p>
      <w:pPr>
        <w:pStyle w:val="ListBullet"/>
      </w:pPr>
      <w:r>
        <w:t>Do not use Stockfish evaluation as proof truth.</w:t>
      </w:r>
    </w:p>
    <w:p>
      <w:pPr>
        <w:pStyle w:val="ListBullet"/>
      </w:pPr>
      <w:r>
        <w:t>Do not change terminal semantics after seeing results without versioning and rerunning all downstream claims.</w:t>
      </w:r>
    </w:p>
    <w:p>
      <w:pPr>
        <w:pStyle w:val="ListBullet"/>
      </w:pPr>
      <w:r>
        <w:t>Do not count classifier accuracy as proof.</w:t>
      </w:r>
    </w:p>
    <w:p>
      <w:pPr>
        <w:pStyle w:val="ListBullet"/>
      </w:pPr>
      <w:r>
        <w:t>Flatten learned rules and exhaustively verify them before theorem status.</w:t>
      </w:r>
    </w:p>
    <w:p>
      <w:pPr>
        <w:pStyle w:val="ListBullet"/>
      </w:pPr>
      <w:r>
        <w:t>Do not count promotion/capture/material-reduction shortcuts as target success unless the target explicitly includes them.</w:t>
      </w:r>
    </w:p>
    <w:p>
      <w:pPr>
        <w:pStyle w:val="ListBullet"/>
      </w:pPr>
      <w:r>
        <w:t>Enumerate checkmate, stalemate and no-move anomalies rather than discarding them.</w:t>
      </w:r>
    </w:p>
    <w:p>
      <w:pPr>
        <w:pStyle w:val="ListBullet"/>
      </w:pPr>
      <w:r>
        <w:t>Stop when the predeclared description-cost boundary is crossed.</w:t>
      </w:r>
    </w:p>
    <w:p>
      <w:pPr>
        <w:pStyle w:val="ListBullet"/>
      </w:pPr>
      <w:r>
        <w:t>Persist enough deterministic artifacts to reproduce every exact claim.</w:t>
      </w:r>
    </w:p>
    <w:p>
      <w:pPr>
        <w:pStyle w:val="Heading1"/>
      </w:pPr>
      <w:r>
        <w:t>11. Recommended implementation slice</w:t>
      </w:r>
    </w:p>
    <w:p>
      <w:r>
        <w:t>First build a generic finite-game proof harness implementing the operations above. Re-run the Pilot 2 G3 union bridge as a regression test. The harness should reproduce 2,852 bridge wins and 98.94% combined coverage before any third-arena rules are trusted.</w:t>
      </w:r>
    </w:p>
    <w:p>
      <w:pPr>
        <w:pStyle w:val="Heading1"/>
      </w:pPr>
      <w:r>
        <w:t>12. Research-agent kickoff prompt</w:t>
      </w:r>
    </w:p>
    <w:p>
      <w:r>
        <w:t>You are beginning G4 of an exact symbolic-chess research programme. Do not optimize for a positive result. Test whether the proof architecture established in earlier pilots transfers to a materially different finite chess arena.</w:t>
        <w:br/>
        <w:br/>
        <w:t>Use a restricted K+B+P vs K+N arena unless exact enumeration becomes impractical; if so, document the reason and switch to a predeclared restricted K+2P vs K+P fallback. Freeze the arena and terminal semantics before symbolic analysis. Build an exact finite-game solve and machine-checkable checksums.</w:t>
        <w:br/>
        <w:br/>
        <w:t>Treat lower-material projection as a first-class operation. Solve required lower-material subgames exactly, test inheritance implications exhaustively, and retain all counterexamples. Search for semantic movement, race, contact, support, interception or formation predicates only after exact truth exists. Any candidate lemma must have zero counterexamples in its stated domain.</w:t>
        <w:br/>
        <w:br/>
        <w:t>Distinguish description from composition. Terminalize exact predicates and run strict adversarial reachability into them. After at least two certified mechanisms exist, terminalize their union and test whether additional residual states can force return to the existing certified library. Do not count promotion, capture or material-reduction shortcuts as target success unless explicitly included.</w:t>
        <w:br/>
        <w:br/>
        <w:t>After removing certified layers, group out high-dimensional piece coordinates and attack only the remaining critical manifold with a local semantic DSL. Measure exact description length and template reuse. Stop rather than overfit if exact grammar approaches lookup-table scale.</w:t>
        <w:br/>
        <w:br/>
        <w:t>Track raw/static-valid counts, outcome basins, layer histograms, inherited coverage, strict stepping-stone coverage, union-bridge coverage, residual states/geometries, critical-manifold localization, predicate AST/template count, counterexample families and cross-arena reuse. Emit deterministic artifacts, hashes and zero-counterexample logs.</w:t>
        <w:br/>
        <w:br/>
        <w:t>North star: can exact lower-material inheritance, semantic target predicates and adversarial predicate-to-predicate bridges form a reusable proof language whose coverage grows faster than description cost across materially different chess arenas?</w:t>
      </w:r>
    </w:p>
    <w:p>
      <w:pPr>
        <w:pStyle w:val="Heading1"/>
      </w:pPr>
      <w:r>
        <w:t>13. Expected handoff</w:t>
      </w:r>
    </w:p>
    <w:p>
      <w:r>
        <w:t>At the end of G4, produce two separate documents: a frozen technical handoff containing only the model, exact results, proofs/certificates, falsified hypotheses and gate verdict; and a separate G5 next-steps memo. Do not mix forward recommendations into the frozen result.</w:t>
      </w:r>
    </w:p>
    <w:p>
      <w:pPr>
        <w:pStyle w:val="Heading1"/>
      </w:pPr>
      <w:r>
        <w:t>Closing instruction</w:t>
      </w:r>
    </w:p>
    <w:p>
      <w:r>
        <w:t>The strongest G4 result is not that the third ending is simple. It is evidence that the same small set of proof operations continues to discover and compose exact semantic regions despite a new movement topology. A clean negative result is equally useful and should be frozen rather than tuned away.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